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2D1F" w:rsidRPr="00CD2D1F" w:rsidRDefault="00CD2D1F" w:rsidP="00CD2D1F">
      <w:pPr>
        <w:ind w:right="-93"/>
        <w:rPr>
          <w:sz w:val="24"/>
          <w:szCs w:val="24"/>
          <w:lang w:val="hr-HR" w:eastAsia="hr-HR"/>
        </w:rPr>
      </w:pPr>
      <w:r w:rsidRPr="00CD2D1F">
        <w:rPr>
          <w:sz w:val="24"/>
          <w:szCs w:val="24"/>
        </w:rPr>
        <w:t xml:space="preserve">Bosna i Hercegovina </w:t>
      </w:r>
    </w:p>
    <w:p w:rsidR="00CD2D1F" w:rsidRPr="00CD2D1F" w:rsidRDefault="00CD2D1F" w:rsidP="00CD2D1F">
      <w:pPr>
        <w:ind w:right="-93"/>
        <w:rPr>
          <w:sz w:val="24"/>
          <w:szCs w:val="24"/>
        </w:rPr>
      </w:pPr>
      <w:r w:rsidRPr="00CD2D1F">
        <w:rPr>
          <w:sz w:val="24"/>
          <w:szCs w:val="24"/>
        </w:rPr>
        <w:t>Federacija Bosne i Hercegovine</w:t>
      </w:r>
    </w:p>
    <w:p w:rsidR="00CD2D1F" w:rsidRPr="00CD2D1F" w:rsidRDefault="00CD2D1F" w:rsidP="00CD2D1F">
      <w:pPr>
        <w:ind w:right="-93"/>
        <w:rPr>
          <w:sz w:val="24"/>
          <w:szCs w:val="24"/>
        </w:rPr>
      </w:pPr>
      <w:r w:rsidRPr="00CD2D1F">
        <w:rPr>
          <w:sz w:val="24"/>
          <w:szCs w:val="24"/>
        </w:rPr>
        <w:t>Hercegovačko-neretvanski kanton</w:t>
      </w:r>
    </w:p>
    <w:p w:rsidR="00CD2D1F" w:rsidRPr="00CD2D1F" w:rsidRDefault="00CD2D1F" w:rsidP="00CD2D1F">
      <w:pPr>
        <w:ind w:right="-93"/>
        <w:rPr>
          <w:sz w:val="24"/>
          <w:szCs w:val="24"/>
          <w:lang w:val="pl-PL"/>
        </w:rPr>
      </w:pPr>
      <w:r w:rsidRPr="00CD2D1F">
        <w:rPr>
          <w:sz w:val="24"/>
          <w:szCs w:val="24"/>
          <w:lang w:val="pl-PL"/>
        </w:rPr>
        <w:t>KANTONALNI SUD U MOSTARU</w:t>
      </w:r>
    </w:p>
    <w:p w:rsidR="00CD2D1F" w:rsidRPr="00CD2D1F" w:rsidRDefault="00CD2D1F" w:rsidP="00CD2D1F">
      <w:pPr>
        <w:ind w:right="-93"/>
        <w:rPr>
          <w:sz w:val="24"/>
          <w:szCs w:val="24"/>
          <w:lang w:val="pl-PL"/>
        </w:rPr>
      </w:pPr>
      <w:r w:rsidRPr="00CD2D1F">
        <w:rPr>
          <w:sz w:val="24"/>
          <w:szCs w:val="24"/>
          <w:lang w:val="pl-PL"/>
        </w:rPr>
        <w:t>Broj: 58 0 Rs 201548 20 Rsž</w:t>
      </w:r>
    </w:p>
    <w:p w:rsidR="00CD2D1F" w:rsidRPr="00CD2D1F" w:rsidRDefault="00CD2D1F" w:rsidP="00CD2D1F">
      <w:pPr>
        <w:ind w:right="-93"/>
        <w:rPr>
          <w:sz w:val="24"/>
          <w:szCs w:val="24"/>
          <w:lang w:val="pl-PL"/>
        </w:rPr>
      </w:pPr>
      <w:r w:rsidRPr="00CD2D1F">
        <w:rPr>
          <w:sz w:val="24"/>
          <w:szCs w:val="24"/>
          <w:lang w:val="pl-PL"/>
        </w:rPr>
        <w:t>Mostar, 09.11.2022. godine</w:t>
      </w:r>
    </w:p>
    <w:p w:rsidR="00CD2D1F" w:rsidRPr="00CD2D1F" w:rsidRDefault="00CD2D1F" w:rsidP="00CD2D1F">
      <w:pPr>
        <w:ind w:right="-93"/>
        <w:rPr>
          <w:b/>
          <w:sz w:val="24"/>
          <w:szCs w:val="24"/>
          <w:lang w:val="pl-PL"/>
        </w:rPr>
      </w:pPr>
    </w:p>
    <w:p w:rsidR="00CD2D1F" w:rsidRPr="00CD2D1F" w:rsidRDefault="00CD2D1F" w:rsidP="00CD2D1F">
      <w:pPr>
        <w:ind w:right="-93"/>
        <w:rPr>
          <w:sz w:val="24"/>
          <w:szCs w:val="24"/>
          <w:lang w:val="pl-PL"/>
        </w:rPr>
      </w:pPr>
    </w:p>
    <w:p w:rsidR="00CD2D1F" w:rsidRPr="00CD2D1F" w:rsidRDefault="00CD2D1F" w:rsidP="00CD2D1F">
      <w:pPr>
        <w:jc w:val="both"/>
        <w:rPr>
          <w:sz w:val="24"/>
          <w:szCs w:val="24"/>
          <w:lang w:val="hr-HR"/>
        </w:rPr>
      </w:pPr>
      <w:r w:rsidRPr="00CD2D1F">
        <w:rPr>
          <w:b/>
          <w:sz w:val="24"/>
          <w:szCs w:val="24"/>
        </w:rPr>
        <w:tab/>
      </w:r>
      <w:r w:rsidRPr="00CD2D1F">
        <w:rPr>
          <w:sz w:val="24"/>
          <w:szCs w:val="24"/>
        </w:rPr>
        <w:t>Kantonalni sud u Mostaru, u vijeću sastavljenom od sudija Rabije Tanović, kao predsjednice vijeća, Merime Ćatić i Sanje Začinović, kao članica vijeća, u pravnoj stvari tužitelja S</w:t>
      </w:r>
      <w:r w:rsidR="009A7FAF">
        <w:rPr>
          <w:sz w:val="24"/>
          <w:szCs w:val="24"/>
        </w:rPr>
        <w:t>.</w:t>
      </w:r>
      <w:r w:rsidRPr="00CD2D1F">
        <w:rPr>
          <w:sz w:val="24"/>
          <w:szCs w:val="24"/>
        </w:rPr>
        <w:t>B</w:t>
      </w:r>
      <w:r w:rsidR="009A7FAF">
        <w:rPr>
          <w:sz w:val="24"/>
          <w:szCs w:val="24"/>
        </w:rPr>
        <w:t xml:space="preserve">. </w:t>
      </w:r>
      <w:r w:rsidRPr="00CD2D1F">
        <w:rPr>
          <w:sz w:val="24"/>
          <w:szCs w:val="24"/>
        </w:rPr>
        <w:t xml:space="preserve"> iz Mostara,  koga zastupa punomoćnik S</w:t>
      </w:r>
      <w:r w:rsidR="009A7FAF">
        <w:rPr>
          <w:sz w:val="24"/>
          <w:szCs w:val="24"/>
        </w:rPr>
        <w:t>.</w:t>
      </w:r>
      <w:r w:rsidRPr="00CD2D1F">
        <w:rPr>
          <w:sz w:val="24"/>
          <w:szCs w:val="24"/>
        </w:rPr>
        <w:t>Z</w:t>
      </w:r>
      <w:r w:rsidR="009A7FAF">
        <w:rPr>
          <w:sz w:val="24"/>
          <w:szCs w:val="24"/>
        </w:rPr>
        <w:t>.</w:t>
      </w:r>
      <w:r w:rsidRPr="00CD2D1F">
        <w:rPr>
          <w:sz w:val="24"/>
          <w:szCs w:val="24"/>
        </w:rPr>
        <w:t xml:space="preserve"> advokat iz M</w:t>
      </w:r>
      <w:r w:rsidR="00892D69">
        <w:rPr>
          <w:sz w:val="24"/>
          <w:szCs w:val="24"/>
        </w:rPr>
        <w:t>.</w:t>
      </w:r>
      <w:r w:rsidRPr="00CD2D1F">
        <w:rPr>
          <w:sz w:val="24"/>
          <w:szCs w:val="24"/>
        </w:rPr>
        <w:t xml:space="preserve"> protiv tuženog </w:t>
      </w:r>
      <w:r w:rsidR="009A7FAF">
        <w:rPr>
          <w:sz w:val="24"/>
          <w:szCs w:val="24"/>
        </w:rPr>
        <w:t>d.d.</w:t>
      </w:r>
      <w:r w:rsidRPr="00CD2D1F">
        <w:rPr>
          <w:sz w:val="24"/>
          <w:szCs w:val="24"/>
        </w:rPr>
        <w:t xml:space="preserve"> zastupan po punomoćnici M</w:t>
      </w:r>
      <w:r w:rsidR="009A7FAF">
        <w:rPr>
          <w:sz w:val="24"/>
          <w:szCs w:val="24"/>
        </w:rPr>
        <w:t xml:space="preserve">. </w:t>
      </w:r>
      <w:r w:rsidRPr="00CD2D1F">
        <w:rPr>
          <w:sz w:val="24"/>
          <w:szCs w:val="24"/>
        </w:rPr>
        <w:t>J</w:t>
      </w:r>
      <w:r w:rsidR="009A7FAF">
        <w:rPr>
          <w:sz w:val="24"/>
          <w:szCs w:val="24"/>
        </w:rPr>
        <w:t xml:space="preserve">. </w:t>
      </w:r>
      <w:r w:rsidRPr="00CD2D1F">
        <w:rPr>
          <w:sz w:val="24"/>
          <w:szCs w:val="24"/>
        </w:rPr>
        <w:t xml:space="preserve"> zaposlenici tuženog, radi utvrđenja i isplate, v.sp. 1.000,00 KM, odlu</w:t>
      </w:r>
      <w:r w:rsidRPr="00CD2D1F">
        <w:rPr>
          <w:sz w:val="24"/>
          <w:szCs w:val="24"/>
          <w:lang w:val="bs-Latn-BA"/>
        </w:rPr>
        <w:t>č</w:t>
      </w:r>
      <w:r w:rsidRPr="00CD2D1F">
        <w:rPr>
          <w:sz w:val="24"/>
          <w:szCs w:val="24"/>
        </w:rPr>
        <w:t>uju</w:t>
      </w:r>
      <w:r w:rsidRPr="00CD2D1F">
        <w:rPr>
          <w:sz w:val="24"/>
          <w:szCs w:val="24"/>
          <w:lang w:val="bs-Latn-BA"/>
        </w:rPr>
        <w:t>ć</w:t>
      </w:r>
      <w:r w:rsidRPr="00CD2D1F">
        <w:rPr>
          <w:sz w:val="24"/>
          <w:szCs w:val="24"/>
        </w:rPr>
        <w:t>i</w:t>
      </w:r>
      <w:r w:rsidRPr="00CD2D1F">
        <w:rPr>
          <w:sz w:val="24"/>
          <w:szCs w:val="24"/>
          <w:lang w:val="bs-Latn-BA"/>
        </w:rPr>
        <w:t xml:space="preserve"> </w:t>
      </w:r>
      <w:r w:rsidRPr="00CD2D1F">
        <w:rPr>
          <w:sz w:val="24"/>
          <w:szCs w:val="24"/>
        </w:rPr>
        <w:t>o</w:t>
      </w:r>
      <w:r w:rsidRPr="00CD2D1F">
        <w:rPr>
          <w:sz w:val="24"/>
          <w:szCs w:val="24"/>
          <w:lang w:val="bs-Latn-BA"/>
        </w:rPr>
        <w:t xml:space="preserve"> ž</w:t>
      </w:r>
      <w:r w:rsidRPr="00CD2D1F">
        <w:rPr>
          <w:sz w:val="24"/>
          <w:szCs w:val="24"/>
        </w:rPr>
        <w:t>albi tuženog protiv presude Općinskog suda u Mostaru broj: 58 0 Rs 201548 18 Rs od 29.10.2020. godine, na</w:t>
      </w:r>
      <w:r w:rsidRPr="00CD2D1F">
        <w:rPr>
          <w:sz w:val="24"/>
          <w:szCs w:val="24"/>
          <w:lang w:val="bs-Latn-BA"/>
        </w:rPr>
        <w:t xml:space="preserve"> </w:t>
      </w:r>
      <w:r w:rsidRPr="00CD2D1F">
        <w:rPr>
          <w:sz w:val="24"/>
          <w:szCs w:val="24"/>
        </w:rPr>
        <w:t>sjednici</w:t>
      </w:r>
      <w:r w:rsidRPr="00CD2D1F">
        <w:rPr>
          <w:sz w:val="24"/>
          <w:szCs w:val="24"/>
          <w:lang w:val="bs-Latn-BA"/>
        </w:rPr>
        <w:t xml:space="preserve"> </w:t>
      </w:r>
      <w:r w:rsidRPr="00CD2D1F">
        <w:rPr>
          <w:sz w:val="24"/>
          <w:szCs w:val="24"/>
        </w:rPr>
        <w:t>vije</w:t>
      </w:r>
      <w:r w:rsidRPr="00CD2D1F">
        <w:rPr>
          <w:sz w:val="24"/>
          <w:szCs w:val="24"/>
          <w:lang w:val="bs-Latn-BA"/>
        </w:rPr>
        <w:t>ć</w:t>
      </w:r>
      <w:r w:rsidRPr="00CD2D1F">
        <w:rPr>
          <w:sz w:val="24"/>
          <w:szCs w:val="24"/>
        </w:rPr>
        <w:t>a</w:t>
      </w:r>
      <w:r w:rsidRPr="00CD2D1F">
        <w:rPr>
          <w:sz w:val="24"/>
          <w:szCs w:val="24"/>
          <w:lang w:val="bs-Latn-BA"/>
        </w:rPr>
        <w:t xml:space="preserve"> </w:t>
      </w:r>
      <w:r w:rsidRPr="00CD2D1F">
        <w:rPr>
          <w:sz w:val="24"/>
          <w:szCs w:val="24"/>
        </w:rPr>
        <w:t>odr</w:t>
      </w:r>
      <w:r w:rsidRPr="00CD2D1F">
        <w:rPr>
          <w:sz w:val="24"/>
          <w:szCs w:val="24"/>
          <w:lang w:val="bs-Latn-BA"/>
        </w:rPr>
        <w:t>ž</w:t>
      </w:r>
      <w:r w:rsidRPr="00CD2D1F">
        <w:rPr>
          <w:sz w:val="24"/>
          <w:szCs w:val="24"/>
        </w:rPr>
        <w:t>anoj</w:t>
      </w:r>
      <w:r w:rsidRPr="00CD2D1F">
        <w:rPr>
          <w:sz w:val="24"/>
          <w:szCs w:val="24"/>
          <w:lang w:val="bs-Latn-BA"/>
        </w:rPr>
        <w:t xml:space="preserve"> </w:t>
      </w:r>
      <w:r w:rsidRPr="00CD2D1F">
        <w:rPr>
          <w:sz w:val="24"/>
          <w:szCs w:val="24"/>
        </w:rPr>
        <w:t>dana 09.11.2022. godine</w:t>
      </w:r>
      <w:r w:rsidRPr="00CD2D1F">
        <w:rPr>
          <w:sz w:val="24"/>
          <w:szCs w:val="24"/>
          <w:lang w:val="bs-Latn-BA"/>
        </w:rPr>
        <w:t xml:space="preserve"> </w:t>
      </w:r>
      <w:r w:rsidRPr="00CD2D1F">
        <w:rPr>
          <w:sz w:val="24"/>
          <w:szCs w:val="24"/>
        </w:rPr>
        <w:t>donio</w:t>
      </w:r>
      <w:r w:rsidRPr="00CD2D1F">
        <w:rPr>
          <w:sz w:val="24"/>
          <w:szCs w:val="24"/>
          <w:lang w:val="bs-Latn-BA"/>
        </w:rPr>
        <w:t xml:space="preserve"> </w:t>
      </w:r>
      <w:r w:rsidRPr="00CD2D1F">
        <w:rPr>
          <w:sz w:val="24"/>
          <w:szCs w:val="24"/>
        </w:rPr>
        <w:t>je</w:t>
      </w:r>
      <w:r w:rsidRPr="00CD2D1F">
        <w:rPr>
          <w:sz w:val="24"/>
          <w:szCs w:val="24"/>
          <w:lang w:val="bs-Latn-BA"/>
        </w:rPr>
        <w:t xml:space="preserve"> </w:t>
      </w:r>
      <w:r w:rsidRPr="00CD2D1F">
        <w:rPr>
          <w:sz w:val="24"/>
          <w:szCs w:val="24"/>
        </w:rPr>
        <w:t>sljede</w:t>
      </w:r>
      <w:r w:rsidRPr="00CD2D1F">
        <w:rPr>
          <w:sz w:val="24"/>
          <w:szCs w:val="24"/>
          <w:lang w:val="bs-Latn-BA"/>
        </w:rPr>
        <w:t>ć</w:t>
      </w:r>
      <w:r w:rsidRPr="00CD2D1F">
        <w:rPr>
          <w:sz w:val="24"/>
          <w:szCs w:val="24"/>
        </w:rPr>
        <w:t>u</w:t>
      </w:r>
    </w:p>
    <w:p w:rsidR="00CD2D1F" w:rsidRPr="00CD2D1F" w:rsidRDefault="00CD2D1F" w:rsidP="00CD2D1F">
      <w:pPr>
        <w:ind w:right="-93"/>
        <w:jc w:val="both"/>
        <w:rPr>
          <w:sz w:val="24"/>
          <w:szCs w:val="24"/>
        </w:rPr>
      </w:pPr>
    </w:p>
    <w:p w:rsidR="00CD2D1F" w:rsidRPr="00CD2D1F" w:rsidRDefault="00CD2D1F" w:rsidP="00CD2D1F">
      <w:pPr>
        <w:ind w:right="-93"/>
        <w:jc w:val="both"/>
        <w:rPr>
          <w:sz w:val="24"/>
          <w:szCs w:val="24"/>
        </w:rPr>
      </w:pPr>
    </w:p>
    <w:p w:rsidR="00CD2D1F" w:rsidRPr="00CD2D1F" w:rsidRDefault="00CD2D1F" w:rsidP="00CD2D1F">
      <w:pPr>
        <w:ind w:right="-93"/>
        <w:jc w:val="center"/>
        <w:rPr>
          <w:b/>
          <w:sz w:val="24"/>
          <w:szCs w:val="24"/>
          <w:lang w:val="pl-PL"/>
        </w:rPr>
      </w:pPr>
      <w:r w:rsidRPr="00CD2D1F">
        <w:rPr>
          <w:bCs/>
          <w:sz w:val="24"/>
          <w:szCs w:val="24"/>
          <w:lang w:val="pl-PL"/>
        </w:rPr>
        <w:t>PRESUDU</w:t>
      </w:r>
    </w:p>
    <w:p w:rsidR="00CD2D1F" w:rsidRPr="00CD2D1F" w:rsidRDefault="00CD2D1F" w:rsidP="00CD2D1F">
      <w:pPr>
        <w:ind w:right="-93"/>
        <w:jc w:val="both"/>
        <w:rPr>
          <w:b/>
          <w:sz w:val="24"/>
          <w:szCs w:val="24"/>
          <w:lang w:val="hr-HR"/>
        </w:rPr>
      </w:pPr>
    </w:p>
    <w:p w:rsidR="00CD2D1F" w:rsidRPr="00CD2D1F" w:rsidRDefault="00CD2D1F" w:rsidP="00CD2D1F">
      <w:pPr>
        <w:jc w:val="both"/>
        <w:rPr>
          <w:sz w:val="24"/>
          <w:szCs w:val="24"/>
          <w:lang w:val="bs-Latn-BA"/>
        </w:rPr>
      </w:pPr>
      <w:r w:rsidRPr="00CD2D1F">
        <w:rPr>
          <w:sz w:val="24"/>
          <w:szCs w:val="24"/>
        </w:rPr>
        <w:t xml:space="preserve">                  Žalba tuženog se odbija kao neosnovana i prvostepena presuda potvrđuje.  </w:t>
      </w:r>
    </w:p>
    <w:p w:rsidR="00CD2D1F" w:rsidRPr="00CD2D1F" w:rsidRDefault="00CD2D1F" w:rsidP="00CD2D1F">
      <w:pPr>
        <w:ind w:firstLine="708"/>
        <w:jc w:val="center"/>
        <w:rPr>
          <w:sz w:val="24"/>
          <w:szCs w:val="24"/>
          <w:lang w:val="hr-BA"/>
        </w:rPr>
      </w:pPr>
    </w:p>
    <w:p w:rsidR="00CD2D1F" w:rsidRDefault="00CD2D1F" w:rsidP="00CD2D1F">
      <w:pPr>
        <w:pStyle w:val="Heading1"/>
        <w:ind w:right="-93"/>
        <w:jc w:val="both"/>
        <w:rPr>
          <w:b w:val="0"/>
          <w:bCs/>
          <w:szCs w:val="24"/>
        </w:rPr>
      </w:pPr>
      <w:r w:rsidRPr="00CD2D1F">
        <w:rPr>
          <w:szCs w:val="24"/>
        </w:rPr>
        <w:t xml:space="preserve">                                                   </w:t>
      </w:r>
      <w:r>
        <w:rPr>
          <w:szCs w:val="24"/>
        </w:rPr>
        <w:t xml:space="preserve">           </w:t>
      </w:r>
      <w:r w:rsidRPr="00CD2D1F">
        <w:rPr>
          <w:b w:val="0"/>
          <w:bCs/>
          <w:szCs w:val="24"/>
        </w:rPr>
        <w:t>Obrazloženje</w:t>
      </w:r>
    </w:p>
    <w:p w:rsidR="00CD2D1F" w:rsidRPr="00CD2D1F" w:rsidRDefault="00CD2D1F" w:rsidP="00CD2D1F">
      <w:pPr>
        <w:rPr>
          <w:lang w:val="hr-HR"/>
        </w:rPr>
      </w:pPr>
    </w:p>
    <w:p w:rsidR="00CD2D1F" w:rsidRPr="00CD2D1F" w:rsidRDefault="00CD2D1F" w:rsidP="00CD2D1F">
      <w:pPr>
        <w:pStyle w:val="Heading1"/>
        <w:ind w:right="-93"/>
        <w:jc w:val="both"/>
        <w:rPr>
          <w:b w:val="0"/>
          <w:bCs/>
          <w:szCs w:val="24"/>
        </w:rPr>
      </w:pPr>
      <w:r w:rsidRPr="00CD2D1F">
        <w:rPr>
          <w:b w:val="0"/>
          <w:szCs w:val="24"/>
        </w:rPr>
        <w:tab/>
        <w:t>Prvostepenom presudom odlučeno je:</w:t>
      </w:r>
    </w:p>
    <w:p w:rsidR="009A7FAF" w:rsidRDefault="009A7FAF" w:rsidP="009A7FAF">
      <w:pPr>
        <w:ind w:firstLine="708"/>
        <w:jc w:val="center"/>
        <w:rPr>
          <w:b/>
          <w:lang w:val="hr-HR" w:eastAsia="hr-BA"/>
        </w:rPr>
      </w:pPr>
    </w:p>
    <w:p w:rsidR="009A7FAF" w:rsidRPr="009A7FAF" w:rsidRDefault="009A7FAF" w:rsidP="009A7FAF">
      <w:pPr>
        <w:ind w:firstLine="708"/>
        <w:jc w:val="both"/>
        <w:rPr>
          <w:b/>
          <w:sz w:val="24"/>
          <w:szCs w:val="24"/>
          <w:lang w:val="hr-HR" w:eastAsia="hr-BA"/>
        </w:rPr>
      </w:pPr>
      <w:r w:rsidRPr="009A7FAF">
        <w:rPr>
          <w:b/>
          <w:sz w:val="24"/>
          <w:szCs w:val="24"/>
          <w:lang w:val="hr-HR" w:eastAsia="hr-BA"/>
        </w:rPr>
        <w:t xml:space="preserve"> </w:t>
      </w:r>
      <w:r w:rsidRPr="009A7FAF">
        <w:rPr>
          <w:sz w:val="24"/>
          <w:szCs w:val="24"/>
          <w:lang w:val="hr-HR" w:eastAsia="hr-BA"/>
        </w:rPr>
        <w:t>Utvrđuje se da je odluka o umanjenju osnovne plate radnika, tuženog d.d. br. 01.-2.3- 2018.godine, nezakonita pa se kao takva u cijelosti poništava.</w:t>
      </w:r>
      <w:r w:rsidRPr="009A7FAF">
        <w:rPr>
          <w:b/>
          <w:sz w:val="24"/>
          <w:szCs w:val="24"/>
          <w:lang w:val="hr-HR" w:eastAsia="hr-BA"/>
        </w:rPr>
        <w:t xml:space="preserve"> </w:t>
      </w:r>
    </w:p>
    <w:p w:rsidR="009A7FAF" w:rsidRPr="009A7FAF" w:rsidRDefault="009A7FAF" w:rsidP="009A7FAF">
      <w:pPr>
        <w:ind w:firstLine="708"/>
        <w:jc w:val="both"/>
        <w:rPr>
          <w:sz w:val="24"/>
          <w:szCs w:val="24"/>
          <w:lang w:val="hr-HR"/>
        </w:rPr>
      </w:pPr>
    </w:p>
    <w:p w:rsidR="009A7FAF" w:rsidRPr="009A7FAF" w:rsidRDefault="009A7FAF" w:rsidP="009A7FAF">
      <w:pPr>
        <w:jc w:val="both"/>
        <w:rPr>
          <w:sz w:val="24"/>
          <w:szCs w:val="24"/>
          <w:lang w:val="hr-HR"/>
        </w:rPr>
      </w:pPr>
      <w:r w:rsidRPr="009A7FAF">
        <w:rPr>
          <w:sz w:val="24"/>
          <w:szCs w:val="24"/>
          <w:lang w:val="hr-HR"/>
        </w:rPr>
        <w:tab/>
      </w:r>
      <w:r>
        <w:rPr>
          <w:b/>
          <w:sz w:val="24"/>
          <w:szCs w:val="24"/>
          <w:lang w:val="hr-HR"/>
        </w:rPr>
        <w:t>Utv</w:t>
      </w:r>
      <w:r w:rsidRPr="009A7FAF">
        <w:rPr>
          <w:sz w:val="24"/>
          <w:szCs w:val="24"/>
          <w:lang w:val="hr-HR"/>
        </w:rPr>
        <w:t>rđuje se da je odluka d.d ... od 2018.godine, nezakonita pa se kao takva u cijelosti poništava;</w:t>
      </w:r>
    </w:p>
    <w:p w:rsidR="009A7FAF" w:rsidRPr="009A7FAF" w:rsidRDefault="009A7FAF" w:rsidP="009A7FAF">
      <w:pPr>
        <w:jc w:val="both"/>
        <w:rPr>
          <w:sz w:val="24"/>
          <w:szCs w:val="24"/>
          <w:lang w:val="hr-HR"/>
        </w:rPr>
      </w:pPr>
    </w:p>
    <w:p w:rsidR="009A7FAF" w:rsidRPr="009A7FAF" w:rsidRDefault="009A7FAF" w:rsidP="009A7FAF">
      <w:pPr>
        <w:ind w:firstLine="720"/>
        <w:jc w:val="both"/>
        <w:rPr>
          <w:sz w:val="24"/>
          <w:szCs w:val="24"/>
          <w:lang w:val="hr-HR"/>
        </w:rPr>
      </w:pPr>
      <w:r w:rsidRPr="009A7FAF">
        <w:rPr>
          <w:sz w:val="24"/>
          <w:szCs w:val="24"/>
          <w:lang w:val="hr-HR"/>
        </w:rPr>
        <w:t>Dužan je tuženi, d.d. isplatiti tužitelju na ime  dijela plate za mjesec ....2018.godine iznos od 200,00 KM zajedno sa zakonskom zateznom kamatom počev od .....godine pa do isplate, sve u roku od 15 dana i pod prijetnjom izvršenja;</w:t>
      </w:r>
    </w:p>
    <w:p w:rsidR="009A7FAF" w:rsidRPr="009A7FAF" w:rsidRDefault="009A7FAF" w:rsidP="009A7FAF">
      <w:pPr>
        <w:ind w:left="720"/>
        <w:jc w:val="both"/>
        <w:rPr>
          <w:sz w:val="24"/>
          <w:szCs w:val="24"/>
          <w:lang w:val="hr-HR"/>
        </w:rPr>
      </w:pPr>
    </w:p>
    <w:p w:rsidR="009A7FAF" w:rsidRDefault="009A7FAF" w:rsidP="00CD2D1F">
      <w:pPr>
        <w:jc w:val="both"/>
        <w:rPr>
          <w:bCs/>
          <w:sz w:val="24"/>
          <w:szCs w:val="24"/>
        </w:rPr>
      </w:pPr>
      <w:r w:rsidRPr="009A7FAF">
        <w:rPr>
          <w:b/>
          <w:sz w:val="24"/>
          <w:szCs w:val="24"/>
          <w:lang w:val="hr-HR"/>
        </w:rPr>
        <w:tab/>
      </w:r>
      <w:r w:rsidRPr="009A7FAF">
        <w:rPr>
          <w:sz w:val="24"/>
          <w:szCs w:val="24"/>
          <w:lang w:val="hr-HR"/>
        </w:rPr>
        <w:t>Dužan je tuženi naknaditi tužitelju troškove postupka u iznosu od  ...  KM u roku od 15 dana zajedno sa zakonskom zateznom kamatom od dana donošenja presude pa do isplate, u roku od 15 dana pod prijetnjom izvršenja</w:t>
      </w:r>
      <w:r w:rsidRPr="009A7FAF">
        <w:rPr>
          <w:b/>
          <w:sz w:val="24"/>
          <w:szCs w:val="24"/>
          <w:lang w:val="hr-HR"/>
        </w:rPr>
        <w:t xml:space="preserve">. </w:t>
      </w:r>
    </w:p>
    <w:p w:rsidR="009A7FAF" w:rsidRPr="00CD2D1F" w:rsidRDefault="009A7FAF" w:rsidP="00CD2D1F">
      <w:pPr>
        <w:jc w:val="both"/>
        <w:rPr>
          <w:bCs/>
          <w:sz w:val="24"/>
          <w:szCs w:val="24"/>
        </w:rPr>
      </w:pPr>
    </w:p>
    <w:p w:rsidR="00CD2D1F" w:rsidRPr="00CD2D1F" w:rsidRDefault="00CD2D1F" w:rsidP="00CD2D1F">
      <w:pPr>
        <w:ind w:firstLine="720"/>
        <w:jc w:val="both"/>
        <w:rPr>
          <w:bCs/>
          <w:sz w:val="24"/>
          <w:szCs w:val="24"/>
        </w:rPr>
      </w:pPr>
      <w:r w:rsidRPr="00CD2D1F">
        <w:rPr>
          <w:bCs/>
          <w:sz w:val="24"/>
          <w:szCs w:val="24"/>
        </w:rPr>
        <w:t>Blagovremeno izjavljenom žalbom tuženi pobija presudu zbog povrede odredbi parničnog postupka i pogrešne primjene materijalnog prava i u istoj navodi da sud pogrešno tumači materijalno pravo, tačnije čl. 75. Zakona o radu, kao i odredbe čl. 2.</w:t>
      </w:r>
      <w:r w:rsidR="009A7FAF">
        <w:rPr>
          <w:bCs/>
          <w:sz w:val="24"/>
          <w:szCs w:val="24"/>
        </w:rPr>
        <w:t xml:space="preserve"> </w:t>
      </w:r>
      <w:r w:rsidRPr="00CD2D1F">
        <w:rPr>
          <w:bCs/>
          <w:sz w:val="24"/>
          <w:szCs w:val="24"/>
        </w:rPr>
        <w:t xml:space="preserve"> Pravilnika o radu; da je umanjenje osnovne plate radnika, propisano čl. 23.  Pravilnika o radu, usklađeno sa Zakonom o radu i da odredbe čl. 7. st. 1. Zakona o radu i čl. 4. Pravilnika o radu, obavezuju radnika da prema uputama poslodavca datim u skladu sa prirodom i vrstom rada lično obavlja preuzeti posao, te poštuje organizaciju rada i poslovanja kod poslodavca, da navedene odredbe jasno utvrđuju obavezu rada kako bi se </w:t>
      </w:r>
      <w:r w:rsidRPr="00CD2D1F">
        <w:rPr>
          <w:bCs/>
          <w:sz w:val="24"/>
          <w:szCs w:val="24"/>
        </w:rPr>
        <w:lastRenderedPageBreak/>
        <w:t xml:space="preserve">ostvarilo pravo na platu, a obzirom da tužitelj nije izvršio zadatak po nalogu neposrednog rukovodioca odnosno nije ostvario redovne rezultate rada u odnosu na dodijeljeni mu radni zadatak, usljed čega je generalni direktor osnovano i utemeljeno donio odluku o umanjenju osnovne plate tužitelja. Predlaže da drugostepeni sud žalbu uvaži. </w:t>
      </w:r>
    </w:p>
    <w:p w:rsidR="00CD2D1F" w:rsidRPr="00CD2D1F" w:rsidRDefault="00CD2D1F" w:rsidP="00CD2D1F">
      <w:pPr>
        <w:ind w:firstLine="720"/>
        <w:jc w:val="both"/>
        <w:rPr>
          <w:bCs/>
          <w:sz w:val="24"/>
          <w:szCs w:val="24"/>
        </w:rPr>
      </w:pPr>
    </w:p>
    <w:p w:rsidR="00CD2D1F" w:rsidRPr="00CD2D1F" w:rsidRDefault="00CD2D1F" w:rsidP="00CD2D1F">
      <w:pPr>
        <w:ind w:firstLine="720"/>
        <w:jc w:val="both"/>
        <w:rPr>
          <w:bCs/>
          <w:sz w:val="24"/>
          <w:szCs w:val="24"/>
        </w:rPr>
      </w:pPr>
      <w:r w:rsidRPr="00CD2D1F">
        <w:rPr>
          <w:bCs/>
          <w:sz w:val="24"/>
          <w:szCs w:val="24"/>
        </w:rPr>
        <w:t xml:space="preserve">Tužitelj nije dostavio odgovor na žalbu.  </w:t>
      </w:r>
    </w:p>
    <w:p w:rsidR="00CD2D1F" w:rsidRPr="00CD2D1F" w:rsidRDefault="00CD2D1F" w:rsidP="00CD2D1F">
      <w:pPr>
        <w:ind w:firstLine="720"/>
        <w:jc w:val="both"/>
        <w:rPr>
          <w:bCs/>
          <w:sz w:val="24"/>
          <w:szCs w:val="24"/>
        </w:rPr>
      </w:pPr>
    </w:p>
    <w:p w:rsidR="00CD2D1F" w:rsidRPr="00CD2D1F" w:rsidRDefault="00CD2D1F" w:rsidP="00CD2D1F">
      <w:pPr>
        <w:ind w:firstLine="720"/>
        <w:jc w:val="both"/>
        <w:rPr>
          <w:bCs/>
          <w:sz w:val="24"/>
          <w:szCs w:val="24"/>
        </w:rPr>
      </w:pPr>
      <w:r w:rsidRPr="00CD2D1F">
        <w:rPr>
          <w:bCs/>
          <w:sz w:val="24"/>
          <w:szCs w:val="24"/>
        </w:rPr>
        <w:t>Ispitujući pobijanu presudu u granicama žalbenih razloga i razloga na koje ovaj sud pazi po službenoj dužnosti u smislu člana 221. Zakona o parničnom postupku (Sl. novine FBiH broj 53/03, 73/05, 19/06, 98/15, kraće ZPP-a), odlučeno je kao u izreci ove presude iz sljedećih razloga:</w:t>
      </w:r>
    </w:p>
    <w:p w:rsidR="00CD2D1F" w:rsidRPr="00CD2D1F" w:rsidRDefault="00CD2D1F" w:rsidP="00CD2D1F">
      <w:pPr>
        <w:ind w:firstLine="720"/>
        <w:jc w:val="both"/>
        <w:rPr>
          <w:bCs/>
          <w:sz w:val="24"/>
          <w:szCs w:val="24"/>
        </w:rPr>
      </w:pPr>
    </w:p>
    <w:p w:rsidR="00CD2D1F" w:rsidRPr="00CD2D1F" w:rsidRDefault="00CD2D1F" w:rsidP="00CD2D1F">
      <w:pPr>
        <w:jc w:val="both"/>
        <w:rPr>
          <w:bCs/>
          <w:sz w:val="24"/>
          <w:szCs w:val="24"/>
        </w:rPr>
      </w:pPr>
      <w:r w:rsidRPr="00CD2D1F">
        <w:rPr>
          <w:bCs/>
          <w:sz w:val="24"/>
          <w:szCs w:val="24"/>
        </w:rPr>
        <w:tab/>
        <w:t>Među parničnim strankama nije sporno da je tužitelj ugovorom o radu broj 03</w:t>
      </w:r>
      <w:r w:rsidR="009A7FAF">
        <w:rPr>
          <w:bCs/>
          <w:sz w:val="24"/>
          <w:szCs w:val="24"/>
        </w:rPr>
        <w:t xml:space="preserve">  </w:t>
      </w:r>
      <w:r w:rsidRPr="00CD2D1F">
        <w:rPr>
          <w:bCs/>
          <w:sz w:val="24"/>
          <w:szCs w:val="24"/>
        </w:rPr>
        <w:t xml:space="preserve"> od.01.2016. godine zasnovao radni odnos kod tuženog na neodređeno vrijeme, radi obavljanja poslova na radnom mjestu pod brojem 12. Stručni saradnik-Odjeljenje za </w:t>
      </w:r>
      <w:r w:rsidR="009A7FAF">
        <w:rPr>
          <w:bCs/>
          <w:sz w:val="24"/>
          <w:szCs w:val="24"/>
        </w:rPr>
        <w:t>, te</w:t>
      </w:r>
      <w:r w:rsidRPr="00CD2D1F">
        <w:rPr>
          <w:bCs/>
          <w:sz w:val="24"/>
          <w:szCs w:val="24"/>
        </w:rPr>
        <w:t xml:space="preserve"> su regulisali uzajamna prava i obveze. Također, nije sporno da je tuženi svojim aktom broj 01.-2</w:t>
      </w:r>
      <w:r w:rsidR="009A7FAF">
        <w:rPr>
          <w:bCs/>
          <w:sz w:val="24"/>
          <w:szCs w:val="24"/>
        </w:rPr>
        <w:t xml:space="preserve"> </w:t>
      </w:r>
      <w:r w:rsidRPr="00CD2D1F">
        <w:rPr>
          <w:bCs/>
          <w:sz w:val="24"/>
          <w:szCs w:val="24"/>
        </w:rPr>
        <w:t xml:space="preserve"> od</w:t>
      </w:r>
      <w:r w:rsidR="009A7FAF">
        <w:rPr>
          <w:bCs/>
          <w:sz w:val="24"/>
          <w:szCs w:val="24"/>
        </w:rPr>
        <w:t xml:space="preserve">  </w:t>
      </w:r>
      <w:r w:rsidRPr="00CD2D1F">
        <w:rPr>
          <w:bCs/>
          <w:sz w:val="24"/>
          <w:szCs w:val="24"/>
        </w:rPr>
        <w:t>.01.2018. godine, na osnovu čl. 23.  Pravilnika o radu, plate, tužitelju umanjio osnovnu platu za januar 2018. godine u iznosu od 10%, jer je dana .01.2018. godine odbio uzeti pismeni radni nalog izdan od neposrednog rukovodioca, ne navodeći razloge nepreuzimanja, pa je svojim neodgovornim ponašanjem i neizvršavanjem dodijeljenog zadatka onemogućio planiranu dinamiku radova sa radnim kolegama iz Sarajevo. Odlukom tuženog broj 01.-2.</w:t>
      </w:r>
      <w:r w:rsidR="009A7FAF">
        <w:rPr>
          <w:bCs/>
          <w:sz w:val="24"/>
          <w:szCs w:val="24"/>
        </w:rPr>
        <w:t xml:space="preserve">  </w:t>
      </w:r>
      <w:r w:rsidRPr="00CD2D1F">
        <w:rPr>
          <w:bCs/>
          <w:sz w:val="24"/>
          <w:szCs w:val="24"/>
        </w:rPr>
        <w:t xml:space="preserve"> od </w:t>
      </w:r>
      <w:r w:rsidR="009A7FAF">
        <w:rPr>
          <w:bCs/>
          <w:sz w:val="24"/>
          <w:szCs w:val="24"/>
        </w:rPr>
        <w:t xml:space="preserve">  </w:t>
      </w:r>
      <w:r w:rsidRPr="00CD2D1F">
        <w:rPr>
          <w:bCs/>
          <w:sz w:val="24"/>
          <w:szCs w:val="24"/>
        </w:rPr>
        <w:t>03.2018. godine zahtjev tužitelja za zaštitu prava od</w:t>
      </w:r>
      <w:r w:rsidR="009A7FAF">
        <w:rPr>
          <w:bCs/>
          <w:sz w:val="24"/>
          <w:szCs w:val="24"/>
        </w:rPr>
        <w:t xml:space="preserve">   </w:t>
      </w:r>
      <w:r w:rsidRPr="00CD2D1F">
        <w:rPr>
          <w:bCs/>
          <w:sz w:val="24"/>
          <w:szCs w:val="24"/>
        </w:rPr>
        <w:t xml:space="preserve">.2018. godine je odbijen kao neosnovan, pozivajući se na odredbe čl. 2. i 23. Plate, dodaci i naknade plate u Društvu. </w:t>
      </w:r>
    </w:p>
    <w:p w:rsidR="00CD2D1F" w:rsidRPr="00CD2D1F" w:rsidRDefault="00CD2D1F" w:rsidP="00CD2D1F">
      <w:pPr>
        <w:jc w:val="both"/>
        <w:rPr>
          <w:bCs/>
          <w:sz w:val="24"/>
          <w:szCs w:val="24"/>
        </w:rPr>
      </w:pPr>
    </w:p>
    <w:p w:rsidR="00CD2D1F" w:rsidRPr="00CD2D1F" w:rsidRDefault="00CD2D1F" w:rsidP="00CD2D1F">
      <w:pPr>
        <w:ind w:firstLine="720"/>
        <w:jc w:val="both"/>
        <w:rPr>
          <w:bCs/>
          <w:sz w:val="24"/>
          <w:szCs w:val="24"/>
        </w:rPr>
      </w:pPr>
      <w:r w:rsidRPr="00CD2D1F">
        <w:rPr>
          <w:bCs/>
          <w:sz w:val="24"/>
          <w:szCs w:val="24"/>
        </w:rPr>
        <w:t xml:space="preserve">Čl. 75. Zakona o radu F BiH (Sl. novine F BiH broj 26/16 i 89/18) propisano je da se plata radnika utvrđuje kolektivnim ugovorom, pravilnikom o radu i ugovorom o radu. Plata za obavljeni rad i vrijeme provedeno na radu sastoji se od: osnovne plate, dijela plate za radni učinak ukoliko je isti ostvaren i uvećanja plate iz čl. 76. Zakona (otežani uslovi rada, prekovremeni rad …). Kolektivnim ugovorom i pravilnikom o radu se utvrđuju elementi za određivanje osnovne plate i dijela plate po osnovu radnog učinka. </w:t>
      </w:r>
    </w:p>
    <w:p w:rsidR="00CD2D1F" w:rsidRPr="00CD2D1F" w:rsidRDefault="00CD2D1F" w:rsidP="00CD2D1F">
      <w:pPr>
        <w:jc w:val="both"/>
        <w:rPr>
          <w:bCs/>
          <w:sz w:val="24"/>
          <w:szCs w:val="24"/>
        </w:rPr>
      </w:pPr>
    </w:p>
    <w:p w:rsidR="00CD2D1F" w:rsidRPr="00CD2D1F" w:rsidRDefault="00CD2D1F" w:rsidP="00CD2D1F">
      <w:pPr>
        <w:ind w:firstLine="720"/>
        <w:jc w:val="both"/>
        <w:rPr>
          <w:bCs/>
          <w:sz w:val="24"/>
          <w:szCs w:val="24"/>
        </w:rPr>
      </w:pPr>
      <w:r w:rsidRPr="00CD2D1F">
        <w:rPr>
          <w:bCs/>
          <w:sz w:val="24"/>
          <w:szCs w:val="24"/>
        </w:rPr>
        <w:t>U konkretnom slučaju tuže</w:t>
      </w:r>
      <w:r w:rsidR="009A7FAF">
        <w:rPr>
          <w:bCs/>
          <w:sz w:val="24"/>
          <w:szCs w:val="24"/>
        </w:rPr>
        <w:t xml:space="preserve">ni kao poslodavac je u čl. 23. </w:t>
      </w:r>
      <w:r w:rsidRPr="00CD2D1F">
        <w:rPr>
          <w:bCs/>
          <w:sz w:val="24"/>
          <w:szCs w:val="24"/>
        </w:rPr>
        <w:t xml:space="preserve"> </w:t>
      </w:r>
      <w:bookmarkStart w:id="0" w:name="_Hlk118890928"/>
      <w:r w:rsidRPr="00CD2D1F">
        <w:rPr>
          <w:bCs/>
          <w:sz w:val="24"/>
          <w:szCs w:val="24"/>
        </w:rPr>
        <w:t xml:space="preserve">Pravilnika o radu, plate, dodaci i naknade plate u društvu </w:t>
      </w:r>
      <w:bookmarkEnd w:id="0"/>
      <w:r w:rsidRPr="00CD2D1F">
        <w:rPr>
          <w:bCs/>
          <w:sz w:val="24"/>
          <w:szCs w:val="24"/>
        </w:rPr>
        <w:t xml:space="preserve">regulisao da  direktor, odnosno od njega ovlašteno lice, može samoincijativno ili na prijedlog lica sa posebnim ovlaštenjima i odgovornostima, radniku, ukoliko isti ne ostvaruje prosječne rezultate rada, odnosno svojim postupcima i odnosom prema radu ne doprinosi uspješnom i kvalitetnom izvršavanju poslova i radnih zadataka, umanjiti osnovnu platu do 20%, da odluke o umanjenjima plate iz st. 2. ovog člana, izrađuje </w:t>
      </w:r>
      <w:r w:rsidR="009A7FAF">
        <w:rPr>
          <w:bCs/>
          <w:sz w:val="24"/>
          <w:szCs w:val="24"/>
        </w:rPr>
        <w:t>--</w:t>
      </w:r>
      <w:r w:rsidRPr="00CD2D1F">
        <w:rPr>
          <w:bCs/>
          <w:sz w:val="24"/>
          <w:szCs w:val="24"/>
        </w:rPr>
        <w:t>za pravne poslove, uprav</w:t>
      </w:r>
      <w:r w:rsidR="009A7FAF">
        <w:rPr>
          <w:bCs/>
          <w:sz w:val="24"/>
          <w:szCs w:val="24"/>
        </w:rPr>
        <w:t xml:space="preserve">ljanje organizacijom i ljudskim; </w:t>
      </w:r>
      <w:r w:rsidRPr="00CD2D1F">
        <w:rPr>
          <w:bCs/>
          <w:sz w:val="24"/>
          <w:szCs w:val="24"/>
        </w:rPr>
        <w:t>da će iz</w:t>
      </w:r>
      <w:r w:rsidR="009A7FAF">
        <w:rPr>
          <w:bCs/>
          <w:sz w:val="24"/>
          <w:szCs w:val="24"/>
        </w:rPr>
        <w:t xml:space="preserve">. </w:t>
      </w:r>
      <w:r w:rsidRPr="00CD2D1F">
        <w:rPr>
          <w:bCs/>
          <w:sz w:val="24"/>
          <w:szCs w:val="24"/>
        </w:rPr>
        <w:t xml:space="preserve"> za pravne poslove, upravljanje organizacijom i ljudskim resursima najkasnije do 20-tog u mjesecu za prethodni mjesec izraditi i objaviti informaciju o dodijeljenim stimulacijama i o umanjenjima osnovne plate, koja obavezno sadrži sljedeće: ime i prezime radnika, stručnu spremu radnika, naziv radnog mjesta na kojem je radnik raspoređen, organizacionu jedinicu u kojoj je radnik raspoređen, visinu odobrene stimulacije/umanjenja osnovne plate i obrazloženje za odobrenu stimulaciju/umanjenje </w:t>
      </w:r>
      <w:r w:rsidRPr="00CD2D1F">
        <w:rPr>
          <w:bCs/>
          <w:sz w:val="24"/>
          <w:szCs w:val="24"/>
        </w:rPr>
        <w:lastRenderedPageBreak/>
        <w:t>osnovne plate</w:t>
      </w:r>
      <w:r w:rsidR="009A7FAF">
        <w:rPr>
          <w:bCs/>
          <w:sz w:val="24"/>
          <w:szCs w:val="24"/>
        </w:rPr>
        <w:t xml:space="preserve">; </w:t>
      </w:r>
      <w:r w:rsidRPr="00CD2D1F">
        <w:rPr>
          <w:bCs/>
          <w:sz w:val="24"/>
          <w:szCs w:val="24"/>
        </w:rPr>
        <w:t xml:space="preserve"> da će se informacija iz st. 4. </w:t>
      </w:r>
      <w:r w:rsidR="009A7FAF">
        <w:rPr>
          <w:bCs/>
          <w:sz w:val="24"/>
          <w:szCs w:val="24"/>
        </w:rPr>
        <w:t xml:space="preserve">ovog člana objavljivat </w:t>
      </w:r>
      <w:r w:rsidRPr="00CD2D1F">
        <w:rPr>
          <w:bCs/>
          <w:sz w:val="24"/>
          <w:szCs w:val="24"/>
        </w:rPr>
        <w:t xml:space="preserve"> i na oglasnim pločama  organizacionih jedinica (stav 5.). </w:t>
      </w:r>
    </w:p>
    <w:p w:rsidR="00CD2D1F" w:rsidRPr="00CD2D1F" w:rsidRDefault="00CD2D1F" w:rsidP="00CD2D1F">
      <w:pPr>
        <w:ind w:firstLine="720"/>
        <w:jc w:val="both"/>
        <w:rPr>
          <w:bCs/>
          <w:sz w:val="24"/>
          <w:szCs w:val="24"/>
        </w:rPr>
      </w:pPr>
    </w:p>
    <w:p w:rsidR="00CD2D1F" w:rsidRPr="00CD2D1F" w:rsidRDefault="00CD2D1F" w:rsidP="00CD2D1F">
      <w:pPr>
        <w:jc w:val="both"/>
        <w:rPr>
          <w:bCs/>
          <w:sz w:val="24"/>
          <w:szCs w:val="24"/>
        </w:rPr>
      </w:pPr>
      <w:r w:rsidRPr="00CD2D1F">
        <w:rPr>
          <w:bCs/>
          <w:sz w:val="24"/>
          <w:szCs w:val="24"/>
        </w:rPr>
        <w:tab/>
        <w:t xml:space="preserve">Razmatrajući žalbeni prigovor tuženog, u pogledu valjanosti odluke od </w:t>
      </w:r>
      <w:r w:rsidR="009A7FAF">
        <w:rPr>
          <w:bCs/>
          <w:sz w:val="24"/>
          <w:szCs w:val="24"/>
        </w:rPr>
        <w:t xml:space="preserve"> </w:t>
      </w:r>
      <w:r w:rsidRPr="00CD2D1F">
        <w:rPr>
          <w:bCs/>
          <w:sz w:val="24"/>
          <w:szCs w:val="24"/>
        </w:rPr>
        <w:t>01.2018. godine i odluke od</w:t>
      </w:r>
      <w:r w:rsidR="009A7FAF">
        <w:rPr>
          <w:bCs/>
          <w:sz w:val="24"/>
          <w:szCs w:val="24"/>
        </w:rPr>
        <w:t xml:space="preserve">  </w:t>
      </w:r>
      <w:r w:rsidRPr="00CD2D1F">
        <w:rPr>
          <w:bCs/>
          <w:sz w:val="24"/>
          <w:szCs w:val="24"/>
        </w:rPr>
        <w:t xml:space="preserve">.03.2018. godine ovaj sud, kao i prvostepeni, zaključuje da nisu doneseni u skladu s </w:t>
      </w:r>
      <w:r w:rsidR="009A7FAF">
        <w:rPr>
          <w:bCs/>
          <w:sz w:val="24"/>
          <w:szCs w:val="24"/>
        </w:rPr>
        <w:t xml:space="preserve"> </w:t>
      </w:r>
      <w:r w:rsidRPr="00CD2D1F">
        <w:rPr>
          <w:bCs/>
          <w:sz w:val="24"/>
          <w:szCs w:val="24"/>
        </w:rPr>
        <w:t>Pravilnika o radu, plate, dodaci i naknade plate tuženog (čl. 23.) i Zakonom o radu (čl. 75.).</w:t>
      </w:r>
    </w:p>
    <w:p w:rsidR="00CD2D1F" w:rsidRPr="00CD2D1F" w:rsidRDefault="00CD2D1F" w:rsidP="00CD2D1F">
      <w:pPr>
        <w:jc w:val="both"/>
        <w:rPr>
          <w:bCs/>
          <w:sz w:val="24"/>
          <w:szCs w:val="24"/>
        </w:rPr>
      </w:pPr>
    </w:p>
    <w:p w:rsidR="00CD2D1F" w:rsidRPr="00CD2D1F" w:rsidRDefault="00CD2D1F" w:rsidP="00CD2D1F">
      <w:pPr>
        <w:jc w:val="both"/>
        <w:rPr>
          <w:bCs/>
          <w:sz w:val="24"/>
          <w:szCs w:val="24"/>
        </w:rPr>
      </w:pPr>
      <w:r w:rsidRPr="00CD2D1F">
        <w:rPr>
          <w:bCs/>
          <w:sz w:val="24"/>
          <w:szCs w:val="24"/>
        </w:rPr>
        <w:tab/>
        <w:t xml:space="preserve">Pravilno prvostepeni sud zaključuje da se umanjenje plate radnika mora temeljiti na unaprijed razrađenim kriterijima u aktima poslodavca, na osnovu kojih se utvrđuje uspješnost i kvalitet izvršenih radnih zadataka i jasno definisanje prosječno ostvarenih rezultata rada, odnosno rezultata rada koji se smatraju ispod prosjeka. Iz provedenog materijalnog dokaza, e-mail korespondencije od </w:t>
      </w:r>
      <w:r w:rsidR="009A7FAF">
        <w:rPr>
          <w:bCs/>
          <w:sz w:val="24"/>
          <w:szCs w:val="24"/>
        </w:rPr>
        <w:t xml:space="preserve"> </w:t>
      </w:r>
      <w:r w:rsidRPr="00CD2D1F">
        <w:rPr>
          <w:bCs/>
          <w:sz w:val="24"/>
          <w:szCs w:val="24"/>
        </w:rPr>
        <w:t xml:space="preserve">01.2018. godine između tužitelja i neposrednog rukovodioca proizilazi da tužitelj nije odbio izvršiti radni zadatak, već je odbio samo zadužiti opremu u svoje ime, a shodno sistematizaciji radnih mjesta i opisu poslova, radno mjesto tužitelja nije ono koje bi tužitelju omogućavalo da bude računopolagač (čl. 2. Pravilnika o materijalnom poslovanju tuženog), a računopolagač prema čl. 18. istog Pravilnika za zaduženje opreme </w:t>
      </w:r>
      <w:r w:rsidR="00B72D19">
        <w:rPr>
          <w:bCs/>
          <w:sz w:val="24"/>
          <w:szCs w:val="24"/>
        </w:rPr>
        <w:t xml:space="preserve">… </w:t>
      </w:r>
      <w:bookmarkStart w:id="1" w:name="_GoBack"/>
      <w:bookmarkEnd w:id="1"/>
      <w:r w:rsidRPr="00CD2D1F">
        <w:rPr>
          <w:bCs/>
          <w:sz w:val="24"/>
          <w:szCs w:val="24"/>
        </w:rPr>
        <w:t xml:space="preserve">je šef organizacione jedinice. </w:t>
      </w:r>
    </w:p>
    <w:p w:rsidR="00CD2D1F" w:rsidRPr="00CD2D1F" w:rsidRDefault="00CD2D1F" w:rsidP="00CD2D1F">
      <w:pPr>
        <w:jc w:val="both"/>
        <w:rPr>
          <w:bCs/>
          <w:sz w:val="24"/>
          <w:szCs w:val="24"/>
        </w:rPr>
      </w:pPr>
    </w:p>
    <w:p w:rsidR="00CD2D1F" w:rsidRPr="00CD2D1F" w:rsidRDefault="00CD2D1F" w:rsidP="00CD2D1F">
      <w:pPr>
        <w:ind w:firstLine="720"/>
        <w:jc w:val="both"/>
        <w:rPr>
          <w:bCs/>
          <w:sz w:val="24"/>
          <w:szCs w:val="24"/>
        </w:rPr>
      </w:pPr>
      <w:r w:rsidRPr="00CD2D1F">
        <w:rPr>
          <w:bCs/>
          <w:sz w:val="24"/>
          <w:szCs w:val="24"/>
        </w:rPr>
        <w:t>Tuženi nije dokazao da je aktima predvidio mogućnost umanjenja plate samo iz razloga što je tužitelj odbio da na svoje ime preuzme uređaj, niti se to može podvesti pod odredbu čl. 23.  Pravilnika o radu, nije dokazao koliko je iznosila prosječno ostvarena norma u januaru 2018. godine, a koliku je tužitelj ostvario (radni nalog je izdan 01.2018. godine, a odluka o umanjenju plate za januar je donesena prije isteka tekućeg mjeseca,</w:t>
      </w:r>
      <w:r w:rsidR="009A7FAF">
        <w:rPr>
          <w:bCs/>
          <w:sz w:val="24"/>
          <w:szCs w:val="24"/>
        </w:rPr>
        <w:t xml:space="preserve">  </w:t>
      </w:r>
      <w:r w:rsidRPr="00CD2D1F">
        <w:rPr>
          <w:bCs/>
          <w:sz w:val="24"/>
          <w:szCs w:val="24"/>
        </w:rPr>
        <w:t xml:space="preserve">01.2018. godine), nije dokazao da je odbijanje tužitelja da preuzme opremu bilo neosnovano, pa se ne može ni zaključiti da takvo ponašanje ne doprinosi uspješnom i kvalitetnom izvršavanju radnih zadataka u okviru organizacione jedinice u društva u cjelini, niti je dokazao da je informacija o umanjenju osnovne plate objavljena u skladu sa stavom 5. </w:t>
      </w:r>
      <w:r w:rsidR="00A207E9">
        <w:rPr>
          <w:bCs/>
          <w:sz w:val="24"/>
          <w:szCs w:val="24"/>
        </w:rPr>
        <w:t xml:space="preserve"> </w:t>
      </w:r>
      <w:r w:rsidRPr="00CD2D1F">
        <w:rPr>
          <w:bCs/>
          <w:sz w:val="24"/>
          <w:szCs w:val="24"/>
        </w:rPr>
        <w:t xml:space="preserve">Pravilnika o radu. U tom pravcu prvostepeni sud je dao valjane i iscrpne razloge koje u potpunosti prihvata i ovaj sud, kako se ne bi nepotrebno ponavljalo, žalitelja upućuje na te razloge. </w:t>
      </w:r>
    </w:p>
    <w:p w:rsidR="00CD2D1F" w:rsidRPr="00CD2D1F" w:rsidRDefault="00CD2D1F" w:rsidP="00CD2D1F">
      <w:pPr>
        <w:jc w:val="both"/>
        <w:rPr>
          <w:bCs/>
          <w:sz w:val="24"/>
          <w:szCs w:val="24"/>
        </w:rPr>
      </w:pPr>
    </w:p>
    <w:p w:rsidR="00CD2D1F" w:rsidRPr="00CD2D1F" w:rsidRDefault="00CD2D1F" w:rsidP="00CD2D1F">
      <w:pPr>
        <w:jc w:val="both"/>
        <w:rPr>
          <w:bCs/>
          <w:sz w:val="24"/>
          <w:szCs w:val="24"/>
        </w:rPr>
      </w:pPr>
      <w:r w:rsidRPr="00CD2D1F">
        <w:rPr>
          <w:bCs/>
          <w:sz w:val="24"/>
          <w:szCs w:val="24"/>
        </w:rPr>
        <w:t xml:space="preserve"> </w:t>
      </w:r>
      <w:r w:rsidRPr="00CD2D1F">
        <w:rPr>
          <w:bCs/>
          <w:sz w:val="24"/>
          <w:szCs w:val="24"/>
        </w:rPr>
        <w:tab/>
        <w:t>Pravilno je tuženi obavezan da tužitelju isplati za mjesec januar 2018. godine iznos od 2</w:t>
      </w:r>
      <w:r w:rsidR="00A207E9">
        <w:rPr>
          <w:bCs/>
          <w:sz w:val="24"/>
          <w:szCs w:val="24"/>
        </w:rPr>
        <w:t>0</w:t>
      </w:r>
      <w:r w:rsidRPr="00CD2D1F">
        <w:rPr>
          <w:bCs/>
          <w:sz w:val="24"/>
          <w:szCs w:val="24"/>
        </w:rPr>
        <w:t xml:space="preserve">0,00 KM za koji mu je neosnovano umanjena plata. Prvostepeni sud je donio pravilnu odluku i o troškovima parničnog postupka, u skladu sa čl. 386. st. 1. ZPP-a prema uspjehu tužitelja u ovoj parnici, a na temelju Tarife o nagradama i naknadi troškova za rad advokata u Federaciji BiH (Službene novine F BiH, broj 22/04). </w:t>
      </w:r>
    </w:p>
    <w:p w:rsidR="00CD2D1F" w:rsidRPr="00CD2D1F" w:rsidRDefault="00CD2D1F" w:rsidP="00CD2D1F">
      <w:pPr>
        <w:jc w:val="both"/>
        <w:rPr>
          <w:bCs/>
          <w:sz w:val="24"/>
          <w:szCs w:val="24"/>
        </w:rPr>
      </w:pPr>
    </w:p>
    <w:p w:rsidR="00CD2D1F" w:rsidRPr="00CD2D1F" w:rsidRDefault="00CD2D1F" w:rsidP="00CD2D1F">
      <w:pPr>
        <w:ind w:firstLine="720"/>
        <w:jc w:val="both"/>
        <w:rPr>
          <w:sz w:val="24"/>
          <w:szCs w:val="24"/>
          <w:lang w:val="bs-Latn-BA"/>
        </w:rPr>
      </w:pPr>
      <w:r w:rsidRPr="00CD2D1F">
        <w:rPr>
          <w:bCs/>
          <w:sz w:val="24"/>
          <w:szCs w:val="24"/>
        </w:rPr>
        <w:t>Kako navodi žalbe ničim ne dovode u pitanje pravilnost i zakonitost pobijene presude, žalbu je kao neosnovanu valjalo odbiti i prvostepenu presudu u cijelosti potvrditi u skladu sa odredbom</w:t>
      </w:r>
      <w:r w:rsidRPr="00CD2D1F">
        <w:rPr>
          <w:sz w:val="24"/>
          <w:szCs w:val="24"/>
        </w:rPr>
        <w:t xml:space="preserve"> člana 226. ZPP-a.</w:t>
      </w:r>
    </w:p>
    <w:p w:rsidR="00CD2D1F" w:rsidRPr="00CD2D1F" w:rsidRDefault="00CD2D1F" w:rsidP="00CD2D1F">
      <w:pPr>
        <w:jc w:val="both"/>
        <w:rPr>
          <w:sz w:val="24"/>
          <w:szCs w:val="24"/>
          <w:lang w:val="hr-BA"/>
        </w:rPr>
      </w:pPr>
    </w:p>
    <w:p w:rsidR="00CD2D1F" w:rsidRPr="00CD2D1F" w:rsidRDefault="00CD2D1F" w:rsidP="00CD2D1F">
      <w:pPr>
        <w:jc w:val="both"/>
        <w:rPr>
          <w:sz w:val="24"/>
          <w:szCs w:val="24"/>
          <w:lang w:val="hr-BA"/>
        </w:rPr>
      </w:pPr>
    </w:p>
    <w:p w:rsidR="00CD2D1F" w:rsidRPr="00CD2D1F" w:rsidRDefault="00CD2D1F" w:rsidP="00CD2D1F">
      <w:pPr>
        <w:jc w:val="both"/>
        <w:rPr>
          <w:sz w:val="24"/>
          <w:szCs w:val="24"/>
          <w:lang w:val="hr-HR"/>
        </w:rPr>
      </w:pPr>
      <w:r w:rsidRPr="00CD2D1F">
        <w:rPr>
          <w:sz w:val="24"/>
          <w:szCs w:val="24"/>
          <w:lang w:val="hr-BA"/>
        </w:rPr>
        <w:t xml:space="preserve">                 </w:t>
      </w:r>
      <w:r w:rsidRPr="00CD2D1F">
        <w:rPr>
          <w:sz w:val="24"/>
          <w:szCs w:val="24"/>
        </w:rPr>
        <w:t xml:space="preserve">                                                                                             Predsjednica vijeća</w:t>
      </w:r>
    </w:p>
    <w:p w:rsidR="00CD2D1F" w:rsidRPr="00CD2D1F" w:rsidRDefault="00CD2D1F" w:rsidP="00CD2D1F">
      <w:pPr>
        <w:jc w:val="both"/>
        <w:rPr>
          <w:sz w:val="24"/>
          <w:szCs w:val="24"/>
        </w:rPr>
      </w:pPr>
      <w:r w:rsidRPr="00CD2D1F">
        <w:rPr>
          <w:sz w:val="24"/>
          <w:szCs w:val="24"/>
        </w:rPr>
        <w:tab/>
      </w:r>
      <w:r w:rsidRPr="00CD2D1F">
        <w:rPr>
          <w:sz w:val="24"/>
          <w:szCs w:val="24"/>
        </w:rPr>
        <w:tab/>
      </w:r>
      <w:r w:rsidRPr="00CD2D1F">
        <w:rPr>
          <w:sz w:val="24"/>
          <w:szCs w:val="24"/>
        </w:rPr>
        <w:tab/>
      </w:r>
      <w:r w:rsidRPr="00CD2D1F">
        <w:rPr>
          <w:sz w:val="24"/>
          <w:szCs w:val="24"/>
        </w:rPr>
        <w:tab/>
      </w:r>
      <w:r w:rsidRPr="00CD2D1F">
        <w:rPr>
          <w:sz w:val="24"/>
          <w:szCs w:val="24"/>
        </w:rPr>
        <w:tab/>
      </w:r>
      <w:r w:rsidRPr="00CD2D1F">
        <w:rPr>
          <w:sz w:val="24"/>
          <w:szCs w:val="24"/>
        </w:rPr>
        <w:tab/>
      </w:r>
      <w:r w:rsidRPr="00CD2D1F">
        <w:rPr>
          <w:sz w:val="24"/>
          <w:szCs w:val="24"/>
        </w:rPr>
        <w:tab/>
      </w:r>
      <w:r w:rsidRPr="00CD2D1F">
        <w:rPr>
          <w:sz w:val="24"/>
          <w:szCs w:val="24"/>
        </w:rPr>
        <w:tab/>
      </w:r>
      <w:r w:rsidRPr="00CD2D1F">
        <w:rPr>
          <w:sz w:val="24"/>
          <w:szCs w:val="24"/>
        </w:rPr>
        <w:tab/>
        <w:t xml:space="preserve">      Rabija Tanović</w:t>
      </w:r>
    </w:p>
    <w:p w:rsidR="00CD2D1F" w:rsidRPr="00CD2D1F" w:rsidRDefault="00CD2D1F" w:rsidP="00CD2D1F">
      <w:pPr>
        <w:jc w:val="both"/>
        <w:rPr>
          <w:sz w:val="24"/>
          <w:szCs w:val="24"/>
        </w:rPr>
      </w:pPr>
    </w:p>
    <w:p w:rsidR="00CD2D1F" w:rsidRPr="00CD2D1F" w:rsidRDefault="00CD2D1F" w:rsidP="00CD2D1F">
      <w:pPr>
        <w:jc w:val="both"/>
        <w:rPr>
          <w:sz w:val="24"/>
          <w:szCs w:val="24"/>
        </w:rPr>
      </w:pPr>
    </w:p>
    <w:p w:rsidR="00CD2D1F" w:rsidRPr="00CD2D1F" w:rsidRDefault="00CD2D1F" w:rsidP="00CD2D1F">
      <w:pPr>
        <w:jc w:val="both"/>
        <w:rPr>
          <w:sz w:val="24"/>
          <w:szCs w:val="24"/>
        </w:rPr>
      </w:pPr>
    </w:p>
    <w:p w:rsidR="00CD2D1F" w:rsidRPr="00CD2D1F" w:rsidRDefault="00CD2D1F" w:rsidP="00CD2D1F">
      <w:pPr>
        <w:jc w:val="both"/>
        <w:rPr>
          <w:sz w:val="24"/>
          <w:szCs w:val="24"/>
        </w:rPr>
      </w:pPr>
    </w:p>
    <w:p w:rsidR="00CD2D1F" w:rsidRPr="00CD2D1F" w:rsidRDefault="00CD2D1F" w:rsidP="00CD2D1F">
      <w:pPr>
        <w:jc w:val="both"/>
        <w:rPr>
          <w:sz w:val="24"/>
          <w:szCs w:val="24"/>
        </w:rPr>
      </w:pPr>
    </w:p>
    <w:p w:rsidR="00CD2D1F" w:rsidRPr="00CD2D1F" w:rsidRDefault="00CD2D1F" w:rsidP="00CD2D1F">
      <w:pPr>
        <w:jc w:val="both"/>
        <w:rPr>
          <w:sz w:val="24"/>
          <w:szCs w:val="24"/>
        </w:rPr>
      </w:pPr>
    </w:p>
    <w:p w:rsidR="00CD2D1F" w:rsidRPr="00CD2D1F" w:rsidRDefault="00CD2D1F" w:rsidP="00CD2D1F">
      <w:pPr>
        <w:jc w:val="both"/>
        <w:rPr>
          <w:sz w:val="24"/>
          <w:szCs w:val="24"/>
        </w:rPr>
      </w:pPr>
    </w:p>
    <w:sectPr w:rsidR="00CD2D1F" w:rsidRPr="00CD2D1F">
      <w:footerReference w:type="default" r:id="rId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36CD" w:rsidRDefault="00A536CD" w:rsidP="007912A8">
      <w:r>
        <w:separator/>
      </w:r>
    </w:p>
  </w:endnote>
  <w:endnote w:type="continuationSeparator" w:id="0">
    <w:p w:rsidR="00A536CD" w:rsidRDefault="00A536CD" w:rsidP="00791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2A8" w:rsidRDefault="007912A8">
    <w:pPr>
      <w:pStyle w:val="Footer"/>
      <w:jc w:val="right"/>
    </w:pPr>
    <w:r>
      <w:fldChar w:fldCharType="begin"/>
    </w:r>
    <w:r>
      <w:instrText>PAGE   \* MERGEFORMAT</w:instrText>
    </w:r>
    <w:r>
      <w:fldChar w:fldCharType="separate"/>
    </w:r>
    <w:r w:rsidR="00B72D19" w:rsidRPr="00B72D19">
      <w:rPr>
        <w:noProof/>
        <w:lang w:val="hr-HR"/>
      </w:rPr>
      <w:t>3</w:t>
    </w:r>
    <w:r>
      <w:fldChar w:fldCharType="end"/>
    </w:r>
  </w:p>
  <w:p w:rsidR="007912A8" w:rsidRDefault="007912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36CD" w:rsidRDefault="00A536CD" w:rsidP="007912A8">
      <w:r>
        <w:separator/>
      </w:r>
    </w:p>
  </w:footnote>
  <w:footnote w:type="continuationSeparator" w:id="0">
    <w:p w:rsidR="00A536CD" w:rsidRDefault="00A536CD" w:rsidP="007912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70D7"/>
    <w:rsid w:val="000244B8"/>
    <w:rsid w:val="00063176"/>
    <w:rsid w:val="00071E92"/>
    <w:rsid w:val="002158B8"/>
    <w:rsid w:val="003A7BC9"/>
    <w:rsid w:val="003D7EDE"/>
    <w:rsid w:val="00445390"/>
    <w:rsid w:val="004F071C"/>
    <w:rsid w:val="00523B11"/>
    <w:rsid w:val="00601FF9"/>
    <w:rsid w:val="0061613B"/>
    <w:rsid w:val="007716B8"/>
    <w:rsid w:val="007912A8"/>
    <w:rsid w:val="007B055B"/>
    <w:rsid w:val="0080470B"/>
    <w:rsid w:val="008262C8"/>
    <w:rsid w:val="00891364"/>
    <w:rsid w:val="00892D69"/>
    <w:rsid w:val="008935B3"/>
    <w:rsid w:val="009061D6"/>
    <w:rsid w:val="009A7FAF"/>
    <w:rsid w:val="00A207E9"/>
    <w:rsid w:val="00A3430E"/>
    <w:rsid w:val="00A536CD"/>
    <w:rsid w:val="00AE54E3"/>
    <w:rsid w:val="00B1305C"/>
    <w:rsid w:val="00B70D6D"/>
    <w:rsid w:val="00B72D19"/>
    <w:rsid w:val="00B91B6C"/>
    <w:rsid w:val="00C370D7"/>
    <w:rsid w:val="00CD2D1F"/>
    <w:rsid w:val="00CD4EDB"/>
    <w:rsid w:val="00CF60A2"/>
    <w:rsid w:val="00D1101E"/>
    <w:rsid w:val="00D211B9"/>
    <w:rsid w:val="00D521DC"/>
    <w:rsid w:val="00DA770F"/>
    <w:rsid w:val="00DE0438"/>
    <w:rsid w:val="00E61519"/>
    <w:rsid w:val="00FD12EB"/>
    <w:rsid w:val="00FD1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9DFAA8"/>
  <w15:docId w15:val="{D51E3A9C-F236-4F88-8223-ED1D469ED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70D7"/>
    <w:rPr>
      <w:lang w:val="en-GB"/>
    </w:rPr>
  </w:style>
  <w:style w:type="paragraph" w:styleId="Heading1">
    <w:name w:val="heading 1"/>
    <w:basedOn w:val="Normal"/>
    <w:next w:val="Normal"/>
    <w:qFormat/>
    <w:rsid w:val="00C370D7"/>
    <w:pPr>
      <w:keepNext/>
      <w:jc w:val="center"/>
      <w:outlineLvl w:val="0"/>
    </w:pPr>
    <w:rPr>
      <w:b/>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912A8"/>
    <w:pPr>
      <w:tabs>
        <w:tab w:val="center" w:pos="4513"/>
        <w:tab w:val="right" w:pos="9026"/>
      </w:tabs>
    </w:pPr>
  </w:style>
  <w:style w:type="character" w:customStyle="1" w:styleId="HeaderChar">
    <w:name w:val="Header Char"/>
    <w:link w:val="Header"/>
    <w:rsid w:val="007912A8"/>
    <w:rPr>
      <w:lang w:val="en-GB" w:eastAsia="en-US"/>
    </w:rPr>
  </w:style>
  <w:style w:type="paragraph" w:styleId="Footer">
    <w:name w:val="footer"/>
    <w:basedOn w:val="Normal"/>
    <w:link w:val="FooterChar"/>
    <w:uiPriority w:val="99"/>
    <w:rsid w:val="007912A8"/>
    <w:pPr>
      <w:tabs>
        <w:tab w:val="center" w:pos="4513"/>
        <w:tab w:val="right" w:pos="9026"/>
      </w:tabs>
    </w:pPr>
  </w:style>
  <w:style w:type="character" w:customStyle="1" w:styleId="FooterChar">
    <w:name w:val="Footer Char"/>
    <w:link w:val="Footer"/>
    <w:uiPriority w:val="99"/>
    <w:rsid w:val="007912A8"/>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629531">
      <w:bodyDiv w:val="1"/>
      <w:marLeft w:val="0"/>
      <w:marRight w:val="0"/>
      <w:marTop w:val="0"/>
      <w:marBottom w:val="0"/>
      <w:divBdr>
        <w:top w:val="none" w:sz="0" w:space="0" w:color="auto"/>
        <w:left w:val="none" w:sz="0" w:space="0" w:color="auto"/>
        <w:bottom w:val="none" w:sz="0" w:space="0" w:color="auto"/>
        <w:right w:val="none" w:sz="0" w:space="0" w:color="auto"/>
      </w:divBdr>
    </w:div>
    <w:div w:id="1143352768">
      <w:bodyDiv w:val="1"/>
      <w:marLeft w:val="0"/>
      <w:marRight w:val="0"/>
      <w:marTop w:val="0"/>
      <w:marBottom w:val="0"/>
      <w:divBdr>
        <w:top w:val="none" w:sz="0" w:space="0" w:color="auto"/>
        <w:left w:val="none" w:sz="0" w:space="0" w:color="auto"/>
        <w:bottom w:val="none" w:sz="0" w:space="0" w:color="auto"/>
        <w:right w:val="none" w:sz="0" w:space="0" w:color="auto"/>
      </w:divBdr>
    </w:div>
    <w:div w:id="1868568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4</Pages>
  <Words>1281</Words>
  <Characters>7306</Characters>
  <Application>Microsoft Office Word</Application>
  <DocSecurity>0</DocSecurity>
  <Lines>60</Lines>
  <Paragraphs>17</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BOSNA I HERCEGOVINA                                                         14120</vt:lpstr>
      <vt:lpstr>BOSNA I HERCEGOVINA                                                         14120</vt:lpstr>
    </vt:vector>
  </TitlesOfParts>
  <Company>ETF</Company>
  <LinksUpToDate>false</LinksUpToDate>
  <CharactersWithSpaces>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BOSNA I HERCEGOVINA                                                         14120</dc:title>
  <dc:subject/>
  <dc:creator>nn</dc:creator>
  <cp:keywords/>
  <cp:lastModifiedBy>Gordana Puljarevic</cp:lastModifiedBy>
  <cp:revision>5</cp:revision>
  <dcterms:created xsi:type="dcterms:W3CDTF">2023-09-07T14:44:00Z</dcterms:created>
  <dcterms:modified xsi:type="dcterms:W3CDTF">2023-12-07T10:35:00Z</dcterms:modified>
</cp:coreProperties>
</file>