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584" w:rsidRPr="00287584" w:rsidRDefault="00287584" w:rsidP="00287584">
      <w:pPr>
        <w:jc w:val="both"/>
        <w:rPr>
          <w:rFonts w:ascii="Garamond" w:hAnsi="Garamond"/>
        </w:rPr>
      </w:pPr>
      <w:r w:rsidRPr="00287584">
        <w:rPr>
          <w:rFonts w:ascii="Garamond" w:hAnsi="Garamond"/>
          <w:b/>
          <w:bCs/>
        </w:rPr>
        <w:t>BOSNA I HERCEGOVINA</w:t>
      </w:r>
    </w:p>
    <w:p w:rsidR="00287584" w:rsidRPr="00287584" w:rsidRDefault="00287584" w:rsidP="00287584">
      <w:pPr>
        <w:rPr>
          <w:rFonts w:ascii="Garamond" w:hAnsi="Garamond"/>
        </w:rPr>
      </w:pPr>
      <w:r w:rsidRPr="00287584">
        <w:rPr>
          <w:rFonts w:ascii="Garamond" w:hAnsi="Garamond"/>
          <w:b/>
          <w:bCs/>
        </w:rPr>
        <w:t>FEDERACIJA BOSNE I HERCEGOVINE</w:t>
      </w:r>
    </w:p>
    <w:p w:rsidR="00287584" w:rsidRPr="00287584" w:rsidRDefault="00287584" w:rsidP="00287584">
      <w:pPr>
        <w:rPr>
          <w:rFonts w:ascii="Garamond" w:hAnsi="Garamond"/>
        </w:rPr>
      </w:pPr>
      <w:r w:rsidRPr="00287584">
        <w:rPr>
          <w:rFonts w:ascii="Garamond" w:hAnsi="Garamond"/>
          <w:b/>
          <w:bCs/>
        </w:rPr>
        <w:t>TUZLANSKI KANTON</w:t>
      </w:r>
    </w:p>
    <w:p w:rsidR="00287584" w:rsidRPr="00287584" w:rsidRDefault="00287584" w:rsidP="00287584">
      <w:pPr>
        <w:jc w:val="both"/>
        <w:rPr>
          <w:rFonts w:ascii="Garamond" w:hAnsi="Garamond"/>
        </w:rPr>
      </w:pPr>
      <w:r w:rsidRPr="00287584">
        <w:rPr>
          <w:rFonts w:ascii="Garamond" w:hAnsi="Garamond"/>
          <w:b/>
          <w:bCs/>
        </w:rPr>
        <w:t>OPĆINSKI SUD U LUKAVCU</w:t>
      </w:r>
    </w:p>
    <w:p w:rsidR="00287584" w:rsidRPr="00287584" w:rsidRDefault="00287584" w:rsidP="00287584">
      <w:pPr>
        <w:jc w:val="both"/>
        <w:rPr>
          <w:rFonts w:ascii="Garamond" w:hAnsi="Garamond"/>
        </w:rPr>
      </w:pPr>
      <w:r w:rsidRPr="00287584">
        <w:rPr>
          <w:rFonts w:ascii="Garamond" w:hAnsi="Garamond"/>
          <w:b/>
          <w:bCs/>
        </w:rPr>
        <w:t xml:space="preserve">Broj: </w:t>
      </w:r>
      <w:r w:rsidRPr="00287584">
        <w:rPr>
          <w:rFonts w:ascii="Garamond" w:hAnsi="Garamond"/>
          <w:b/>
          <w:bCs/>
          <w:shd w:val="clear" w:color="auto" w:fill="FFFFFF"/>
        </w:rPr>
        <w:t>126 0 P 217395 22 P</w:t>
      </w:r>
    </w:p>
    <w:p w:rsidR="00287584" w:rsidRPr="00287584" w:rsidRDefault="00287584" w:rsidP="00287584">
      <w:pPr>
        <w:jc w:val="both"/>
        <w:rPr>
          <w:rFonts w:ascii="Garamond" w:hAnsi="Garamond"/>
          <w:b/>
          <w:bCs/>
        </w:rPr>
      </w:pPr>
      <w:r w:rsidRPr="00287584">
        <w:rPr>
          <w:rFonts w:ascii="Garamond" w:hAnsi="Garamond"/>
          <w:b/>
          <w:bCs/>
        </w:rPr>
        <w:t xml:space="preserve">Lukavac, 16.07.2024. </w:t>
      </w:r>
      <w:proofErr w:type="gramStart"/>
      <w:r w:rsidRPr="00287584">
        <w:rPr>
          <w:rFonts w:ascii="Garamond" w:hAnsi="Garamond"/>
          <w:b/>
          <w:bCs/>
        </w:rPr>
        <w:t>godine</w:t>
      </w:r>
      <w:proofErr w:type="gramEnd"/>
    </w:p>
    <w:p w:rsidR="00287584" w:rsidRPr="00287584" w:rsidRDefault="00287584" w:rsidP="00287584">
      <w:pPr>
        <w:jc w:val="both"/>
        <w:rPr>
          <w:rFonts w:ascii="Garamond" w:hAnsi="Garamond"/>
        </w:rPr>
      </w:pPr>
    </w:p>
    <w:p w:rsidR="00287584" w:rsidRPr="00287584" w:rsidRDefault="00287584" w:rsidP="00287584">
      <w:pPr>
        <w:jc w:val="both"/>
        <w:rPr>
          <w:rFonts w:ascii="Garamond" w:hAnsi="Garamond"/>
        </w:rPr>
      </w:pPr>
      <w:r w:rsidRPr="00287584">
        <w:rPr>
          <w:rFonts w:ascii="Garamond" w:hAnsi="Garamond"/>
        </w:rPr>
        <w:t>Općinski sud u Lukavcu, sudija Emina Burgić Omerdić, u pravnoj stvari tužitelja Grad Lukavac, kojeg zastupa Gradsko pravobranilašt</w:t>
      </w:r>
      <w:r w:rsidR="00FD65E4">
        <w:rPr>
          <w:rFonts w:ascii="Garamond" w:hAnsi="Garamond"/>
        </w:rPr>
        <w:t>vo Lukavac, protiv tužene I.T kćeri H…</w:t>
      </w:r>
      <w:r w:rsidRPr="00287584">
        <w:rPr>
          <w:rFonts w:ascii="Garamond" w:hAnsi="Garamond"/>
        </w:rPr>
        <w:t xml:space="preserve"> iz Lukavca, </w:t>
      </w:r>
      <w:r w:rsidR="00FD65E4">
        <w:rPr>
          <w:rFonts w:ascii="Garamond" w:hAnsi="Garamond"/>
        </w:rPr>
        <w:t>…</w:t>
      </w:r>
      <w:r w:rsidRPr="00287584">
        <w:rPr>
          <w:rFonts w:ascii="Garamond" w:hAnsi="Garamond"/>
        </w:rPr>
        <w:t xml:space="preserve"> broj 1, radi predaje u posjed nekretnine, vrijednost predmeta spora 15.000,00 KM, nakon održanog ročišta za glavnu raspravu dana 04.07.2024. </w:t>
      </w:r>
      <w:proofErr w:type="gramStart"/>
      <w:r w:rsidRPr="00287584">
        <w:rPr>
          <w:rFonts w:ascii="Garamond" w:hAnsi="Garamond"/>
        </w:rPr>
        <w:t>godine</w:t>
      </w:r>
      <w:proofErr w:type="gramEnd"/>
      <w:r w:rsidRPr="00287584">
        <w:rPr>
          <w:rFonts w:ascii="Garamond" w:hAnsi="Garamond"/>
        </w:rPr>
        <w:t xml:space="preserve"> u prisustvu zakonskog zastupnika tužitelja i u odsustvu uredno obaviještene tužene, dana 16.07.2024. </w:t>
      </w:r>
      <w:proofErr w:type="gramStart"/>
      <w:r w:rsidRPr="00287584">
        <w:rPr>
          <w:rFonts w:ascii="Garamond" w:hAnsi="Garamond"/>
        </w:rPr>
        <w:t>godine</w:t>
      </w:r>
      <w:proofErr w:type="gramEnd"/>
      <w:r w:rsidRPr="00287584">
        <w:rPr>
          <w:rFonts w:ascii="Garamond" w:hAnsi="Garamond"/>
        </w:rPr>
        <w:t xml:space="preserve"> donio je  </w:t>
      </w:r>
    </w:p>
    <w:p w:rsidR="00287584" w:rsidRPr="00287584" w:rsidRDefault="00287584" w:rsidP="00287584">
      <w:pPr>
        <w:jc w:val="both"/>
        <w:rPr>
          <w:rFonts w:ascii="Garamond" w:hAnsi="Garamond"/>
        </w:rPr>
      </w:pPr>
    </w:p>
    <w:p w:rsidR="00287584" w:rsidRPr="00287584" w:rsidRDefault="00287584" w:rsidP="00287584">
      <w:pPr>
        <w:jc w:val="center"/>
        <w:rPr>
          <w:rFonts w:ascii="Garamond" w:hAnsi="Garamond"/>
          <w:b/>
          <w:bCs/>
        </w:rPr>
      </w:pPr>
      <w:r w:rsidRPr="00287584">
        <w:rPr>
          <w:rFonts w:ascii="Garamond" w:hAnsi="Garamond"/>
          <w:b/>
          <w:bCs/>
        </w:rPr>
        <w:t>P R E S U D U</w:t>
      </w:r>
    </w:p>
    <w:p w:rsidR="00287584" w:rsidRPr="00287584" w:rsidRDefault="00287584" w:rsidP="00287584">
      <w:pPr>
        <w:jc w:val="both"/>
        <w:rPr>
          <w:rFonts w:ascii="Garamond" w:hAnsi="Garamond"/>
        </w:rPr>
      </w:pPr>
    </w:p>
    <w:p w:rsidR="00287584" w:rsidRPr="00287584" w:rsidRDefault="00287584" w:rsidP="00287584">
      <w:pPr>
        <w:jc w:val="both"/>
        <w:rPr>
          <w:rFonts w:ascii="Garamond" w:hAnsi="Garamond"/>
        </w:rPr>
      </w:pPr>
      <w:r w:rsidRPr="00287584">
        <w:rPr>
          <w:rFonts w:ascii="Garamond" w:hAnsi="Garamond"/>
        </w:rPr>
        <w:t xml:space="preserve">Tužena je dužna tužitelju predati u posjed i osloboditi od lica i stvari stambenu jedinicu </w:t>
      </w:r>
      <w:r w:rsidRPr="00287584">
        <w:rPr>
          <w:rFonts w:ascii="Garamond" w:hAnsi="Garamond" w:cs="Arial"/>
        </w:rPr>
        <w:t>koja se sastoji od četiri sobe i kupatila, a koja se nalazi na prvom spratu zgrade izgrađene na parceli označenoj po novom i starom premjeru kao k.č. broj 2716 zvana “</w:t>
      </w:r>
      <w:r w:rsidR="00DF5BCA" w:rsidRPr="00287584">
        <w:rPr>
          <w:rFonts w:ascii="Garamond" w:hAnsi="Garamond" w:cs="Arial"/>
        </w:rPr>
        <w:t>Dom zgrada stara zgrada</w:t>
      </w:r>
      <w:r w:rsidR="00DF5BCA" w:rsidRPr="00287584">
        <w:rPr>
          <w:rFonts w:ascii="Garamond" w:hAnsi="Garamond" w:cs="Arial"/>
        </w:rPr>
        <w:t xml:space="preserve"> </w:t>
      </w:r>
      <w:bookmarkStart w:id="0" w:name="_GoBack"/>
      <w:bookmarkEnd w:id="0"/>
      <w:proofErr w:type="gramStart"/>
      <w:r w:rsidRPr="00287584">
        <w:rPr>
          <w:rFonts w:ascii="Garamond" w:hAnsi="Garamond" w:cs="Arial"/>
        </w:rPr>
        <w:t>“ u</w:t>
      </w:r>
      <w:proofErr w:type="gramEnd"/>
      <w:r w:rsidRPr="00287584">
        <w:rPr>
          <w:rFonts w:ascii="Garamond" w:hAnsi="Garamond" w:cs="Arial"/>
        </w:rPr>
        <w:t xml:space="preserve"> naravi kuća i zgrada u površini 143 m</w:t>
      </w:r>
      <w:r w:rsidRPr="00287584">
        <w:rPr>
          <w:rFonts w:ascii="Garamond" w:hAnsi="Garamond" w:cs="Arial"/>
          <w:vertAlign w:val="superscript"/>
        </w:rPr>
        <w:t>2</w:t>
      </w:r>
      <w:r w:rsidRPr="00287584">
        <w:rPr>
          <w:rFonts w:ascii="Garamond" w:hAnsi="Garamond" w:cs="Arial"/>
        </w:rPr>
        <w:t xml:space="preserve"> KO Lukavac upisana u PL broj </w:t>
      </w:r>
      <w:r w:rsidR="00FD65E4">
        <w:rPr>
          <w:rFonts w:ascii="Garamond" w:hAnsi="Garamond" w:cs="Arial"/>
        </w:rPr>
        <w:t>…</w:t>
      </w:r>
      <w:r w:rsidRPr="00287584">
        <w:rPr>
          <w:rFonts w:ascii="Garamond" w:hAnsi="Garamond" w:cs="Arial"/>
        </w:rPr>
        <w:t xml:space="preserve"> KO Lukavac i u zk.ul. broj </w:t>
      </w:r>
      <w:r w:rsidR="00FD65E4">
        <w:rPr>
          <w:rFonts w:ascii="Garamond" w:hAnsi="Garamond" w:cs="Arial"/>
        </w:rPr>
        <w:t>…</w:t>
      </w:r>
      <w:r w:rsidRPr="00287584">
        <w:rPr>
          <w:rFonts w:ascii="Garamond" w:hAnsi="Garamond" w:cs="Arial"/>
        </w:rPr>
        <w:t xml:space="preserve"> KO Lukavac</w:t>
      </w:r>
      <w:r w:rsidRPr="00287584">
        <w:rPr>
          <w:rFonts w:ascii="Garamond" w:hAnsi="Garamond"/>
        </w:rPr>
        <w:t>, te tužitelju nadoknaditi troškove parničnog postupka u iznosu od 1.</w:t>
      </w:r>
      <w:r w:rsidR="00F431AD">
        <w:rPr>
          <w:rFonts w:ascii="Garamond" w:hAnsi="Garamond"/>
        </w:rPr>
        <w:t>090</w:t>
      </w:r>
      <w:r w:rsidRPr="00287584">
        <w:rPr>
          <w:rFonts w:ascii="Garamond" w:hAnsi="Garamond"/>
        </w:rPr>
        <w:t>,00 KM,  sve u roku od 30 dana od dana počev od prvog narednog dana od dana dostavljanja pismenog otpravka presude.</w:t>
      </w:r>
    </w:p>
    <w:p w:rsidR="00287584" w:rsidRPr="00287584" w:rsidRDefault="00287584" w:rsidP="00287584">
      <w:pPr>
        <w:jc w:val="both"/>
        <w:rPr>
          <w:rFonts w:ascii="Garamond" w:hAnsi="Garamond"/>
        </w:rPr>
      </w:pPr>
    </w:p>
    <w:p w:rsidR="00287584" w:rsidRPr="00287584" w:rsidRDefault="00287584" w:rsidP="00287584">
      <w:pPr>
        <w:spacing w:after="200"/>
        <w:jc w:val="center"/>
        <w:rPr>
          <w:rFonts w:ascii="Garamond" w:hAnsi="Garamond"/>
          <w:b/>
          <w:bCs/>
          <w:i/>
          <w:iCs/>
        </w:rPr>
      </w:pPr>
      <w:r w:rsidRPr="00287584">
        <w:rPr>
          <w:rFonts w:ascii="Garamond" w:hAnsi="Garamond"/>
          <w:b/>
          <w:bCs/>
          <w:i/>
          <w:iCs/>
        </w:rPr>
        <w:t xml:space="preserve">O b r a z l o ž e </w:t>
      </w:r>
      <w:proofErr w:type="gramStart"/>
      <w:r w:rsidRPr="00287584">
        <w:rPr>
          <w:rFonts w:ascii="Garamond" w:hAnsi="Garamond"/>
          <w:b/>
          <w:bCs/>
          <w:i/>
          <w:iCs/>
        </w:rPr>
        <w:t>nj</w:t>
      </w:r>
      <w:proofErr w:type="gramEnd"/>
      <w:r w:rsidRPr="00287584">
        <w:rPr>
          <w:rFonts w:ascii="Garamond" w:hAnsi="Garamond"/>
          <w:b/>
          <w:bCs/>
          <w:i/>
          <w:iCs/>
        </w:rPr>
        <w:t xml:space="preserve"> e</w:t>
      </w:r>
    </w:p>
    <w:p w:rsidR="00287584" w:rsidRPr="00287584" w:rsidRDefault="00287584" w:rsidP="00287584">
      <w:pPr>
        <w:jc w:val="both"/>
        <w:rPr>
          <w:rFonts w:ascii="Garamond" w:hAnsi="Garamond"/>
        </w:rPr>
      </w:pPr>
      <w:r w:rsidRPr="00287584">
        <w:rPr>
          <w:rFonts w:ascii="Garamond" w:hAnsi="Garamond"/>
        </w:rPr>
        <w:t xml:space="preserve">Tužitelj je </w:t>
      </w:r>
      <w:proofErr w:type="gramStart"/>
      <w:r w:rsidRPr="00287584">
        <w:rPr>
          <w:rFonts w:ascii="Garamond" w:hAnsi="Garamond"/>
        </w:rPr>
        <w:t>dana</w:t>
      </w:r>
      <w:proofErr w:type="gramEnd"/>
      <w:r w:rsidRPr="00287584">
        <w:rPr>
          <w:rFonts w:ascii="Garamond" w:hAnsi="Garamond"/>
        </w:rPr>
        <w:t xml:space="preserve"> 09.05.2022. </w:t>
      </w:r>
      <w:proofErr w:type="gramStart"/>
      <w:r w:rsidRPr="00287584">
        <w:rPr>
          <w:rFonts w:ascii="Garamond" w:hAnsi="Garamond"/>
        </w:rPr>
        <w:t>godine</w:t>
      </w:r>
      <w:proofErr w:type="gramEnd"/>
      <w:r w:rsidRPr="00287584">
        <w:rPr>
          <w:rFonts w:ascii="Garamond" w:hAnsi="Garamond"/>
        </w:rPr>
        <w:t xml:space="preserve"> posredstvom zakonskog zastupnika podnio tužbu protiv tužene radi predaje u posjed. U činjeničnim navodima tužbe navedeno je tužitelj vlasnik objekta koji je Odlukom Komisije BiH za očuvanje nacionalnih spomenika </w:t>
      </w:r>
      <w:proofErr w:type="gramStart"/>
      <w:r w:rsidRPr="00287584">
        <w:rPr>
          <w:rFonts w:ascii="Garamond" w:hAnsi="Garamond"/>
        </w:rPr>
        <w:t>od</w:t>
      </w:r>
      <w:proofErr w:type="gramEnd"/>
      <w:r w:rsidRPr="00287584">
        <w:rPr>
          <w:rFonts w:ascii="Garamond" w:hAnsi="Garamond"/>
        </w:rPr>
        <w:t xml:space="preserve"> 17.12.2015. </w:t>
      </w:r>
      <w:proofErr w:type="gramStart"/>
      <w:r w:rsidRPr="00287584">
        <w:rPr>
          <w:rFonts w:ascii="Garamond" w:hAnsi="Garamond"/>
        </w:rPr>
        <w:t>godine</w:t>
      </w:r>
      <w:proofErr w:type="gramEnd"/>
      <w:r w:rsidRPr="00287584">
        <w:rPr>
          <w:rFonts w:ascii="Garamond" w:hAnsi="Garamond"/>
        </w:rPr>
        <w:t xml:space="preserve"> proglašen istorijskom građevinom, a koji objekat je izgrađen na parcelama označenim kao kč.br. 2715 i 2716, obje upisane u zk.ul.br. </w:t>
      </w:r>
      <w:r w:rsidR="00FD65E4">
        <w:rPr>
          <w:rFonts w:ascii="Garamond" w:hAnsi="Garamond"/>
        </w:rPr>
        <w:t>…</w:t>
      </w:r>
      <w:r w:rsidRPr="00287584">
        <w:rPr>
          <w:rFonts w:ascii="Garamond" w:hAnsi="Garamond"/>
        </w:rPr>
        <w:t xml:space="preserve"> KO Lukavac. Navedeno je nadalje da u ovom objektu tužena koristi stambenu jedinicu površine 85 m2 </w:t>
      </w:r>
      <w:proofErr w:type="gramStart"/>
      <w:r w:rsidRPr="00287584">
        <w:rPr>
          <w:rFonts w:ascii="Garamond" w:hAnsi="Garamond"/>
        </w:rPr>
        <w:t>sa</w:t>
      </w:r>
      <w:proofErr w:type="gramEnd"/>
      <w:r w:rsidRPr="00287584">
        <w:rPr>
          <w:rFonts w:ascii="Garamond" w:hAnsi="Garamond"/>
        </w:rPr>
        <w:t xml:space="preserve"> još sedam lica, bez pravnog osnova. Napomenuto je da predmetna zgrada nije etažirana, pa da </w:t>
      </w:r>
      <w:proofErr w:type="gramStart"/>
      <w:r w:rsidRPr="00287584">
        <w:rPr>
          <w:rFonts w:ascii="Garamond" w:hAnsi="Garamond"/>
        </w:rPr>
        <w:t>ni</w:t>
      </w:r>
      <w:proofErr w:type="gramEnd"/>
      <w:r w:rsidRPr="00287584">
        <w:rPr>
          <w:rFonts w:ascii="Garamond" w:hAnsi="Garamond"/>
        </w:rPr>
        <w:t xml:space="preserve"> stambene jedinice u njoj nisu uplanjene. Navedeno je da je tužena sa tužiteljem imala zaključen ugovor o zakupu stana u predmetnom objektu, ali ne predmetnog stana, nego stana površine 40 m2, koji ugovor je prestao da važi. Navedeno je i to da se tužitelj obraćao tuženoj </w:t>
      </w:r>
      <w:proofErr w:type="gramStart"/>
      <w:r w:rsidRPr="00287584">
        <w:rPr>
          <w:rFonts w:ascii="Garamond" w:hAnsi="Garamond"/>
        </w:rPr>
        <w:t>sa</w:t>
      </w:r>
      <w:proofErr w:type="gramEnd"/>
      <w:r w:rsidRPr="00287584">
        <w:rPr>
          <w:rFonts w:ascii="Garamond" w:hAnsi="Garamond"/>
        </w:rPr>
        <w:t xml:space="preserve"> zahtjevom da dobrovoljno napusti predmetnu stambenu jedinicu, a s obzirom da je potrebno izvršiti rekonstrukciju predmetne zgrade, na šta tužena nije pristala. Slijedom navedenog tužitelj je naveo da je tužena bespravni korisnik nekretnine koja je vlasništvo tužitelja, koju odbija predati u posjed, pa je tražio da sud donese presudu kojom će naložiti tuženoj da preda tužitelju u posjed oslobođenu od lica i stvari stambenu jedinicu površine od 85 m2, koja se nalazi na drugom spratu objekta koji je proglašen nacionalnim spomenikom i koji je sagrađen na nekretninama označenim kao kč.br. 2715 i 2716 koje su upisane u zk.ul.br. </w:t>
      </w:r>
      <w:r w:rsidR="00100CA0">
        <w:rPr>
          <w:rFonts w:ascii="Garamond" w:hAnsi="Garamond"/>
        </w:rPr>
        <w:t>…</w:t>
      </w:r>
      <w:r w:rsidRPr="00287584">
        <w:rPr>
          <w:rFonts w:ascii="Garamond" w:hAnsi="Garamond"/>
        </w:rPr>
        <w:t xml:space="preserve"> KO Lukavac, zajedno </w:t>
      </w:r>
      <w:proofErr w:type="gramStart"/>
      <w:r w:rsidRPr="00287584">
        <w:rPr>
          <w:rFonts w:ascii="Garamond" w:hAnsi="Garamond"/>
        </w:rPr>
        <w:t>sa</w:t>
      </w:r>
      <w:proofErr w:type="gramEnd"/>
      <w:r w:rsidRPr="00287584">
        <w:rPr>
          <w:rFonts w:ascii="Garamond" w:hAnsi="Garamond"/>
        </w:rPr>
        <w:t xml:space="preserve"> zemljištem, kao i obavezati tuženu da tužitelju nadoknadi troškove parničnog postupka. Na pripremnom ročištu zakonski zastupnik tužitelja je ostao u cijelosti kod činjeničnih navoda iz tužbe i postavljenog tužbenog zahtjeva. Nakon provedenog dokaznog postupka zakonski zastupnik tužitelja konačno je opredijelio tužbeni zahtjev </w:t>
      </w:r>
      <w:proofErr w:type="gramStart"/>
      <w:r w:rsidRPr="00287584">
        <w:rPr>
          <w:rFonts w:ascii="Garamond" w:hAnsi="Garamond"/>
        </w:rPr>
        <w:t>sa</w:t>
      </w:r>
      <w:proofErr w:type="gramEnd"/>
      <w:r w:rsidRPr="00287584">
        <w:rPr>
          <w:rFonts w:ascii="Garamond" w:hAnsi="Garamond"/>
        </w:rPr>
        <w:t xml:space="preserve"> sadržajem kao u izreci presude. U završnom obraćanju sudu zakonski zastupnik tužitelja je naveo da je provedenim dokazima dokazano da je tužitelj vlasnik stambene jedinice koju tužena koristi bez pravnog osnova, da je nalazom vještaka geodetske struke identificirana predmetna stambena jedinica, odnosno utvrđeno da tužena koristi cijeli prvi sprat objekta, te da i iz izjašnjenja tužene proizilazi da ista bez pravnog osnova drži u posjedu predmetnu stambenu jedinicu. Naveo je da je tužitelj pozivao tuženu da riješe spor vansudskim putem i da preda stambenu jedinicu zbog planirane rekonstrukcije i adaptacije zgrade, pošto je </w:t>
      </w:r>
      <w:r w:rsidRPr="00287584">
        <w:rPr>
          <w:rFonts w:ascii="Garamond" w:hAnsi="Garamond"/>
        </w:rPr>
        <w:lastRenderedPageBreak/>
        <w:t xml:space="preserve">ista proglašena nacionalnim spomenikom, </w:t>
      </w:r>
      <w:proofErr w:type="gramStart"/>
      <w:r w:rsidRPr="00287584">
        <w:rPr>
          <w:rFonts w:ascii="Garamond" w:hAnsi="Garamond"/>
        </w:rPr>
        <w:t>ali</w:t>
      </w:r>
      <w:proofErr w:type="gramEnd"/>
      <w:r w:rsidRPr="00287584">
        <w:rPr>
          <w:rFonts w:ascii="Garamond" w:hAnsi="Garamond"/>
        </w:rPr>
        <w:t xml:space="preserve"> da se tužena o ovaj poziv oglušila i nije dobrovoljno predala stambenu jedinicu koju koristi bez osnova. Slijedom navedenog predloženo je da sud tužbeni zahtjev usvoji i obaveže tuženu da tužitelju nadoknadi troškove parničnog postupka.  </w:t>
      </w:r>
    </w:p>
    <w:p w:rsidR="00287584" w:rsidRPr="00287584" w:rsidRDefault="00287584" w:rsidP="00287584">
      <w:pPr>
        <w:jc w:val="both"/>
        <w:rPr>
          <w:rFonts w:ascii="Garamond" w:hAnsi="Garamond"/>
        </w:rPr>
      </w:pPr>
    </w:p>
    <w:p w:rsidR="00287584" w:rsidRPr="00287584" w:rsidRDefault="00287584" w:rsidP="00287584">
      <w:pPr>
        <w:jc w:val="both"/>
        <w:rPr>
          <w:rFonts w:ascii="Garamond" w:hAnsi="Garamond"/>
        </w:rPr>
      </w:pPr>
      <w:r w:rsidRPr="00287584">
        <w:rPr>
          <w:rFonts w:ascii="Garamond" w:hAnsi="Garamond"/>
        </w:rPr>
        <w:t xml:space="preserve">Tužena je u odgovoru na tužbu, koji je podnesen od strane neovlaštenog lica Foruma nevladinih organizacija Lukavac, ali koju radnju i sadržaj istog je tužena naknadno odobrila, navela da osporava tužbu i postavljeni tužbeni zahtjev navodeći da je tužba diskriminirajuća i štetna za tuženu i njenu porodicu, da se istom krše osnovna ljudska i ustavna prava tužene, da je tužitelj promijenio namjenu objekta nakon useljenja tužene u sporne prostorije čime je poništio njena stečena prava, predložila je da se iseljenje odloži do trajnog rješavanja stambenog pitanja za tuženu i njenu porodicu, da uz tužbu tužitelj nije dostavio dokaze o vlasništvu na objektu, da je isti proglašen nacionalnim spomenikom i da je nephodno da se oslobodi od lica i stvari, da je postupak tužitelja nezakonit jer tužena sa porodicom živi u navedenom prostoru od 2010. godine, da je odluka o proglašenju zgrade nacionalnim spomenikom donesena nakon što je tužiteljica stekla svoja prava na predmetnom prostoru, da nje bilo razloga da se predmetna zgrada proglasi nacionalnim spomenikom jer ista potiče iz doba okupacije BiH, da su u postupku proglašenja predmetne zgrade nacionalnim spomenikom nadležna komisija i Vlada FBiH trebale predvidjeti način zbrinjavanja porodica koje su tu nastanjene, da je Općinsko vijeće Grada Lukavac 2014. </w:t>
      </w:r>
      <w:proofErr w:type="gramStart"/>
      <w:r w:rsidRPr="00287584">
        <w:rPr>
          <w:rFonts w:ascii="Garamond" w:hAnsi="Garamond"/>
        </w:rPr>
        <w:t>godine</w:t>
      </w:r>
      <w:proofErr w:type="gramEnd"/>
      <w:r w:rsidRPr="00287584">
        <w:rPr>
          <w:rFonts w:ascii="Garamond" w:hAnsi="Garamond"/>
        </w:rPr>
        <w:t xml:space="preserve"> usvojilo </w:t>
      </w:r>
      <w:r w:rsidR="00A7718E">
        <w:rPr>
          <w:rFonts w:ascii="Garamond" w:hAnsi="Garamond"/>
        </w:rPr>
        <w:t>inicijativu da se porodici H.T</w:t>
      </w:r>
      <w:r w:rsidRPr="00287584">
        <w:rPr>
          <w:rFonts w:ascii="Garamond" w:hAnsi="Garamond"/>
        </w:rPr>
        <w:t xml:space="preserve">, oca tužene, riješi stambeno pitanje u saradnji sa Crvenim krstom, ali da do toga nije došlo nego su umjesto toga toj porodici odobrena sredstva za adaptaciju, da tuženoj nije osigurano trajno stambeno zbrinjavanje ukoliko bude iseljena iz ovog prostora. Navedeno je da je tužena nesposobna za rad i privređivanje, pa da kao takva uživa posebnu zaštitu, da ima teško bolesno dijete koje također ima pravo </w:t>
      </w:r>
      <w:proofErr w:type="gramStart"/>
      <w:r w:rsidRPr="00287584">
        <w:rPr>
          <w:rFonts w:ascii="Garamond" w:hAnsi="Garamond"/>
        </w:rPr>
        <w:t>na</w:t>
      </w:r>
      <w:proofErr w:type="gramEnd"/>
      <w:r w:rsidRPr="00287584">
        <w:rPr>
          <w:rFonts w:ascii="Garamond" w:hAnsi="Garamond"/>
        </w:rPr>
        <w:t xml:space="preserve"> posebnu zaštitu, te da tužena i njena porodica kao živa bića imaju pravo na stan i da je nije ne može iseliti dok joj se ne riješi stambeno pitanje. Navedeno je da je tužena neuka osoba koja je nesposobna za samostalan život i rad i da joj se treba postaviti staratelj. Na pripremnom ročištu tužena je navela da ostaje kod navoda iz odgovora na tužbu, te je dodala da je u posjedu stana po osnovu zakona, da ima kćerku koja je bolesna, da ima ukupno osmero djece, da je u posjedu ovog stana duže od 10 godina, da joj je Općina Lukavac dala jednu sobu u ovoj zgradi u zakup sa obavezom da plaća zakupninu u mjesečnom iznosu od 100,00 KM, da se po uputama Centra za socijalni rad obratila Općini Lukavac da joj se napravi kupatilo, pa da su obezbijeđena sredstva za to i napravljeno joj je kupatilo i postavljeni novi prozori i vrata, da je od strane Edina Hamzića i Mladenke, uposlenika Općine Lukavac, obaviještena da je oslobođena od plaćanja zakupnine jer je socijalni slučaj, zbog čega je raskinut ugovor o zakupu koji je imala zaključen sa Općinom Lukavac, a rečeno joj je da će biti oslobođena i zakupnine za godinu dana koliko je važio ugovor o zakupu, međutim da je ipak podnesena tužba protiv nje za zakupninu. </w:t>
      </w:r>
    </w:p>
    <w:p w:rsidR="00287584" w:rsidRPr="00287584" w:rsidRDefault="00287584" w:rsidP="00287584">
      <w:pPr>
        <w:jc w:val="both"/>
        <w:rPr>
          <w:rFonts w:ascii="Garamond" w:hAnsi="Garamond"/>
        </w:rPr>
      </w:pPr>
    </w:p>
    <w:p w:rsidR="00287584" w:rsidRPr="00287584" w:rsidRDefault="00287584" w:rsidP="00287584">
      <w:pPr>
        <w:ind w:right="32"/>
        <w:jc w:val="both"/>
        <w:rPr>
          <w:rFonts w:ascii="Garamond" w:hAnsi="Garamond"/>
        </w:rPr>
      </w:pPr>
      <w:r w:rsidRPr="00287584">
        <w:rPr>
          <w:rFonts w:ascii="Garamond" w:hAnsi="Garamond"/>
        </w:rPr>
        <w:t xml:space="preserve">Nastavak ročišta za glavnu raspravu </w:t>
      </w:r>
      <w:proofErr w:type="gramStart"/>
      <w:r w:rsidRPr="00287584">
        <w:rPr>
          <w:rFonts w:ascii="Garamond" w:hAnsi="Garamond"/>
        </w:rPr>
        <w:t>od</w:t>
      </w:r>
      <w:proofErr w:type="gramEnd"/>
      <w:r w:rsidRPr="00287584">
        <w:rPr>
          <w:rFonts w:ascii="Garamond" w:hAnsi="Garamond"/>
        </w:rPr>
        <w:t xml:space="preserve"> 04.07.2024. </w:t>
      </w:r>
      <w:proofErr w:type="gramStart"/>
      <w:r w:rsidRPr="00287584">
        <w:rPr>
          <w:rFonts w:ascii="Garamond" w:hAnsi="Garamond"/>
        </w:rPr>
        <w:t>godine</w:t>
      </w:r>
      <w:proofErr w:type="gramEnd"/>
      <w:r w:rsidRPr="00287584">
        <w:rPr>
          <w:rFonts w:ascii="Garamond" w:hAnsi="Garamond"/>
        </w:rPr>
        <w:t xml:space="preserve"> održan je u odsutnosti uredno obaviještene tužene a u skladu sa odredbom</w:t>
      </w:r>
      <w:r w:rsidRPr="00287584">
        <w:rPr>
          <w:rFonts w:ascii="Garamond" w:hAnsi="Garamond"/>
          <w:lang w:val="hr-HR"/>
        </w:rPr>
        <w:t xml:space="preserve"> č</w:t>
      </w:r>
      <w:r w:rsidRPr="00287584">
        <w:rPr>
          <w:rFonts w:ascii="Garamond" w:hAnsi="Garamond"/>
          <w:lang w:val="pl-PL"/>
        </w:rPr>
        <w:t>lana</w:t>
      </w:r>
      <w:r w:rsidRPr="00287584">
        <w:rPr>
          <w:rFonts w:ascii="Garamond" w:hAnsi="Garamond"/>
          <w:lang w:val="hr-HR"/>
        </w:rPr>
        <w:t xml:space="preserve"> 97. </w:t>
      </w:r>
      <w:r w:rsidRPr="00287584">
        <w:rPr>
          <w:rFonts w:ascii="Garamond" w:hAnsi="Garamond"/>
          <w:lang w:val="pl-PL"/>
        </w:rPr>
        <w:t>stav</w:t>
      </w:r>
      <w:r w:rsidRPr="00287584">
        <w:rPr>
          <w:rFonts w:ascii="Garamond" w:hAnsi="Garamond"/>
          <w:lang w:val="hr-HR"/>
        </w:rPr>
        <w:t xml:space="preserve"> 4. </w:t>
      </w:r>
      <w:r w:rsidRPr="00287584">
        <w:rPr>
          <w:rFonts w:ascii="Garamond" w:hAnsi="Garamond"/>
        </w:rPr>
        <w:t xml:space="preserve">Zakona o parničnom postupku </w:t>
      </w:r>
      <w:r w:rsidRPr="00287584">
        <w:rPr>
          <w:rFonts w:ascii="Garamond" w:hAnsi="Garamond"/>
          <w:iCs/>
        </w:rPr>
        <w:t>(„Službene novine F BiH“, broj 53/03, 73/05, 19/06 i 98/15, u daljem tekstu ZPP-a)</w:t>
      </w:r>
      <w:r w:rsidRPr="00287584">
        <w:rPr>
          <w:rFonts w:ascii="Garamond" w:hAnsi="Garamond"/>
        </w:rPr>
        <w:t xml:space="preserve">. </w:t>
      </w:r>
    </w:p>
    <w:p w:rsidR="00287584" w:rsidRPr="00287584" w:rsidRDefault="00287584" w:rsidP="00287584">
      <w:pPr>
        <w:ind w:right="32"/>
        <w:jc w:val="both"/>
        <w:rPr>
          <w:rFonts w:ascii="Garamond" w:hAnsi="Garamond"/>
        </w:rPr>
      </w:pPr>
    </w:p>
    <w:p w:rsidR="00287584" w:rsidRPr="00287584" w:rsidRDefault="00287584" w:rsidP="00287584">
      <w:pPr>
        <w:ind w:right="32"/>
        <w:jc w:val="both"/>
        <w:rPr>
          <w:rFonts w:ascii="Garamond" w:hAnsi="Garamond"/>
        </w:rPr>
      </w:pPr>
      <w:r w:rsidRPr="00287584">
        <w:rPr>
          <w:rFonts w:ascii="Garamond" w:hAnsi="Garamond"/>
        </w:rPr>
        <w:t xml:space="preserve">U dokaznom postupku </w:t>
      </w:r>
      <w:proofErr w:type="gramStart"/>
      <w:r w:rsidRPr="00287584">
        <w:rPr>
          <w:rFonts w:ascii="Garamond" w:hAnsi="Garamond"/>
        </w:rPr>
        <w:t>na</w:t>
      </w:r>
      <w:proofErr w:type="gramEnd"/>
      <w:r w:rsidRPr="00287584">
        <w:rPr>
          <w:rFonts w:ascii="Garamond" w:hAnsi="Garamond"/>
        </w:rPr>
        <w:t xml:space="preserve"> ročištu za glavnu raspravu održanom dana 15.05.2024 godine (uviđaj suda na licu mjesta) i dana 04.07.2024. </w:t>
      </w:r>
      <w:proofErr w:type="gramStart"/>
      <w:r w:rsidRPr="00287584">
        <w:rPr>
          <w:rFonts w:ascii="Garamond" w:hAnsi="Garamond"/>
        </w:rPr>
        <w:t>godine</w:t>
      </w:r>
      <w:proofErr w:type="gramEnd"/>
      <w:r w:rsidRPr="00287584">
        <w:rPr>
          <w:rFonts w:ascii="Garamond" w:hAnsi="Garamond"/>
        </w:rPr>
        <w:t xml:space="preserve">, zakonski zastupnik tužitelja proveo je dokaze uvidom i čitanjem: </w:t>
      </w:r>
      <w:r w:rsidRPr="00287584">
        <w:rPr>
          <w:rFonts w:ascii="Garamond" w:hAnsi="Garamond" w:cs="Arial"/>
        </w:rPr>
        <w:t xml:space="preserve">Odluke Komisije BiH za očuvanje nacionalnih spomenika broj: 07.3-2.3-64/15-30 od 17.12.2015.godine, Zemljišnoknjižni izvadak, br. zk.ul. </w:t>
      </w:r>
      <w:r w:rsidR="00B43B8B">
        <w:rPr>
          <w:rFonts w:ascii="Garamond" w:hAnsi="Garamond" w:cs="Arial"/>
        </w:rPr>
        <w:t>…</w:t>
      </w:r>
      <w:r w:rsidRPr="00287584">
        <w:rPr>
          <w:rFonts w:ascii="Garamond" w:hAnsi="Garamond" w:cs="Arial"/>
        </w:rPr>
        <w:t xml:space="preserve"> KO Lukavac </w:t>
      </w:r>
      <w:proofErr w:type="gramStart"/>
      <w:r w:rsidRPr="00287584">
        <w:rPr>
          <w:rFonts w:ascii="Garamond" w:hAnsi="Garamond" w:cs="Arial"/>
        </w:rPr>
        <w:t>od</w:t>
      </w:r>
      <w:proofErr w:type="gramEnd"/>
      <w:r w:rsidRPr="00287584">
        <w:rPr>
          <w:rFonts w:ascii="Garamond" w:hAnsi="Garamond" w:cs="Arial"/>
        </w:rPr>
        <w:t xml:space="preserve"> 25.04.2022. </w:t>
      </w:r>
      <w:proofErr w:type="gramStart"/>
      <w:r w:rsidRPr="00287584">
        <w:rPr>
          <w:rFonts w:ascii="Garamond" w:hAnsi="Garamond" w:cs="Arial"/>
        </w:rPr>
        <w:t>godine</w:t>
      </w:r>
      <w:proofErr w:type="gramEnd"/>
      <w:r w:rsidRPr="00287584">
        <w:rPr>
          <w:rFonts w:ascii="Garamond" w:hAnsi="Garamond" w:cs="Arial"/>
        </w:rPr>
        <w:t xml:space="preserve">, Posjedovni list broj </w:t>
      </w:r>
      <w:r w:rsidR="00B43B8B">
        <w:rPr>
          <w:rFonts w:ascii="Garamond" w:hAnsi="Garamond" w:cs="Arial"/>
        </w:rPr>
        <w:t>…</w:t>
      </w:r>
      <w:r w:rsidRPr="00287584">
        <w:rPr>
          <w:rFonts w:ascii="Garamond" w:hAnsi="Garamond" w:cs="Arial"/>
        </w:rPr>
        <w:t xml:space="preserve"> , KO Lukavac od 06.05.2022.godine, Akt Službe za komunalne i inspekcijske poslove br.04-19-22-105/20 od 31.03.2022.godine, Ugovor o zakupu stana broj: 08/5-23-9-39-11-od 04.01.2011.godine, Analitička kartica konta</w:t>
      </w:r>
      <w:r w:rsidR="00B43B8B">
        <w:rPr>
          <w:rFonts w:ascii="Garamond" w:hAnsi="Garamond" w:cs="Arial"/>
        </w:rPr>
        <w:t xml:space="preserve"> br.1312115211, na ime T.I</w:t>
      </w:r>
      <w:r w:rsidRPr="00287584">
        <w:rPr>
          <w:rFonts w:ascii="Garamond" w:hAnsi="Garamond" w:cs="Arial"/>
        </w:rPr>
        <w:t xml:space="preserve">, za 2011. </w:t>
      </w:r>
      <w:proofErr w:type="gramStart"/>
      <w:r w:rsidRPr="00287584">
        <w:rPr>
          <w:rFonts w:ascii="Garamond" w:hAnsi="Garamond" w:cs="Arial"/>
        </w:rPr>
        <w:t>godinu</w:t>
      </w:r>
      <w:proofErr w:type="gramEnd"/>
      <w:r w:rsidRPr="00287584">
        <w:rPr>
          <w:rFonts w:ascii="Garamond" w:hAnsi="Garamond" w:cs="Arial"/>
        </w:rPr>
        <w:t xml:space="preserve">, 2012. </w:t>
      </w:r>
      <w:proofErr w:type="gramStart"/>
      <w:r w:rsidRPr="00287584">
        <w:rPr>
          <w:rFonts w:ascii="Garamond" w:hAnsi="Garamond" w:cs="Arial"/>
        </w:rPr>
        <w:t>godine</w:t>
      </w:r>
      <w:proofErr w:type="gramEnd"/>
      <w:r w:rsidRPr="00287584">
        <w:rPr>
          <w:rFonts w:ascii="Garamond" w:hAnsi="Garamond" w:cs="Arial"/>
        </w:rPr>
        <w:t>,</w:t>
      </w:r>
      <w:r w:rsidR="00B43B8B">
        <w:rPr>
          <w:rFonts w:ascii="Garamond" w:hAnsi="Garamond" w:cs="Arial"/>
        </w:rPr>
        <w:t xml:space="preserve"> </w:t>
      </w:r>
      <w:r w:rsidRPr="00287584">
        <w:rPr>
          <w:rFonts w:ascii="Garamond" w:hAnsi="Garamond" w:cs="Arial"/>
        </w:rPr>
        <w:t xml:space="preserve">2013. </w:t>
      </w:r>
      <w:proofErr w:type="gramStart"/>
      <w:r w:rsidRPr="00287584">
        <w:rPr>
          <w:rFonts w:ascii="Garamond" w:hAnsi="Garamond" w:cs="Arial"/>
        </w:rPr>
        <w:t>godine</w:t>
      </w:r>
      <w:proofErr w:type="gramEnd"/>
      <w:r w:rsidRPr="00287584">
        <w:rPr>
          <w:rFonts w:ascii="Garamond" w:hAnsi="Garamond" w:cs="Arial"/>
        </w:rPr>
        <w:t xml:space="preserve"> i za period od 01.01.2023.godine do 13.04.2023. godine, Zapisnik Komisije za uspostavu evidencije vezane za zgradu nekadašnje stare  željezničke  stanice od 17.03.2022.godine i Zahtjeva broj: 04-45-1659/22 od 14.04.2022.godine</w:t>
      </w:r>
      <w:r w:rsidRPr="00287584">
        <w:rPr>
          <w:rFonts w:ascii="Garamond" w:hAnsi="Garamond"/>
        </w:rPr>
        <w:t xml:space="preserve">, </w:t>
      </w:r>
      <w:r w:rsidRPr="00287584">
        <w:rPr>
          <w:rFonts w:ascii="Garamond" w:hAnsi="Garamond"/>
        </w:rPr>
        <w:lastRenderedPageBreak/>
        <w:t xml:space="preserve">zatim uviđajem suda na licu mjesta, te uvidom i čitanjem nalaza i mišljenja vještaka geodetske struke Amira Imamovića koji je zaprimljen kod suda dana 17.05.2024. </w:t>
      </w:r>
      <w:proofErr w:type="gramStart"/>
      <w:r w:rsidRPr="00287584">
        <w:rPr>
          <w:rFonts w:ascii="Garamond" w:hAnsi="Garamond"/>
        </w:rPr>
        <w:t>godine</w:t>
      </w:r>
      <w:proofErr w:type="gramEnd"/>
      <w:r w:rsidRPr="00287584">
        <w:rPr>
          <w:rFonts w:ascii="Garamond" w:hAnsi="Garamond"/>
        </w:rPr>
        <w:t>. Zakonski zastupnik tužitelja odustao je od provođenja do</w:t>
      </w:r>
      <w:r w:rsidR="00B43B8B">
        <w:rPr>
          <w:rFonts w:ascii="Garamond" w:hAnsi="Garamond"/>
        </w:rPr>
        <w:t>kaza saslušanjem svjedoka M.B</w:t>
      </w:r>
      <w:r w:rsidRPr="00287584">
        <w:rPr>
          <w:rFonts w:ascii="Garamond" w:hAnsi="Garamond"/>
        </w:rPr>
        <w:t xml:space="preserve">. Kako na ročište za glavnu raspravu nije pristupila uredno obaviještena tužena to je sud donio rješenje kojim je stavio van snage rješenje sa pripremnog ročišta kojim je određeno provođenje dokaza po prijedlogu tužene i to: Zaključak Općinskog vijeća od 31.10.2014. </w:t>
      </w:r>
      <w:proofErr w:type="gramStart"/>
      <w:r w:rsidRPr="00287584">
        <w:rPr>
          <w:rFonts w:ascii="Garamond" w:hAnsi="Garamond"/>
        </w:rPr>
        <w:t>godine</w:t>
      </w:r>
      <w:proofErr w:type="gramEnd"/>
      <w:r w:rsidRPr="00287584">
        <w:rPr>
          <w:rFonts w:ascii="Garamond" w:hAnsi="Garamond"/>
        </w:rPr>
        <w:t xml:space="preserve">, Ponuda br. 56/13 od 13.05.2023. </w:t>
      </w:r>
      <w:proofErr w:type="gramStart"/>
      <w:r w:rsidRPr="00287584">
        <w:rPr>
          <w:rFonts w:ascii="Garamond" w:hAnsi="Garamond"/>
        </w:rPr>
        <w:t>godine</w:t>
      </w:r>
      <w:proofErr w:type="gramEnd"/>
      <w:r w:rsidRPr="00287584">
        <w:rPr>
          <w:rFonts w:ascii="Garamond" w:hAnsi="Garamond"/>
        </w:rPr>
        <w:t xml:space="preserve"> izdata od Adab d.o.o, Zahtjev Službe za komunalne i inspekcijske poslove upućen tuženoj dana 14.04.2022. </w:t>
      </w:r>
      <w:proofErr w:type="gramStart"/>
      <w:r w:rsidRPr="00287584">
        <w:rPr>
          <w:rFonts w:ascii="Garamond" w:hAnsi="Garamond"/>
        </w:rPr>
        <w:t>godine</w:t>
      </w:r>
      <w:proofErr w:type="gramEnd"/>
      <w:r w:rsidRPr="00287584">
        <w:rPr>
          <w:rFonts w:ascii="Garamond" w:hAnsi="Garamond"/>
        </w:rPr>
        <w:t xml:space="preserve">, Zahtjev tužene upućen Službi za komunalne i inspekcijske poslove dana 20.05.2022. </w:t>
      </w:r>
      <w:proofErr w:type="gramStart"/>
      <w:r w:rsidRPr="00287584">
        <w:rPr>
          <w:rFonts w:ascii="Garamond" w:hAnsi="Garamond"/>
        </w:rPr>
        <w:t>godine</w:t>
      </w:r>
      <w:proofErr w:type="gramEnd"/>
      <w:r w:rsidRPr="00287584">
        <w:rPr>
          <w:rFonts w:ascii="Garamond" w:hAnsi="Garamond"/>
        </w:rPr>
        <w:t xml:space="preserve">, Nalaz i mišljenje Sektora za ocjenjivanje radne sposobnosti od 08.05.2006. </w:t>
      </w:r>
      <w:proofErr w:type="gramStart"/>
      <w:r w:rsidRPr="00287584">
        <w:rPr>
          <w:rFonts w:ascii="Garamond" w:hAnsi="Garamond"/>
        </w:rPr>
        <w:t>godine</w:t>
      </w:r>
      <w:proofErr w:type="gramEnd"/>
      <w:r w:rsidRPr="00287584">
        <w:rPr>
          <w:rFonts w:ascii="Garamond" w:hAnsi="Garamond"/>
        </w:rPr>
        <w:t xml:space="preserve">, Nalaz i mišljenje </w:t>
      </w:r>
      <w:r w:rsidRPr="00287584">
        <w:rPr>
          <w:rFonts w:ascii="Garamond" w:hAnsi="Garamond" w:cs="Arial"/>
          <w:lang w:val="hr-HR"/>
        </w:rPr>
        <w:t xml:space="preserve">JU Centar za socijalni rad Lukavac </w:t>
      </w:r>
      <w:r w:rsidRPr="00287584">
        <w:rPr>
          <w:rFonts w:ascii="Garamond" w:hAnsi="Garamond"/>
        </w:rPr>
        <w:t xml:space="preserve">od 04.04.2009. </w:t>
      </w:r>
      <w:proofErr w:type="gramStart"/>
      <w:r w:rsidRPr="00287584">
        <w:rPr>
          <w:rFonts w:ascii="Garamond" w:hAnsi="Garamond"/>
        </w:rPr>
        <w:t>godine</w:t>
      </w:r>
      <w:proofErr w:type="gramEnd"/>
      <w:r w:rsidRPr="00287584">
        <w:rPr>
          <w:rFonts w:ascii="Garamond" w:hAnsi="Garamond"/>
        </w:rPr>
        <w:t xml:space="preserve">, Rješenje </w:t>
      </w:r>
      <w:r w:rsidRPr="00287584">
        <w:rPr>
          <w:rFonts w:ascii="Garamond" w:hAnsi="Garamond" w:cs="Arial"/>
          <w:lang w:val="hr-HR"/>
        </w:rPr>
        <w:t xml:space="preserve">JU Centar za socijalni rad Lukavac </w:t>
      </w:r>
      <w:r w:rsidRPr="00287584">
        <w:rPr>
          <w:rFonts w:ascii="Garamond" w:hAnsi="Garamond"/>
        </w:rPr>
        <w:t xml:space="preserve">od 12.05.2009. </w:t>
      </w:r>
      <w:proofErr w:type="gramStart"/>
      <w:r w:rsidRPr="00287584">
        <w:rPr>
          <w:rFonts w:ascii="Garamond" w:hAnsi="Garamond"/>
        </w:rPr>
        <w:t>godine</w:t>
      </w:r>
      <w:proofErr w:type="gramEnd"/>
      <w:r w:rsidRPr="00287584">
        <w:rPr>
          <w:rFonts w:ascii="Garamond" w:hAnsi="Garamond"/>
        </w:rPr>
        <w:t xml:space="preserve"> i Rješenje </w:t>
      </w:r>
      <w:r w:rsidRPr="00287584">
        <w:rPr>
          <w:rFonts w:ascii="Garamond" w:hAnsi="Garamond" w:cs="Arial"/>
          <w:lang w:val="hr-HR"/>
        </w:rPr>
        <w:t xml:space="preserve">JU Centar za socijalni rad Lukavac </w:t>
      </w:r>
      <w:r w:rsidRPr="00287584">
        <w:rPr>
          <w:rFonts w:ascii="Garamond" w:hAnsi="Garamond"/>
        </w:rPr>
        <w:t xml:space="preserve">od 18.11.2013. </w:t>
      </w:r>
      <w:proofErr w:type="gramStart"/>
      <w:r w:rsidRPr="00287584">
        <w:rPr>
          <w:rFonts w:ascii="Garamond" w:hAnsi="Garamond"/>
        </w:rPr>
        <w:t>godine</w:t>
      </w:r>
      <w:proofErr w:type="gramEnd"/>
      <w:r w:rsidRPr="00287584">
        <w:rPr>
          <w:rFonts w:ascii="Garamond" w:hAnsi="Garamond"/>
        </w:rPr>
        <w:t xml:space="preserve">. Prednje iz razloga što se sud nije mogao upuštati u izvođenje dokaza koje je tužena predložila, jer bi to bilo suprotno </w:t>
      </w:r>
      <w:proofErr w:type="gramStart"/>
      <w:r w:rsidRPr="00287584">
        <w:rPr>
          <w:rFonts w:ascii="Garamond" w:hAnsi="Garamond"/>
        </w:rPr>
        <w:t>sa</w:t>
      </w:r>
      <w:proofErr w:type="gramEnd"/>
      <w:r w:rsidRPr="00287584">
        <w:rPr>
          <w:rFonts w:ascii="Garamond" w:hAnsi="Garamond"/>
        </w:rPr>
        <w:t xml:space="preserve"> ulogom suda koja proizilazi iz osnovnih principa na kojima počiva parnični postupak, odnosno bilo bi suprotno odredbi člana 7. </w:t>
      </w:r>
      <w:proofErr w:type="gramStart"/>
      <w:r w:rsidRPr="00287584">
        <w:rPr>
          <w:rFonts w:ascii="Garamond" w:hAnsi="Garamond"/>
        </w:rPr>
        <w:t>stav</w:t>
      </w:r>
      <w:proofErr w:type="gramEnd"/>
      <w:r w:rsidRPr="00287584">
        <w:rPr>
          <w:rFonts w:ascii="Garamond" w:hAnsi="Garamond"/>
        </w:rPr>
        <w:t xml:space="preserve"> 1. </w:t>
      </w:r>
      <w:proofErr w:type="gramStart"/>
      <w:r w:rsidRPr="00287584">
        <w:rPr>
          <w:rFonts w:ascii="Garamond" w:hAnsi="Garamond"/>
        </w:rPr>
        <w:t>i</w:t>
      </w:r>
      <w:proofErr w:type="gramEnd"/>
      <w:r w:rsidRPr="00287584">
        <w:rPr>
          <w:rFonts w:ascii="Garamond" w:hAnsi="Garamond"/>
        </w:rPr>
        <w:t xml:space="preserve"> člana 4. </w:t>
      </w:r>
      <w:r w:rsidRPr="00287584">
        <w:rPr>
          <w:rFonts w:ascii="Garamond" w:hAnsi="Garamond"/>
          <w:iCs/>
        </w:rPr>
        <w:t>ZPP-a</w:t>
      </w:r>
      <w:r w:rsidRPr="00287584">
        <w:rPr>
          <w:rFonts w:ascii="Garamond" w:hAnsi="Garamond"/>
        </w:rPr>
        <w:t xml:space="preserve">, </w:t>
      </w:r>
      <w:proofErr w:type="gramStart"/>
      <w:r w:rsidRPr="00287584">
        <w:rPr>
          <w:rFonts w:ascii="Garamond" w:hAnsi="Garamond"/>
        </w:rPr>
        <w:t>te</w:t>
      </w:r>
      <w:proofErr w:type="gramEnd"/>
      <w:r w:rsidRPr="00287584">
        <w:rPr>
          <w:rFonts w:ascii="Garamond" w:hAnsi="Garamond"/>
        </w:rPr>
        <w:t xml:space="preserve"> bi dovelo u pitanje njegovu nepristrasnost. </w:t>
      </w:r>
    </w:p>
    <w:p w:rsidR="00287584" w:rsidRPr="00287584" w:rsidRDefault="00287584" w:rsidP="00287584">
      <w:pPr>
        <w:jc w:val="both"/>
        <w:rPr>
          <w:rFonts w:ascii="Garamond" w:hAnsi="Garamond"/>
        </w:rPr>
      </w:pPr>
    </w:p>
    <w:p w:rsidR="00287584" w:rsidRPr="00287584" w:rsidRDefault="00287584" w:rsidP="00287584">
      <w:pPr>
        <w:ind w:right="32"/>
        <w:jc w:val="both"/>
        <w:rPr>
          <w:rFonts w:ascii="Garamond" w:hAnsi="Garamond"/>
        </w:rPr>
      </w:pPr>
      <w:r w:rsidRPr="00287584">
        <w:rPr>
          <w:rFonts w:ascii="Garamond" w:hAnsi="Garamond"/>
        </w:rPr>
        <w:t>U smislu člana 8. ZPP-a cijeneći svaki dokaz posebno i sve dokaze zajedno, kao i izjave parničnih stranaka date u toku postupka, sud je donio odluku kao u izreci presude iz slijedećih razloga:</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color w:val="000000"/>
          <w:sz w:val="24"/>
          <w:szCs w:val="24"/>
          <w:lang w:eastAsia="bs-Latn-BA"/>
        </w:rPr>
        <w:t>Članom 126. stav 1. Zakona o stvarnim pravima („Službene novine FBiH“ broj 66/13-u daljem tekstu ZSP-a) propisano je da vlasnik ima pravo da zahtijeva povrat stvari od osobe koja je u njenom posjedu.</w:t>
      </w:r>
      <w:r w:rsidRPr="00287584">
        <w:rPr>
          <w:rFonts w:ascii="Garamond" w:hAnsi="Garamond" w:cs="Times New Roman"/>
          <w:sz w:val="24"/>
          <w:szCs w:val="24"/>
        </w:rPr>
        <w:t xml:space="preserve"> U članu 127. stav 1. istog Zakona propisano je da vlasnik da bi ostvario pravo na povrat stvari mora dokazati da je stvar koju zahtjeva njegovo vlasništvo i da se stvar nalazi u tuženikovom posjedu, dok je u stavu 2. propisano da vlasnik mora stvar čiji povrat traži opisati po njenim osobinama ili znacima koji je razlikuju od istovrsnih stvari. Članom 128. stav 1. istog Zakona propisano je da posjednik ima pravo odbiti predaju stvari njezinom vlasniku ako ima pravo koje ga ovlašćuje na posjedovanje te stvari (pravo na posjed).</w:t>
      </w:r>
    </w:p>
    <w:p w:rsidR="00287584" w:rsidRDefault="00287584" w:rsidP="00287584">
      <w:pPr>
        <w:pStyle w:val="NoSpacing"/>
        <w:jc w:val="both"/>
        <w:rPr>
          <w:rFonts w:ascii="Garamond" w:hAnsi="Garamond" w:cs="Times New Roman"/>
          <w:sz w:val="24"/>
          <w:szCs w:val="24"/>
          <w:lang w:eastAsia="bs-Latn-BA"/>
        </w:rPr>
      </w:pPr>
    </w:p>
    <w:p w:rsidR="001F7990" w:rsidRPr="001F7990" w:rsidRDefault="001F7990" w:rsidP="00287584">
      <w:pPr>
        <w:pStyle w:val="NoSpacing"/>
        <w:jc w:val="both"/>
        <w:rPr>
          <w:rFonts w:ascii="Garamond" w:hAnsi="Garamond" w:cs="Times New Roman"/>
          <w:b/>
          <w:sz w:val="24"/>
          <w:szCs w:val="24"/>
          <w:lang w:eastAsia="bs-Latn-BA"/>
        </w:rPr>
      </w:pPr>
    </w:p>
    <w:p w:rsidR="001F7990" w:rsidRPr="00287584" w:rsidRDefault="001F7990" w:rsidP="00287584">
      <w:pPr>
        <w:pStyle w:val="NoSpacing"/>
        <w:jc w:val="both"/>
        <w:rPr>
          <w:rFonts w:ascii="Garamond" w:hAnsi="Garamond" w:cs="Times New Roman"/>
          <w:sz w:val="24"/>
          <w:szCs w:val="24"/>
          <w:lang w:eastAsia="bs-Latn-BA"/>
        </w:rPr>
      </w:pPr>
    </w:p>
    <w:p w:rsidR="00287584" w:rsidRPr="00287584" w:rsidRDefault="00287584" w:rsidP="00287584">
      <w:pPr>
        <w:jc w:val="both"/>
        <w:rPr>
          <w:rFonts w:ascii="Garamond" w:hAnsi="Garamond"/>
          <w:lang w:val="hr-HR" w:eastAsia="bs-Latn-BA"/>
        </w:rPr>
      </w:pPr>
      <w:r w:rsidRPr="00287584">
        <w:rPr>
          <w:rFonts w:ascii="Garamond" w:hAnsi="Garamond"/>
          <w:lang w:eastAsia="bs-Latn-BA"/>
        </w:rPr>
        <w:t xml:space="preserve">Uvidom i čitanjem nalaza i mišljenja vještaka geodetske struke, kao i priloženog zk-izvatka br. </w:t>
      </w:r>
      <w:r w:rsidR="00616AA0">
        <w:rPr>
          <w:rFonts w:ascii="Garamond" w:hAnsi="Garamond"/>
          <w:lang w:eastAsia="bs-Latn-BA"/>
        </w:rPr>
        <w:t>…</w:t>
      </w:r>
      <w:r w:rsidRPr="00287584">
        <w:rPr>
          <w:rFonts w:ascii="Garamond" w:hAnsi="Garamond"/>
          <w:lang w:eastAsia="bs-Latn-BA"/>
        </w:rPr>
        <w:t xml:space="preserve"> KO Lukavac i PL-a br. </w:t>
      </w:r>
      <w:r w:rsidR="00616AA0">
        <w:rPr>
          <w:rFonts w:ascii="Garamond" w:hAnsi="Garamond"/>
          <w:lang w:eastAsia="bs-Latn-BA"/>
        </w:rPr>
        <w:t>…</w:t>
      </w:r>
      <w:r w:rsidRPr="00287584">
        <w:rPr>
          <w:rFonts w:ascii="Garamond" w:hAnsi="Garamond"/>
          <w:lang w:eastAsia="bs-Latn-BA"/>
        </w:rPr>
        <w:t xml:space="preserve"> </w:t>
      </w:r>
      <w:proofErr w:type="gramStart"/>
      <w:r w:rsidRPr="00287584">
        <w:rPr>
          <w:rFonts w:ascii="Garamond" w:hAnsi="Garamond"/>
          <w:lang w:eastAsia="bs-Latn-BA"/>
        </w:rPr>
        <w:t>KO Lukavac sud je utvrdio da je nekretnina po novom i starom premjeru označena kao kč.br.</w:t>
      </w:r>
      <w:proofErr w:type="gramEnd"/>
      <w:r w:rsidRPr="00287584">
        <w:rPr>
          <w:rFonts w:ascii="Garamond" w:hAnsi="Garamond"/>
          <w:lang w:eastAsia="bs-Latn-BA"/>
        </w:rPr>
        <w:t xml:space="preserve"> 2716 zv. Dom zdravlja stara zgrada u naravi kuća i zgrada površine 143 m2</w:t>
      </w:r>
      <w:proofErr w:type="gramStart"/>
      <w:r w:rsidRPr="00287584">
        <w:rPr>
          <w:rFonts w:ascii="Garamond" w:hAnsi="Garamond"/>
          <w:lang w:eastAsia="bs-Latn-BA"/>
        </w:rPr>
        <w:t>  upisana</w:t>
      </w:r>
      <w:proofErr w:type="gramEnd"/>
      <w:r w:rsidRPr="00287584">
        <w:rPr>
          <w:rFonts w:ascii="Garamond" w:hAnsi="Garamond"/>
          <w:lang w:eastAsia="bs-Latn-BA"/>
        </w:rPr>
        <w:t xml:space="preserve"> u kao vlasništvo i posjed Općine Lukavac. U B vlasničkom listu ZK uloška br. </w:t>
      </w:r>
      <w:r w:rsidR="00616AA0">
        <w:rPr>
          <w:rFonts w:ascii="Garamond" w:hAnsi="Garamond"/>
          <w:lang w:eastAsia="bs-Latn-BA"/>
        </w:rPr>
        <w:t>…</w:t>
      </w:r>
      <w:r w:rsidRPr="00287584">
        <w:rPr>
          <w:rFonts w:ascii="Garamond" w:hAnsi="Garamond"/>
          <w:lang w:eastAsia="bs-Latn-BA"/>
        </w:rPr>
        <w:t xml:space="preserve"> KO Lukavac navedeno je da je predmetna nekretnina upisana kao društvena - državna svojina sa pravom raspolaganja u korist Opštine Lukavac, a u C teretnom listu je upisana zabilježba o proglašenju historijske građevine - Stara željeznička stanica nacionalnim spomenikom BiH. Predmetna zabilježba je izvršena temeljem Odluke Komisije/Povjerenstvo za očuvanje nacionalnih spomenika BiH br. 07.3-2.3-64/15-30 </w:t>
      </w:r>
      <w:proofErr w:type="gramStart"/>
      <w:r w:rsidRPr="00287584">
        <w:rPr>
          <w:rFonts w:ascii="Garamond" w:hAnsi="Garamond"/>
          <w:lang w:eastAsia="bs-Latn-BA"/>
        </w:rPr>
        <w:t>od</w:t>
      </w:r>
      <w:proofErr w:type="gramEnd"/>
      <w:r w:rsidRPr="00287584">
        <w:rPr>
          <w:rFonts w:ascii="Garamond" w:hAnsi="Garamond"/>
          <w:lang w:eastAsia="bs-Latn-BA"/>
        </w:rPr>
        <w:t xml:space="preserve"> 17.12.2015. </w:t>
      </w:r>
      <w:proofErr w:type="gramStart"/>
      <w:r w:rsidRPr="00287584">
        <w:rPr>
          <w:rFonts w:ascii="Garamond" w:hAnsi="Garamond"/>
          <w:lang w:eastAsia="bs-Latn-BA"/>
        </w:rPr>
        <w:t>godine</w:t>
      </w:r>
      <w:proofErr w:type="gramEnd"/>
      <w:r w:rsidRPr="00287584">
        <w:rPr>
          <w:rFonts w:ascii="Garamond" w:hAnsi="Garamond"/>
          <w:lang w:eastAsia="bs-Latn-BA"/>
        </w:rPr>
        <w:t>. Nadalje je nalaza vještaka geodetske struke utvrđeno da je cijela parcela označena kao kč.br.</w:t>
      </w:r>
      <w:r w:rsidRPr="00287584">
        <w:rPr>
          <w:rFonts w:ascii="Garamond" w:hAnsi="Garamond"/>
        </w:rPr>
        <w:t xml:space="preserve"> </w:t>
      </w:r>
      <w:r w:rsidRPr="00287584">
        <w:rPr>
          <w:rFonts w:ascii="Garamond" w:hAnsi="Garamond"/>
          <w:lang w:eastAsia="bs-Latn-BA"/>
        </w:rPr>
        <w:t xml:space="preserve">2716 KO Lukavac u naravi zgrada i da </w:t>
      </w:r>
      <w:proofErr w:type="gramStart"/>
      <w:r w:rsidRPr="00287584">
        <w:rPr>
          <w:rFonts w:ascii="Garamond" w:hAnsi="Garamond"/>
          <w:lang w:eastAsia="bs-Latn-BA"/>
        </w:rPr>
        <w:t>nema</w:t>
      </w:r>
      <w:proofErr w:type="gramEnd"/>
      <w:r w:rsidRPr="00287584">
        <w:rPr>
          <w:rFonts w:ascii="Garamond" w:hAnsi="Garamond"/>
          <w:lang w:eastAsia="bs-Latn-BA"/>
        </w:rPr>
        <w:t xml:space="preserve"> okolnog zemljišta, te da se zgrada sastoji od prizemlja, sprata i potkrovlja. Utvrđeno je i to, a nakon što je sud u prisustvu vještaka geodetske struke i parničnih stranaka izvršio uviđaj lica mjesta, da se prostor koji koristi tužena nalazi </w:t>
      </w:r>
      <w:proofErr w:type="gramStart"/>
      <w:r w:rsidRPr="00287584">
        <w:rPr>
          <w:rFonts w:ascii="Garamond" w:hAnsi="Garamond"/>
          <w:lang w:eastAsia="bs-Latn-BA"/>
        </w:rPr>
        <w:t>na</w:t>
      </w:r>
      <w:proofErr w:type="gramEnd"/>
      <w:r w:rsidRPr="00287584">
        <w:rPr>
          <w:rFonts w:ascii="Garamond" w:hAnsi="Garamond"/>
          <w:lang w:eastAsia="bs-Latn-BA"/>
        </w:rPr>
        <w:t xml:space="preserve"> spratu predmetne zgrade izgrađene na kč.br. 2716 KO Lukavac i da se isti prostor sastoji od četiri sobe i kupatila i to da se </w:t>
      </w:r>
      <w:r w:rsidRPr="00287584">
        <w:rPr>
          <w:rFonts w:ascii="Garamond" w:hAnsi="Garamond"/>
          <w:lang w:val="hr-HR"/>
        </w:rPr>
        <w:t xml:space="preserve">direktno sa stepeništa pravo ulazi se u stambeni prostor koji se sastoji iz četiri prostorije, a dolaskom na sprat sa stubišta </w:t>
      </w:r>
      <w:proofErr w:type="gramStart"/>
      <w:r w:rsidRPr="00287584">
        <w:rPr>
          <w:rFonts w:ascii="Garamond" w:hAnsi="Garamond"/>
          <w:lang w:val="hr-HR"/>
        </w:rPr>
        <w:t>skrećući  u</w:t>
      </w:r>
      <w:proofErr w:type="gramEnd"/>
      <w:r w:rsidRPr="00287584">
        <w:rPr>
          <w:rFonts w:ascii="Garamond" w:hAnsi="Garamond"/>
          <w:lang w:val="hr-HR"/>
        </w:rPr>
        <w:t xml:space="preserve"> desnu stranu postoje posebna vrata za ulaz u sanitarni čvor.</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xml:space="preserve">Uvidom i čitanjem Odluke Komisije/Povjerenstvo za očuvanje nacionalnih spomenika BiH broj 07.3-2.3-64/15-30 od 17.12.2015. godine sud je utvrdio da je historijska građevina- Stara željeznička stanica, Općina Lukavac, proglašena nacionalni spomenikom BiH, kao i da se isti </w:t>
      </w:r>
      <w:r w:rsidRPr="00287584">
        <w:rPr>
          <w:rFonts w:ascii="Garamond" w:hAnsi="Garamond" w:cs="Times New Roman"/>
          <w:sz w:val="24"/>
          <w:szCs w:val="24"/>
          <w:lang w:eastAsia="bs-Latn-BA"/>
        </w:rPr>
        <w:lastRenderedPageBreak/>
        <w:t xml:space="preserve">nacionalni spomenik nalazi na parcelama koje su po novom premjeru označene kao kč.br. 2715 i 2716 KO Lukavac, koje po starom premjeru odgovaraju kč.br. 257/32 i 257/33 KO Lukavac, kao i dijelovima parcela koje su po novom premjeru označene kao kč.br. 2717 i 2710/1 KO Lukavac koje po starom premjeru odgovaraju kč.br. 237/2 i 273/9  KO Bistarac, upisane u zk.ul.br. </w:t>
      </w:r>
      <w:r w:rsidR="00616AA0">
        <w:rPr>
          <w:rFonts w:ascii="Garamond" w:hAnsi="Garamond" w:cs="Times New Roman"/>
          <w:sz w:val="24"/>
          <w:szCs w:val="24"/>
          <w:lang w:eastAsia="bs-Latn-BA"/>
        </w:rPr>
        <w:t>...</w:t>
      </w:r>
      <w:r w:rsidRPr="00287584">
        <w:rPr>
          <w:rFonts w:ascii="Garamond" w:hAnsi="Garamond" w:cs="Times New Roman"/>
          <w:sz w:val="24"/>
          <w:szCs w:val="24"/>
          <w:lang w:eastAsia="bs-Latn-BA"/>
        </w:rPr>
        <w:t xml:space="preserve">, </w:t>
      </w:r>
      <w:r w:rsidR="00616AA0">
        <w:rPr>
          <w:rFonts w:ascii="Garamond" w:hAnsi="Garamond" w:cs="Times New Roman"/>
          <w:sz w:val="24"/>
          <w:szCs w:val="24"/>
          <w:lang w:eastAsia="bs-Latn-BA"/>
        </w:rPr>
        <w:t>...</w:t>
      </w:r>
      <w:r w:rsidRPr="00287584">
        <w:rPr>
          <w:rFonts w:ascii="Garamond" w:hAnsi="Garamond" w:cs="Times New Roman"/>
          <w:sz w:val="24"/>
          <w:szCs w:val="24"/>
          <w:lang w:eastAsia="bs-Latn-BA"/>
        </w:rPr>
        <w:t xml:space="preserve"> i </w:t>
      </w:r>
      <w:r w:rsidR="00616AA0">
        <w:rPr>
          <w:rFonts w:ascii="Garamond" w:hAnsi="Garamond" w:cs="Times New Roman"/>
          <w:sz w:val="24"/>
          <w:szCs w:val="24"/>
          <w:lang w:eastAsia="bs-Latn-BA"/>
        </w:rPr>
        <w:t>...</w:t>
      </w:r>
      <w:r w:rsidRPr="00287584">
        <w:rPr>
          <w:rFonts w:ascii="Garamond" w:hAnsi="Garamond" w:cs="Times New Roman"/>
          <w:sz w:val="24"/>
          <w:szCs w:val="24"/>
          <w:lang w:eastAsia="bs-Latn-BA"/>
        </w:rPr>
        <w:t>.  U istoj odluci je navedeno da se na nacionalni spomenik primjenjuju mjere zaštite utvrđene Zakonom o provođenju odluka Komisije za zaštitu nacionalnih spomenika uspostavljene prema Aneksu 8. Općeg okvirnog sporazuma za mir u BiH. U stavu III ove odluke, a u cilju zaštite nacionalnog spomenika, utvrđene su sljedeće mjere zaštite: dozvoljeni su istraživački i konzervatorsko-restauratorski radovi, radovi na sanaciji i prezentaciji spomenika uz odobrenje Federalnog ministarstva nadležnog za prostorno uređenje i stručni nadzor nadležne Službe zaštite nasljeđa na nivou F BiH; prilikom radova na restauraciji objekta neophodno je sačuvati njegov izvorni izgled; dozvoljena je adaptacija prostora u cilju njegovog prilagođavanja savremenim potrebama (instalacije grijanja i drugi radovi u enterijeru) pod uslovom da se ne ugroze spomeničke vrijednosti objekta, uz odobrenje nadleženog ministarstva i stručno nadziranje nadležne službe zaštite; objekat se može koristiti u stambene, poslovne, obrazovne i kulturne svrhe, odnosno na način koji neće ugroziti integritet objekta i njegovo značenje u strukturi područja. U stavu V odluke navedeno je da  se svako dužan suzdržati od preduzimanja bilo kakvih radnji koje mogu oštetiti nacionalni spomenik ili dovesti u pitanje njegovu zaštitu.</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xml:space="preserve">Uvidom i čitanjem Zapisnika Komisije Općine Lukavac za uspostavu evidencije vezano za zgradu nekadašnje stare željezničke stanice u Lukavcu sud je utvrdio da je tužitelj formirao komisiju koja je dana 16.03.2022. godine izašla na lice mjesta radi utvrđivanja broja stambenih jedinica, njihovih površina i broja lica koja borave u njima, te utvrđivanja imaju li ta lica pravni osnov za boravak, te da je tom prilikom komisija konstatovala da u nekadašnjoj zgradi stare željezničke stanice imaju četiri stambene jedinice, da lica koja borave u stambenim jedinicama nemaju ugovore o zakupu stana, te da stambeni objekat nije uslovan za stanovanje i da je potrebna rekonstrukcija istog. Tom prilikom je konstatovano i da u stambenoj jedinici u prizemlju objekta površine oko 26 m2 živi pet lica, da u drugoj stambenoj jedinici na spratu površine oko 85,00 m2 živi osam lica i to tužena i članovi njene porodice, da u trećoj stambenoj jedinici u potkrovlju površine oko 49,00 m2 živi šest lica, a da u četvrtoj stambenoj jedinici, također u potkrovlju objekta, površine oko 21,00 m2 živi pet lica. </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xml:space="preserve">Iz Zahtjeva koji je Služba za komunalne i inspekcijske poslove tužitelja uputila tuženoj dana 14.04.2022. godine proizilazi da se tužitelj obraćao tuženoj sa zahtjevom da se iseli iz prostorija koje koristi, odnosno da iste oslobode od lica i stvari. </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xml:space="preserve">Iz utvrđenog činjeničnog stanja proizilazi da je tužitelj vlasnik objekta u kojem se nalazi prostor u čijem posjedu je tužena, pa stoga, temeljem naprijed citiranih odredbi ZSP-a proizilazi osnovanim zahtjev tužitelja da mu tužena isti vrati u posjed. </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Arial"/>
          <w:sz w:val="24"/>
          <w:szCs w:val="24"/>
        </w:rPr>
      </w:pPr>
      <w:r w:rsidRPr="00287584">
        <w:rPr>
          <w:rFonts w:ascii="Garamond" w:hAnsi="Garamond" w:cs="Times New Roman"/>
          <w:sz w:val="24"/>
          <w:szCs w:val="24"/>
          <w:lang w:eastAsia="bs-Latn-BA"/>
        </w:rPr>
        <w:t xml:space="preserve">Tužena jeste tvrdila, a koju tvrdnju potkrepljuju i navodi tužitelja kao i provedeni dokazi tužitelja </w:t>
      </w:r>
      <w:r w:rsidRPr="00287584">
        <w:rPr>
          <w:rFonts w:ascii="Garamond" w:hAnsi="Garamond" w:cs="Arial"/>
          <w:sz w:val="24"/>
          <w:szCs w:val="24"/>
        </w:rPr>
        <w:t xml:space="preserve">Ugovor o zakupu stana broj: 08/5-23-9-39-11/11 od 04.01.2011.godine i Analitička kartica na ime tužene, da je 2011. godine imala sa tužiteljem zaključen ugovor o zakupu (u ugovoru o zakupu se navodi stan površine od 40 m2, a i tužena navodi da joj je u zakup data jedna prostorija). </w:t>
      </w:r>
    </w:p>
    <w:p w:rsidR="00287584" w:rsidRPr="00287584" w:rsidRDefault="00287584" w:rsidP="00287584">
      <w:pPr>
        <w:pStyle w:val="NoSpacing"/>
        <w:jc w:val="both"/>
        <w:rPr>
          <w:rFonts w:ascii="Garamond" w:hAnsi="Garamond" w:cs="Arial"/>
          <w:sz w:val="24"/>
          <w:szCs w:val="24"/>
        </w:rPr>
      </w:pPr>
    </w:p>
    <w:p w:rsidR="00287584" w:rsidRPr="00287584" w:rsidRDefault="00287584" w:rsidP="00287584">
      <w:pPr>
        <w:pStyle w:val="NoSpacing"/>
        <w:jc w:val="both"/>
        <w:rPr>
          <w:rFonts w:ascii="Garamond" w:hAnsi="Garamond" w:cs="Arial"/>
          <w:sz w:val="24"/>
          <w:szCs w:val="24"/>
        </w:rPr>
      </w:pPr>
      <w:r w:rsidRPr="00287584">
        <w:rPr>
          <w:rFonts w:ascii="Garamond" w:hAnsi="Garamond" w:cs="Arial"/>
          <w:sz w:val="24"/>
          <w:szCs w:val="24"/>
        </w:rPr>
        <w:t xml:space="preserve">Iz analitičkih kartica tužitelja se zaključuje da je tužena u posjedu tog stana bila još od 2010. godine i to prvo temeljem rješenja tužitelja broj 08/5-23-9-143/10, a zatim temeljem ugovora o zakupu broj: 08/5-23-9-39-11/11 od 04.01.2011.godine. </w:t>
      </w:r>
    </w:p>
    <w:p w:rsidR="00287584" w:rsidRPr="00287584" w:rsidRDefault="00287584" w:rsidP="00287584">
      <w:pPr>
        <w:pStyle w:val="NoSpacing"/>
        <w:jc w:val="both"/>
        <w:rPr>
          <w:rFonts w:ascii="Garamond" w:hAnsi="Garamond" w:cs="Arial"/>
          <w:sz w:val="24"/>
          <w:szCs w:val="24"/>
        </w:rPr>
      </w:pPr>
    </w:p>
    <w:p w:rsidR="00287584" w:rsidRPr="00287584" w:rsidRDefault="00287584" w:rsidP="00287584">
      <w:pPr>
        <w:pStyle w:val="NoSpacing"/>
        <w:jc w:val="both"/>
        <w:rPr>
          <w:rFonts w:ascii="Garamond" w:hAnsi="Garamond" w:cs="Arial"/>
          <w:sz w:val="24"/>
          <w:szCs w:val="24"/>
        </w:rPr>
      </w:pPr>
      <w:r w:rsidRPr="00287584">
        <w:rPr>
          <w:rFonts w:ascii="Garamond" w:hAnsi="Garamond" w:cs="Arial"/>
          <w:sz w:val="24"/>
          <w:szCs w:val="24"/>
        </w:rPr>
        <w:lastRenderedPageBreak/>
        <w:t xml:space="preserve">Iz sadržaja ugovora o zakupu proizilazi da je isti zaključen na određeno vrijeme i u istom je predviđeno da se isti smatra prećutno obnovljenim na isto vrijeme trajanja zakupa ukoliko u roku od trideset dana nakon isteka ugovorenog roka nijedna od strana ne obavijesti drugu u pismenoj formi da želi produženje ugovora. </w:t>
      </w:r>
    </w:p>
    <w:p w:rsidR="00287584" w:rsidRPr="00287584" w:rsidRDefault="00287584" w:rsidP="00287584">
      <w:pPr>
        <w:pStyle w:val="NoSpacing"/>
        <w:jc w:val="both"/>
        <w:rPr>
          <w:rFonts w:ascii="Garamond" w:hAnsi="Garamond" w:cs="Arial"/>
          <w:sz w:val="24"/>
          <w:szCs w:val="24"/>
        </w:rPr>
      </w:pPr>
    </w:p>
    <w:p w:rsidR="00287584" w:rsidRPr="00287584" w:rsidRDefault="00287584" w:rsidP="00287584">
      <w:pPr>
        <w:pStyle w:val="NoSpacing"/>
        <w:jc w:val="both"/>
        <w:rPr>
          <w:rFonts w:ascii="Garamond" w:hAnsi="Garamond" w:cs="Arial"/>
          <w:sz w:val="24"/>
          <w:szCs w:val="24"/>
        </w:rPr>
      </w:pPr>
      <w:r w:rsidRPr="00287584">
        <w:rPr>
          <w:rFonts w:ascii="Garamond" w:hAnsi="Garamond" w:cs="Arial"/>
          <w:sz w:val="24"/>
          <w:szCs w:val="24"/>
        </w:rPr>
        <w:t>Iz analitičkih kartica tužitelja proizilazi da se u poslovnim knjigama tužitelja po osnovu ugovora o zakupu vodi dug tužene za zakupninu za 2011. godinu u ukupnom iznosu od 1.200,00 KM.</w:t>
      </w:r>
    </w:p>
    <w:p w:rsidR="00287584" w:rsidRPr="00287584" w:rsidRDefault="00287584" w:rsidP="00287584">
      <w:pPr>
        <w:pStyle w:val="NoSpacing"/>
        <w:jc w:val="both"/>
        <w:rPr>
          <w:rFonts w:ascii="Garamond" w:hAnsi="Garamond" w:cs="Arial"/>
          <w:sz w:val="24"/>
          <w:szCs w:val="24"/>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Arial"/>
          <w:sz w:val="24"/>
          <w:szCs w:val="24"/>
        </w:rPr>
        <w:t xml:space="preserve">Iz navoda tužene proizilazi da su ona i tužitelj raskinuli ugovor o zakupu nakon što su izvršeni određeni radovi na njenoj stambenoj jedinici, a iz razloga što je ista socijalni slučaj, te da joj je obećano da će joj se otpisati i dug za zakupninu koji je ranije nastao. </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rPr>
        <w:t>Član II/3.f) Ustava Bosne i Hercegovine propisuje da sva lica na teritoriji Bosne i Hercegovine uživaju ljudska prava i slobode iz stava 2. ovog člana, što uključuje: (…) f) Pravo na privatni i porodični život, dom i prepisku. Član 8. Konvencije za zaštitu ljudskih prava i temeljnih sloboda (u daljem tekstu Evropska konvencija) propisuje u stavu 1. da svako ima pravo na poštivanje svog privatnog i porodičnog života, doma i prepiske, a u stavu 2. da se javna vlast ne miješa u vršenje ovog prava, osim ako je takvo miješanje predviđeno zakonom i ako je to neophodna mjera u demokratskom društvu u interesu nacionalne sigurnosti, javne sigurnosti, ekonomske dobrobiti zemlje, sprječavanja nereda ili sprječavanja zločina radi zaštite zdravlja i morala, ili zaštite prava i sloboda drugih.</w:t>
      </w:r>
    </w:p>
    <w:p w:rsidR="00287584" w:rsidRPr="00287584" w:rsidRDefault="00287584" w:rsidP="00287584">
      <w:pPr>
        <w:pStyle w:val="NoSpacing"/>
        <w:jc w:val="both"/>
        <w:rPr>
          <w:rFonts w:ascii="Garamond" w:hAnsi="Garamond" w:cs="Times New Roman"/>
          <w:sz w:val="24"/>
          <w:szCs w:val="24"/>
          <w:lang w:eastAsia="bs-Latn-BA"/>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Cijeneći citiranu odredbu Ustava BiH i člana 8. Evropske konvencije, te sudsku praksu Ustavnog suda BiH i Evropskog suda za ljudska prava (u daljem tekstu Evropski sud), proizilazi da je osnovna svrha člana 8. Evropske konvencije zaštita pojedinaca od arbitrarnih miješanja vlasti u njihova prava, garantirana ovim članom. Stav 2. člana 8. Evropske konvencije dozvoljava javnim vlastima, u određenim slučajevima, miješanje u prava pojedinaca garantirana prvim stavom člana 8. Evropske konvencije. Da bi miješanje javnih vlasti bilo opravdano ono mora biti „u skladu sa zakonom“. Ovaj uvjet zakonitosti se, u skladu sa značenjem termina Evropske konvencije, sastoji iz više elemenata: a) miješanje mora biti utemeljeno domaćim ili međunarodnim zakonom; b) zakon o kojem je riječ mora biti primjereno pristupačan tako da pojedinac bude upućen na okolnosti zakona koji se mora primijeniti na dati predmet; i c) zakon također mora biti formuliran sa odgovarajućom tačnošću i jasnošću da bi se pojedincu omogućilo da prema njemu prilagodi svoje postupke. Ukoliko se ustanovi da je miješanje javnih vlasti bilo u skladu sa zakonom, mora se utvrditi je li to miješanje bilo „neophodna mjera u demokratskom društvu“ i je li miješanje bilo u vezi sa jednim od ciljeva navedenim u stavu 2. člana 8. Evropske konvencije. U tom kontekstu treba razmotriti je li odluka javnih vlasti imala legitiman cilj i je li predstavljala mjeru koja je bila neophodna u demokratskom društvu.</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Prema jurisprudenciji Evropskog suda izraz „dom“ odnosi se kako na iznajmljeni dom, tako i na dom u privatnom vlasništvu. U skladu sa ovim tumačenjem, Ustavni sud BiH je proširio obim člana 8. Evropske konvencije, tako da se primjenjuje i na stanove na kojima postoji stanarsko pravo (vidi Odluku Ustavnog suda broj U 55/02 od 26. septembra 2003. godine, „Službeni glasnik Bosne i Hercegovine“, broj 3/04, tačka 28). Osim navedenih kriterija pomoću kojih se određuje šta se može smatrati „domom“ u smislu člana 8. Evropske konvencije, Ustavni sud BiH je ustanovio i praksu prema kojoj se stan ili dio stana ne može smatrati domom u okviru značenja iz člana 8. Evropske konvencije ukoliko je on „nezakonito korišten“ ili se „osoba ilegalno uselila u njega“ (vidi Odluku Ustavnog suda broj U 6/01 od 31. augusta 2001. godine, „Službeni glasnik Bosne i Hercegovine“, broj 33/01, kao i Odluku Ustavnog suda broj U 31/01 od 21. decembra 2001. godine, „Službeni glasnik Bosne i Hercegovine“, broj 13/02). Međutim, bez obzira na ovako ustanovljenu praksu Ustavnog suda BiH Evropski sud se u više svojih odluka izjasnio da </w:t>
      </w:r>
      <w:r w:rsidRPr="00287584">
        <w:rPr>
          <w:rFonts w:ascii="Garamond" w:hAnsi="Garamond" w:cs="Times New Roman"/>
          <w:sz w:val="24"/>
          <w:szCs w:val="24"/>
        </w:rPr>
        <w:lastRenderedPageBreak/>
        <w:t xml:space="preserve">dom čine prostorije s kojim je pojedinac ostvario dovoljno jaku, stvarnu i trajnu (kontinuiranu) povezanost, bez obzira na to da li ih nastanjuje zakonito ili bez ovlaštenja (vidi Presudu Evropskog suda Bjedov protiv Hrvatske od 29.05.2012. godine) i da dom nije ograničen na prostorije koje su u zakonitom posjedu i koje su zakonito nastanjene (vidi Presudu Evropskog suda Orlić protiv Hrvatske od 21.06.2011. godine). Pri prednjem, sud skreće pažnju i na praksu Evropskog suda koji je mjeru iseljenja ocijenio kao najekstremniji oblik miješanja u pravo na poštivanje doma (vidi Presudu Ćosić protiv Hrvatske od 15.01.2009. godine u kojoj je ponovljen je ovaj od ranije ranije iskazani stav).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Sud je prilikom odlučivanja imao u vidu i to da iz prakse Evropskog suda proizilazi da je dovoljno da se tuženi pozove na bilo kakve okolnosti posredno povezane sa pravom na dom kako bi zadovoljio formalni kriterij zaštite, odnosno da se isti ne mora izričito pozivati na pravo na dom, nego je dovoljno da njegovi navodi ukazuju na to.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Slijedom navedenog, a cijeneći da navodi tužene </w:t>
      </w:r>
      <w:r w:rsidRPr="00287584">
        <w:rPr>
          <w:rFonts w:ascii="Garamond" w:hAnsi="Garamond" w:cs="Times New Roman"/>
          <w:sz w:val="24"/>
          <w:szCs w:val="24"/>
          <w:lang w:eastAsia="bs-Latn-BA"/>
        </w:rPr>
        <w:t xml:space="preserve">da živi u ovom prostoru sa svoje osmero djece, da je u posjedu stana duže od 10 godina i da nema gdje da iseli, </w:t>
      </w:r>
      <w:r w:rsidRPr="00287584">
        <w:rPr>
          <w:rFonts w:ascii="Garamond" w:hAnsi="Garamond" w:cs="Times New Roman"/>
          <w:sz w:val="24"/>
          <w:szCs w:val="24"/>
        </w:rPr>
        <w:t xml:space="preserve">predstavlja pozivanje na okolnosti koje su povezane sa pravom na dom, ovaj sud nalazi da izvedeni dokazi iz kojih proizilazi da tužena sa svojom porodicom živi u predmetnoj zgradi još 2010. godine i da je u ovoj zgradi živjela sa svojom porodicom i u martu 2022. godine kada je Komisija formirana od strane tužitelja izlazila na lice mjesta, a živi danas, ukazuju na to da se ovaj prostor u kojem živi može smatrati njenim domom.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Slijedom navedenog, traženje da se tužena sa svojom djecom iseli iz ovog prostora predstavlja miješanje u pravo tužene na dom, pa je u toj situaciji potrebno primijeniti naprijed navedene kriterije Evropskog suda, odnosno potrebno je cijeniti da li je miješanje bilo opravdano.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Ovaj sud nalazi da je miješanje u pravo na dom tužene bilo „u skladu sa zakonom“ jer je isto utemeljeno na naprijed citiranim odredbama ZSP-a, odnosno tužitelj je vlasnik nekretnine, pa je kao takav ovlašten tražiti zaštitu prava vlasništva i iseljenje tužene.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Sud je nadalje cijenio i da li je miješanje usmjereno na postizanje legitimnog cilja, pa je imajući u vidu naprijed navedeno našao da jeste, jer je tužitelj ovlašten tužbom, kao vlasnik sporne nekretnine, tražiti zaštitu svog prava vlasništva, a zaštita kojeg prava je garantovana kako odredbama ZSP-a, tako i Ustavom.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i/>
          <w:sz w:val="24"/>
          <w:szCs w:val="24"/>
        </w:rPr>
      </w:pPr>
      <w:r w:rsidRPr="00287584">
        <w:rPr>
          <w:rFonts w:ascii="Garamond" w:hAnsi="Garamond" w:cs="Times New Roman"/>
          <w:sz w:val="24"/>
          <w:szCs w:val="24"/>
        </w:rPr>
        <w:t xml:space="preserve">Evropski sud je u Presudi Brezec protiv Hrvatske prihvatio da miješanje u pravo na dom radi zaštite prava vlasništva teži ostvarivanju legitimnog cilja: </w:t>
      </w:r>
      <w:r w:rsidRPr="00287584">
        <w:rPr>
          <w:rFonts w:ascii="Garamond" w:hAnsi="Garamond" w:cs="Times New Roman"/>
          <w:i/>
          <w:sz w:val="24"/>
          <w:szCs w:val="24"/>
        </w:rPr>
        <w:t>„Predmetni nalog za povrat posjeda izdali su domaći sudovi temeljem hrvatskih zakona koji uređuju vlasništvo. Ti zakoni dozvoljavaju vlasniku zahtijevati povrat posjeda stvari kad posjednik nema nikakvu pravnu osnovu za posjed. Domaći sudovi su se pozvali na članak 161. Zakona o vlasništvu i drugim stvarnim pravima kad su naložili podnositeljičino iseljenje. Sud je, uzimajući u obzir da je njegova ovlast za preispitivanje poštivanja domaćeg prava ograničena (vidi, među ostalim izvorima, Allan Jacobsson protiv Švedske (br. 1), 25. listopada 1989., Serija A br. 163, str. 17, st. 57.) utvrdio da su odluke domaćih sudova kojima je naloženo podnositeljičino iseljenje bile u skladu s domaćim pravom, (vidi naprijed citirani predmet Ćosić, stavak 19.). Stoga je predmetno miješanje imalo legitimni cilj zaštite prava vlasnika stana (vidi naprijed citirani predmet Orlić, stavak 62.).“</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BodyText2"/>
        <w:spacing w:before="0" w:beforeAutospacing="0" w:after="0" w:afterAutospacing="0"/>
        <w:jc w:val="both"/>
        <w:rPr>
          <w:rFonts w:ascii="Garamond" w:hAnsi="Garamond"/>
        </w:rPr>
      </w:pPr>
      <w:r w:rsidRPr="00287584">
        <w:rPr>
          <w:rFonts w:ascii="Garamond" w:hAnsi="Garamond"/>
        </w:rPr>
        <w:t xml:space="preserve">Sud je cijenio i to da li je miješanje u pravo na dom neophodna mjera u demokratskom društvu, odnosno je li postignuta neophodna ravnoteža između interesa tužene da nastavi koristiti sporni prostor i predaje spornog prostora vlasniku istog, pa je našao da se u konkretnoj situaciji radi o tome da su suprotstavljena dva pojedinačna prava. To su, s jedne strane, tužiteljevo pravo vlasništva sporne nekretnine, a s druge strane, pravo na dom tužene. Stavljajući u međusobni </w:t>
      </w:r>
      <w:r w:rsidRPr="00287584">
        <w:rPr>
          <w:rFonts w:ascii="Garamond" w:hAnsi="Garamond"/>
        </w:rPr>
        <w:lastRenderedPageBreak/>
        <w:t xml:space="preserve">odnos ta dva pojedinačna prava, ocjena je ovog suda da u konkretnom slučaju pravo vlasnika sporne nekretnine preteže nad pravom tužene, kao korisnika nekretnine. To stoga jer tužena spornu nekretninu koristi bez valjanog pravnog osnova, pri čemu ista zna da je sporna nekretnina vlasništvo tužitelja i nakon njegovog zahtjeva da se iseli mirnim putem, to nije učinila nego ju je nastavila koristiti na isti način kao i ranije, ne dokazujući da je uopće pokušavala riješiti svoje stambeno pitanje na drugačiji način. </w:t>
      </w:r>
    </w:p>
    <w:p w:rsidR="00287584" w:rsidRPr="00287584" w:rsidRDefault="00287584" w:rsidP="00287584">
      <w:pPr>
        <w:pStyle w:val="BodyText2"/>
        <w:spacing w:before="0" w:beforeAutospacing="0" w:after="0" w:afterAutospacing="0"/>
        <w:jc w:val="both"/>
        <w:rPr>
          <w:rFonts w:ascii="Garamond" w:hAnsi="Garamond"/>
        </w:rPr>
      </w:pPr>
    </w:p>
    <w:p w:rsidR="00287584" w:rsidRPr="00287584" w:rsidRDefault="00287584" w:rsidP="00287584">
      <w:pPr>
        <w:pStyle w:val="BodyText2"/>
        <w:spacing w:before="0" w:beforeAutospacing="0" w:after="0" w:afterAutospacing="0"/>
        <w:jc w:val="both"/>
        <w:rPr>
          <w:rFonts w:ascii="Garamond" w:hAnsi="Garamond"/>
          <w:color w:val="000000"/>
        </w:rPr>
      </w:pPr>
      <w:r w:rsidRPr="00287584">
        <w:rPr>
          <w:rFonts w:ascii="Garamond" w:hAnsi="Garamond"/>
        </w:rPr>
        <w:t xml:space="preserve">Ovdje se posebno napominje da pored toga što pravo vlasništva, kao takvo, preteže nad pravom tužene kao neovlaštenog korisnika nekretnine, na istoj strani, kao prevaga, postoji i obaveza vlasnika ove nekretnine, a imajući u vidu da se radi o objektu koji je proglašen nacionalnim spomenikom, da primijeni u odnosu na istu mjere zaštite utvrđene Zakonom o provođenju odluka Komisije za zaštitu nacionalnih spomenika uspostavljene prema Aneksu 8. Općeg okvirnog sporazuma za mir u BiH. Ovim Zakonom propisano je da nacionalni spomenici uživaju najviši stepen pravne zaštite utvrđene posebnim zakonima F BiH, </w:t>
      </w:r>
      <w:r w:rsidRPr="00287584">
        <w:rPr>
          <w:rFonts w:ascii="Garamond" w:hAnsi="Garamond"/>
          <w:color w:val="000000"/>
        </w:rPr>
        <w:t>te je propisana obaveza da svako, a posebno nadležni organi Federacije, kantona i gradske i općinske službe, treba da se suzdrže od bilo kakvih radnji koje mogu oštetiti nacionalne spomenike ili dovesti u pitanje njihovu zaštitu i rehabilitaciju. Ovo posebno dobija na značaju kada se ima u vidu konstatacija suda sa uviđaja na licu mjesta da je kompletan prostor koji koristi tužena u lošem stanju, neuredan i neodržavan, te na istom uviđaju konstatovani navodi tužene da je pod u jednoj od soba koje drži u posjedu „propao“.</w:t>
      </w:r>
    </w:p>
    <w:p w:rsidR="00287584" w:rsidRPr="00287584" w:rsidRDefault="00287584" w:rsidP="00287584">
      <w:pPr>
        <w:pStyle w:val="BodyText2"/>
        <w:spacing w:before="0" w:beforeAutospacing="0" w:after="0" w:afterAutospacing="0"/>
        <w:jc w:val="both"/>
        <w:rPr>
          <w:rFonts w:ascii="Garamond" w:hAnsi="Garamond"/>
          <w:color w:val="000000"/>
        </w:rPr>
      </w:pPr>
    </w:p>
    <w:p w:rsidR="00287584" w:rsidRPr="00287584" w:rsidRDefault="00287584" w:rsidP="00287584">
      <w:pPr>
        <w:pStyle w:val="BodyText2"/>
        <w:spacing w:before="0" w:beforeAutospacing="0" w:after="0" w:afterAutospacing="0"/>
        <w:jc w:val="both"/>
        <w:rPr>
          <w:rFonts w:ascii="Garamond" w:hAnsi="Garamond"/>
          <w:i/>
        </w:rPr>
      </w:pPr>
      <w:r w:rsidRPr="00287584">
        <w:rPr>
          <w:rFonts w:ascii="Garamond" w:hAnsi="Garamond"/>
          <w:i/>
          <w:color w:val="000000"/>
        </w:rPr>
        <w:t>Slično pravno stanovište izneseno je i u Odlukama Ustavnog suda R Hrvatske broj</w:t>
      </w:r>
      <w:r w:rsidRPr="00287584">
        <w:rPr>
          <w:rFonts w:ascii="Garamond" w:hAnsi="Garamond"/>
          <w:i/>
        </w:rPr>
        <w:t xml:space="preserve"> U-III-2431/2017 od 03.02.2022. godine i broj U-III-3039/2015 od 23.09.2015. godine.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 xml:space="preserve">Slijedom svega navedenog, donesena je odluka kao u izreci. </w:t>
      </w:r>
    </w:p>
    <w:p w:rsidR="00287584" w:rsidRPr="00287584" w:rsidRDefault="00287584" w:rsidP="00287584">
      <w:pPr>
        <w:pStyle w:val="NoSpacing"/>
        <w:jc w:val="both"/>
        <w:rPr>
          <w:rFonts w:ascii="Garamond" w:hAnsi="Garamond" w:cs="Times New Roman"/>
          <w:sz w:val="24"/>
          <w:szCs w:val="24"/>
        </w:rPr>
      </w:pPr>
    </w:p>
    <w:p w:rsidR="00287584" w:rsidRPr="00287584" w:rsidRDefault="00287584" w:rsidP="00287584">
      <w:pPr>
        <w:pStyle w:val="NoSpacing1"/>
        <w:rPr>
          <w:b w:val="0"/>
          <w:bCs w:val="0"/>
        </w:rPr>
      </w:pPr>
      <w:r w:rsidRPr="00287584">
        <w:rPr>
          <w:b w:val="0"/>
        </w:rPr>
        <w:t xml:space="preserve">Odluku o troškovima, a krećući se u granicama postavljenog zahtjeva tužitelja, sud je donio na osnovu člana 386. stav 1, člana 383. stav 1. i 2. i člana 396. stav 1. i 2. ZPP-a. Priznati troškovi tužitelja se sastoje od sastava tužbe u iznosu od 240,00 KM, zastupanja na pripremnom ročištu u iznosu od 240,00 KM, zastupanja na ročištu za glavnu raspravu u iznosu od 240,00 KM i zastupanja na uviđaju suda na licu mjesta u iznosu od 120,00 KM, a prema Tarifi o nagradama i naknadi troškova za rad advokata („Službene novine Federacije BiH“ broj 22/04-u daljem tekstu Tarife), te troškova vještačenja u iznosu od </w:t>
      </w:r>
      <w:r w:rsidR="00F431AD">
        <w:rPr>
          <w:b w:val="0"/>
        </w:rPr>
        <w:t>25</w:t>
      </w:r>
      <w:r w:rsidRPr="00287584">
        <w:rPr>
          <w:b w:val="0"/>
        </w:rPr>
        <w:t>0,00 KM, što ukupno iznosi 1.</w:t>
      </w:r>
      <w:r w:rsidR="00F431AD">
        <w:rPr>
          <w:b w:val="0"/>
        </w:rPr>
        <w:t>090</w:t>
      </w:r>
      <w:r w:rsidRPr="00287584">
        <w:rPr>
          <w:b w:val="0"/>
        </w:rPr>
        <w:t xml:space="preserve">,00 KM. </w:t>
      </w:r>
    </w:p>
    <w:p w:rsidR="00287584" w:rsidRPr="00287584" w:rsidRDefault="00287584" w:rsidP="00287584">
      <w:pPr>
        <w:pStyle w:val="NoSpacing"/>
        <w:jc w:val="right"/>
        <w:rPr>
          <w:rFonts w:ascii="Garamond" w:hAnsi="Garamond" w:cs="Times New Roman"/>
          <w:sz w:val="24"/>
          <w:szCs w:val="24"/>
          <w:lang w:eastAsia="bs-Latn-BA"/>
        </w:rPr>
      </w:pPr>
    </w:p>
    <w:p w:rsidR="00287584" w:rsidRPr="00287584" w:rsidRDefault="00287584" w:rsidP="00287584">
      <w:pPr>
        <w:pStyle w:val="NoSpacing"/>
        <w:jc w:val="right"/>
        <w:rPr>
          <w:rFonts w:ascii="Garamond" w:hAnsi="Garamond" w:cs="Times New Roman"/>
          <w:b/>
          <w:bCs/>
          <w:sz w:val="24"/>
          <w:szCs w:val="24"/>
          <w:lang w:eastAsia="bs-Latn-BA"/>
        </w:rPr>
      </w:pPr>
      <w:r w:rsidRPr="00287584">
        <w:rPr>
          <w:rFonts w:ascii="Garamond" w:hAnsi="Garamond" w:cs="Times New Roman"/>
          <w:b/>
          <w:bCs/>
          <w:sz w:val="24"/>
          <w:szCs w:val="24"/>
          <w:lang w:eastAsia="bs-Latn-BA"/>
        </w:rPr>
        <w:t>S U D I J A</w:t>
      </w:r>
    </w:p>
    <w:p w:rsidR="00287584" w:rsidRPr="00287584" w:rsidRDefault="00287584" w:rsidP="00287584">
      <w:pPr>
        <w:pStyle w:val="NoSpacing"/>
        <w:jc w:val="right"/>
        <w:rPr>
          <w:rFonts w:ascii="Garamond" w:hAnsi="Garamond" w:cs="Times New Roman"/>
          <w:sz w:val="24"/>
          <w:szCs w:val="24"/>
          <w:lang w:eastAsia="bs-Latn-BA"/>
        </w:rPr>
      </w:pPr>
      <w:r w:rsidRPr="00287584">
        <w:rPr>
          <w:rFonts w:ascii="Garamond" w:hAnsi="Garamond" w:cs="Times New Roman"/>
          <w:sz w:val="24"/>
          <w:szCs w:val="24"/>
          <w:lang w:eastAsia="bs-Latn-BA"/>
        </w:rPr>
        <w:t> Emina Burgić Omerdić</w:t>
      </w: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w:t>
      </w:r>
    </w:p>
    <w:p w:rsidR="00287584" w:rsidRPr="00287584" w:rsidRDefault="00287584" w:rsidP="00287584">
      <w:pPr>
        <w:pStyle w:val="NoSpacing"/>
        <w:jc w:val="both"/>
        <w:rPr>
          <w:rFonts w:ascii="Garamond" w:hAnsi="Garamond" w:cs="Times New Roman"/>
          <w:sz w:val="24"/>
          <w:szCs w:val="24"/>
          <w:lang w:eastAsia="bs-Latn-BA"/>
        </w:rPr>
      </w:pPr>
      <w:r w:rsidRPr="00287584">
        <w:rPr>
          <w:rFonts w:ascii="Garamond" w:hAnsi="Garamond" w:cs="Times New Roman"/>
          <w:sz w:val="24"/>
          <w:szCs w:val="24"/>
          <w:lang w:eastAsia="bs-Latn-BA"/>
        </w:rPr>
        <w:t> </w:t>
      </w:r>
    </w:p>
    <w:p w:rsidR="00287584" w:rsidRPr="00287584" w:rsidRDefault="00287584" w:rsidP="00287584">
      <w:pPr>
        <w:pStyle w:val="NoSpacing"/>
        <w:jc w:val="both"/>
        <w:rPr>
          <w:rFonts w:ascii="Garamond" w:hAnsi="Garamond" w:cs="Times New Roman"/>
          <w:b/>
          <w:bCs/>
          <w:sz w:val="24"/>
          <w:szCs w:val="24"/>
          <w:lang w:eastAsia="bs-Latn-BA"/>
        </w:rPr>
      </w:pPr>
      <w:r w:rsidRPr="00287584">
        <w:rPr>
          <w:rFonts w:ascii="Garamond" w:hAnsi="Garamond" w:cs="Times New Roman"/>
          <w:b/>
          <w:bCs/>
          <w:sz w:val="24"/>
          <w:szCs w:val="24"/>
          <w:lang w:eastAsia="bs-Latn-BA"/>
        </w:rPr>
        <w:t xml:space="preserve">Pouka o pravnom lijeku: </w:t>
      </w: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rPr>
        <w:t>Protiv ove presude dopuštena je žalba Kantonalnom sudu u Tuzli u roku od 30 dana od dana dostavljanja presude. Žalba se podnosi ovom sudu, u dovoljnom broju primjeraka (</w:t>
      </w:r>
      <w:r w:rsidRPr="00287584">
        <w:rPr>
          <w:rFonts w:ascii="Garamond" w:hAnsi="Garamond" w:cs="Times New Roman"/>
          <w:i/>
          <w:iCs/>
          <w:sz w:val="24"/>
          <w:szCs w:val="24"/>
        </w:rPr>
        <w:t>tri primjerka</w:t>
      </w:r>
      <w:r w:rsidRPr="00287584">
        <w:rPr>
          <w:rFonts w:ascii="Garamond" w:hAnsi="Garamond" w:cs="Times New Roman"/>
          <w:sz w:val="24"/>
          <w:szCs w:val="24"/>
        </w:rPr>
        <w:t>).</w:t>
      </w:r>
    </w:p>
    <w:p w:rsidR="00287584" w:rsidRPr="00287584" w:rsidRDefault="00287584" w:rsidP="00287584">
      <w:pPr>
        <w:pStyle w:val="NoSpacing"/>
        <w:jc w:val="both"/>
        <w:rPr>
          <w:rFonts w:ascii="Garamond" w:hAnsi="Garamond" w:cs="Times New Roman"/>
          <w:sz w:val="24"/>
          <w:szCs w:val="24"/>
        </w:rPr>
      </w:pPr>
      <w:r w:rsidRPr="00287584">
        <w:rPr>
          <w:rFonts w:ascii="Garamond" w:hAnsi="Garamond" w:cs="Times New Roman"/>
          <w:sz w:val="24"/>
          <w:szCs w:val="24"/>
          <w:lang w:eastAsia="bs-Latn-BA"/>
        </w:rPr>
        <w:t xml:space="preserve">                                     </w:t>
      </w:r>
    </w:p>
    <w:p w:rsidR="00287584" w:rsidRPr="00287584" w:rsidRDefault="00287584" w:rsidP="00287584">
      <w:pPr>
        <w:rPr>
          <w:rFonts w:ascii="Garamond" w:hAnsi="Garamond"/>
        </w:rPr>
      </w:pPr>
    </w:p>
    <w:p w:rsidR="00287584" w:rsidRPr="00287584" w:rsidRDefault="00287584" w:rsidP="00287584">
      <w:pPr>
        <w:rPr>
          <w:rFonts w:ascii="Garamond" w:hAnsi="Garamond"/>
        </w:rPr>
      </w:pPr>
    </w:p>
    <w:p w:rsidR="008C26C7" w:rsidRPr="00287584" w:rsidRDefault="008C26C7" w:rsidP="00287584">
      <w:pPr>
        <w:rPr>
          <w:rFonts w:ascii="Garamond" w:hAnsi="Garamond"/>
        </w:rPr>
      </w:pPr>
    </w:p>
    <w:sectPr w:rsidR="008C26C7" w:rsidRPr="00287584" w:rsidSect="009448F1">
      <w:foot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AF1" w:rsidRDefault="00347AF1" w:rsidP="00287584">
      <w:r>
        <w:separator/>
      </w:r>
    </w:p>
  </w:endnote>
  <w:endnote w:type="continuationSeparator" w:id="0">
    <w:p w:rsidR="00347AF1" w:rsidRDefault="00347AF1" w:rsidP="0028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486311"/>
      <w:docPartObj>
        <w:docPartGallery w:val="Page Numbers (Bottom of Page)"/>
        <w:docPartUnique/>
      </w:docPartObj>
    </w:sdtPr>
    <w:sdtEndPr>
      <w:rPr>
        <w:noProof/>
      </w:rPr>
    </w:sdtEndPr>
    <w:sdtContent>
      <w:p w:rsidR="00287584" w:rsidRDefault="00287584">
        <w:pPr>
          <w:pStyle w:val="Footer"/>
          <w:jc w:val="right"/>
        </w:pPr>
        <w:r>
          <w:fldChar w:fldCharType="begin"/>
        </w:r>
        <w:r>
          <w:instrText xml:space="preserve"> PAGE   \* MERGEFORMAT </w:instrText>
        </w:r>
        <w:r>
          <w:fldChar w:fldCharType="separate"/>
        </w:r>
        <w:r w:rsidR="00DF5BCA">
          <w:rPr>
            <w:noProof/>
          </w:rPr>
          <w:t>7</w:t>
        </w:r>
        <w:r>
          <w:rPr>
            <w:noProof/>
          </w:rPr>
          <w:fldChar w:fldCharType="end"/>
        </w:r>
      </w:p>
    </w:sdtContent>
  </w:sdt>
  <w:p w:rsidR="003C4DCA" w:rsidRDefault="00347A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AF1" w:rsidRDefault="00347AF1" w:rsidP="00287584">
      <w:r>
        <w:separator/>
      </w:r>
    </w:p>
  </w:footnote>
  <w:footnote w:type="continuationSeparator" w:id="0">
    <w:p w:rsidR="00347AF1" w:rsidRDefault="00347AF1" w:rsidP="002875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6C7"/>
    <w:rsid w:val="00042AFE"/>
    <w:rsid w:val="00100CA0"/>
    <w:rsid w:val="00173BF6"/>
    <w:rsid w:val="001F7990"/>
    <w:rsid w:val="00287584"/>
    <w:rsid w:val="00347AF1"/>
    <w:rsid w:val="00616AA0"/>
    <w:rsid w:val="00711140"/>
    <w:rsid w:val="008C26C7"/>
    <w:rsid w:val="00A00E0B"/>
    <w:rsid w:val="00A6380F"/>
    <w:rsid w:val="00A7718E"/>
    <w:rsid w:val="00B43B8B"/>
    <w:rsid w:val="00DF5BCA"/>
    <w:rsid w:val="00F431AD"/>
    <w:rsid w:val="00FD65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NoSpacing">
    <w:name w:val="No Spacing"/>
    <w:basedOn w:val="Normal"/>
    <w:uiPriority w:val="1"/>
    <w:qFormat/>
    <w:rsid w:val="00287584"/>
    <w:rPr>
      <w:rFonts w:ascii="Calibri" w:eastAsiaTheme="minorHAnsi" w:hAnsi="Calibri" w:cs="Calibri"/>
      <w:sz w:val="22"/>
      <w:szCs w:val="22"/>
      <w:lang w:val="bs-Latn-BA"/>
    </w:rPr>
  </w:style>
  <w:style w:type="paragraph" w:styleId="Footer">
    <w:name w:val="footer"/>
    <w:basedOn w:val="Normal"/>
    <w:link w:val="FooterChar"/>
    <w:uiPriority w:val="99"/>
    <w:unhideWhenUsed/>
    <w:rsid w:val="00287584"/>
    <w:pPr>
      <w:tabs>
        <w:tab w:val="center" w:pos="4513"/>
        <w:tab w:val="right" w:pos="9026"/>
      </w:tabs>
    </w:pPr>
    <w:rPr>
      <w:rFonts w:eastAsiaTheme="minorHAnsi"/>
      <w:lang w:val="bs-Latn-BA" w:eastAsia="bs-Latn-BA"/>
    </w:rPr>
  </w:style>
  <w:style w:type="character" w:customStyle="1" w:styleId="FooterChar">
    <w:name w:val="Footer Char"/>
    <w:basedOn w:val="DefaultParagraphFont"/>
    <w:link w:val="Footer"/>
    <w:uiPriority w:val="99"/>
    <w:rsid w:val="00287584"/>
    <w:rPr>
      <w:rFonts w:eastAsiaTheme="minorHAnsi"/>
      <w:sz w:val="24"/>
      <w:szCs w:val="24"/>
      <w:lang w:val="bs-Latn-BA" w:eastAsia="bs-Latn-BA"/>
    </w:rPr>
  </w:style>
  <w:style w:type="paragraph" w:styleId="BodyText2">
    <w:name w:val="Body Text 2"/>
    <w:basedOn w:val="Normal"/>
    <w:link w:val="BodyText2Char"/>
    <w:uiPriority w:val="99"/>
    <w:unhideWhenUsed/>
    <w:rsid w:val="00287584"/>
    <w:pPr>
      <w:spacing w:before="100" w:beforeAutospacing="1" w:after="100" w:afterAutospacing="1"/>
    </w:pPr>
    <w:rPr>
      <w:lang w:val="bs-Latn-BA" w:eastAsia="bs-Latn-BA"/>
    </w:rPr>
  </w:style>
  <w:style w:type="character" w:customStyle="1" w:styleId="BodyText2Char">
    <w:name w:val="Body Text 2 Char"/>
    <w:basedOn w:val="DefaultParagraphFont"/>
    <w:link w:val="BodyText2"/>
    <w:uiPriority w:val="99"/>
    <w:rsid w:val="00287584"/>
    <w:rPr>
      <w:sz w:val="24"/>
      <w:szCs w:val="24"/>
      <w:lang w:val="bs-Latn-BA" w:eastAsia="bs-Latn-BA"/>
    </w:rPr>
  </w:style>
  <w:style w:type="paragraph" w:customStyle="1" w:styleId="NoSpacing1">
    <w:name w:val="No Spacing1"/>
    <w:basedOn w:val="Normal"/>
    <w:rsid w:val="00287584"/>
    <w:pPr>
      <w:jc w:val="both"/>
    </w:pPr>
    <w:rPr>
      <w:rFonts w:ascii="Garamond" w:eastAsia="Calibri" w:hAnsi="Garamond"/>
      <w:b/>
      <w:bCs/>
      <w:lang w:val="bs-Latn-BA" w:eastAsia="bs-Latn-BA"/>
    </w:rPr>
  </w:style>
  <w:style w:type="paragraph" w:styleId="Header">
    <w:name w:val="header"/>
    <w:basedOn w:val="Normal"/>
    <w:link w:val="HeaderChar"/>
    <w:rsid w:val="00287584"/>
    <w:pPr>
      <w:tabs>
        <w:tab w:val="center" w:pos="4513"/>
        <w:tab w:val="right" w:pos="9026"/>
      </w:tabs>
    </w:pPr>
  </w:style>
  <w:style w:type="character" w:customStyle="1" w:styleId="HeaderChar">
    <w:name w:val="Header Char"/>
    <w:basedOn w:val="DefaultParagraphFont"/>
    <w:link w:val="Header"/>
    <w:rsid w:val="0028758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NoSpacing">
    <w:name w:val="No Spacing"/>
    <w:basedOn w:val="Normal"/>
    <w:uiPriority w:val="1"/>
    <w:qFormat/>
    <w:rsid w:val="00287584"/>
    <w:rPr>
      <w:rFonts w:ascii="Calibri" w:eastAsiaTheme="minorHAnsi" w:hAnsi="Calibri" w:cs="Calibri"/>
      <w:sz w:val="22"/>
      <w:szCs w:val="22"/>
      <w:lang w:val="bs-Latn-BA"/>
    </w:rPr>
  </w:style>
  <w:style w:type="paragraph" w:styleId="Footer">
    <w:name w:val="footer"/>
    <w:basedOn w:val="Normal"/>
    <w:link w:val="FooterChar"/>
    <w:uiPriority w:val="99"/>
    <w:unhideWhenUsed/>
    <w:rsid w:val="00287584"/>
    <w:pPr>
      <w:tabs>
        <w:tab w:val="center" w:pos="4513"/>
        <w:tab w:val="right" w:pos="9026"/>
      </w:tabs>
    </w:pPr>
    <w:rPr>
      <w:rFonts w:eastAsiaTheme="minorHAnsi"/>
      <w:lang w:val="bs-Latn-BA" w:eastAsia="bs-Latn-BA"/>
    </w:rPr>
  </w:style>
  <w:style w:type="character" w:customStyle="1" w:styleId="FooterChar">
    <w:name w:val="Footer Char"/>
    <w:basedOn w:val="DefaultParagraphFont"/>
    <w:link w:val="Footer"/>
    <w:uiPriority w:val="99"/>
    <w:rsid w:val="00287584"/>
    <w:rPr>
      <w:rFonts w:eastAsiaTheme="minorHAnsi"/>
      <w:sz w:val="24"/>
      <w:szCs w:val="24"/>
      <w:lang w:val="bs-Latn-BA" w:eastAsia="bs-Latn-BA"/>
    </w:rPr>
  </w:style>
  <w:style w:type="paragraph" w:styleId="BodyText2">
    <w:name w:val="Body Text 2"/>
    <w:basedOn w:val="Normal"/>
    <w:link w:val="BodyText2Char"/>
    <w:uiPriority w:val="99"/>
    <w:unhideWhenUsed/>
    <w:rsid w:val="00287584"/>
    <w:pPr>
      <w:spacing w:before="100" w:beforeAutospacing="1" w:after="100" w:afterAutospacing="1"/>
    </w:pPr>
    <w:rPr>
      <w:lang w:val="bs-Latn-BA" w:eastAsia="bs-Latn-BA"/>
    </w:rPr>
  </w:style>
  <w:style w:type="character" w:customStyle="1" w:styleId="BodyText2Char">
    <w:name w:val="Body Text 2 Char"/>
    <w:basedOn w:val="DefaultParagraphFont"/>
    <w:link w:val="BodyText2"/>
    <w:uiPriority w:val="99"/>
    <w:rsid w:val="00287584"/>
    <w:rPr>
      <w:sz w:val="24"/>
      <w:szCs w:val="24"/>
      <w:lang w:val="bs-Latn-BA" w:eastAsia="bs-Latn-BA"/>
    </w:rPr>
  </w:style>
  <w:style w:type="paragraph" w:customStyle="1" w:styleId="NoSpacing1">
    <w:name w:val="No Spacing1"/>
    <w:basedOn w:val="Normal"/>
    <w:rsid w:val="00287584"/>
    <w:pPr>
      <w:jc w:val="both"/>
    </w:pPr>
    <w:rPr>
      <w:rFonts w:ascii="Garamond" w:eastAsia="Calibri" w:hAnsi="Garamond"/>
      <w:b/>
      <w:bCs/>
      <w:lang w:val="bs-Latn-BA" w:eastAsia="bs-Latn-BA"/>
    </w:rPr>
  </w:style>
  <w:style w:type="paragraph" w:styleId="Header">
    <w:name w:val="header"/>
    <w:basedOn w:val="Normal"/>
    <w:link w:val="HeaderChar"/>
    <w:rsid w:val="00287584"/>
    <w:pPr>
      <w:tabs>
        <w:tab w:val="center" w:pos="4513"/>
        <w:tab w:val="right" w:pos="9026"/>
      </w:tabs>
    </w:pPr>
  </w:style>
  <w:style w:type="character" w:customStyle="1" w:styleId="HeaderChar">
    <w:name w:val="Header Char"/>
    <w:basedOn w:val="DefaultParagraphFont"/>
    <w:link w:val="Header"/>
    <w:rsid w:val="002875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4053</Words>
  <Characters>23106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TEMPLATE OSTALO</vt:lpstr>
    </vt:vector>
  </TitlesOfParts>
  <Company>HJPC</Company>
  <LinksUpToDate>false</LinksUpToDate>
  <CharactersWithSpaces>27105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Ivan Gospavic</cp:lastModifiedBy>
  <cp:revision>11</cp:revision>
  <dcterms:created xsi:type="dcterms:W3CDTF">2025-02-05T14:09:00Z</dcterms:created>
  <dcterms:modified xsi:type="dcterms:W3CDTF">2025-02-06T09:29:00Z</dcterms:modified>
</cp:coreProperties>
</file>