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10A7" w:rsidRPr="007E66EE" w:rsidRDefault="000610A7" w:rsidP="0007238A">
      <w:pPr>
        <w:jc w:val="center"/>
        <w:rPr>
          <w:lang w:val="hr-HR"/>
        </w:rPr>
      </w:pPr>
      <w:bookmarkStart w:id="0" w:name="_GoBack"/>
      <w:bookmarkEnd w:id="0"/>
    </w:p>
    <w:p w:rsidR="000610A7" w:rsidRPr="007E66EE" w:rsidRDefault="000610A7" w:rsidP="0007238A">
      <w:pPr>
        <w:jc w:val="center"/>
        <w:rPr>
          <w:lang w:val="hr-HR"/>
        </w:rPr>
      </w:pPr>
      <w:r w:rsidRPr="007E66EE">
        <w:rPr>
          <w:lang w:val="hr-HR"/>
        </w:rPr>
        <w:t>VELIKO VIJEĆE</w:t>
      </w:r>
    </w:p>
    <w:p w:rsidR="000610A7" w:rsidRPr="007E66EE" w:rsidRDefault="000610A7" w:rsidP="0007238A">
      <w:pPr>
        <w:jc w:val="center"/>
        <w:rPr>
          <w:lang w:val="hr-HR"/>
        </w:rPr>
      </w:pPr>
    </w:p>
    <w:p w:rsidR="000610A7" w:rsidRPr="007E66EE" w:rsidRDefault="000610A7" w:rsidP="0007238A">
      <w:pPr>
        <w:jc w:val="center"/>
        <w:rPr>
          <w:lang w:val="hr-HR"/>
        </w:rPr>
      </w:pPr>
    </w:p>
    <w:p w:rsidR="000610A7" w:rsidRPr="007E66EE" w:rsidRDefault="000610A7" w:rsidP="0007238A">
      <w:pPr>
        <w:jc w:val="center"/>
        <w:rPr>
          <w:b/>
          <w:lang w:val="hr-HR"/>
        </w:rPr>
      </w:pPr>
      <w:r w:rsidRPr="007E66EE">
        <w:rPr>
          <w:b/>
          <w:lang w:val="hr-HR"/>
        </w:rPr>
        <w:t>PREDMET PALOMO SÁNCHEZ I OSTALI PROTIV ŠPANJOLSKE</w:t>
      </w:r>
    </w:p>
    <w:p w:rsidR="000610A7" w:rsidRPr="007E66EE" w:rsidRDefault="000610A7" w:rsidP="0007238A">
      <w:pPr>
        <w:jc w:val="center"/>
        <w:rPr>
          <w:lang w:val="hr-HR"/>
        </w:rPr>
      </w:pPr>
    </w:p>
    <w:p w:rsidR="000610A7" w:rsidRPr="007E66EE" w:rsidRDefault="000610A7" w:rsidP="002407D9">
      <w:pPr>
        <w:jc w:val="center"/>
        <w:rPr>
          <w:i/>
          <w:lang w:val="hr-HR"/>
        </w:rPr>
      </w:pPr>
      <w:r w:rsidRPr="007E66EE">
        <w:rPr>
          <w:i/>
          <w:lang w:val="hr-HR"/>
        </w:rPr>
        <w:t>(zahtjevi br. 28955/06, 28957/06, 28959/06 i 28964/06)</w:t>
      </w:r>
    </w:p>
    <w:p w:rsidR="000610A7" w:rsidRPr="007E66EE" w:rsidRDefault="000610A7" w:rsidP="002407D9">
      <w:pPr>
        <w:jc w:val="center"/>
        <w:rPr>
          <w:i/>
          <w:lang w:val="hr-HR"/>
        </w:rPr>
      </w:pPr>
    </w:p>
    <w:p w:rsidR="000610A7" w:rsidRPr="007E66EE" w:rsidRDefault="000610A7" w:rsidP="002407D9">
      <w:pPr>
        <w:jc w:val="center"/>
        <w:rPr>
          <w:i/>
          <w:lang w:val="hr-HR"/>
        </w:rPr>
      </w:pPr>
    </w:p>
    <w:p w:rsidR="000610A7" w:rsidRPr="007E66EE" w:rsidRDefault="000610A7" w:rsidP="002407D9">
      <w:pPr>
        <w:jc w:val="center"/>
        <w:rPr>
          <w:i/>
          <w:lang w:val="hr-HR"/>
        </w:rPr>
      </w:pPr>
    </w:p>
    <w:p w:rsidR="000610A7" w:rsidRPr="007E66EE" w:rsidRDefault="000610A7" w:rsidP="002407D9">
      <w:pPr>
        <w:jc w:val="center"/>
        <w:rPr>
          <w:i/>
          <w:lang w:val="hr-HR"/>
        </w:rPr>
      </w:pPr>
    </w:p>
    <w:p w:rsidR="000610A7" w:rsidRPr="007E66EE" w:rsidRDefault="000610A7" w:rsidP="002407D9">
      <w:pPr>
        <w:jc w:val="center"/>
        <w:rPr>
          <w:lang w:val="hr-HR"/>
        </w:rPr>
      </w:pPr>
      <w:r w:rsidRPr="007E66EE">
        <w:rPr>
          <w:lang w:val="hr-HR"/>
        </w:rPr>
        <w:t>PRESUDA</w:t>
      </w:r>
    </w:p>
    <w:p w:rsidR="000610A7" w:rsidRPr="007E66EE" w:rsidRDefault="000610A7" w:rsidP="002407D9">
      <w:pPr>
        <w:jc w:val="center"/>
        <w:rPr>
          <w:lang w:val="hr-HR"/>
        </w:rPr>
      </w:pPr>
    </w:p>
    <w:p w:rsidR="000610A7" w:rsidRPr="007E66EE" w:rsidRDefault="000610A7" w:rsidP="002407D9">
      <w:pPr>
        <w:jc w:val="center"/>
        <w:rPr>
          <w:lang w:val="hr-HR"/>
        </w:rPr>
      </w:pPr>
    </w:p>
    <w:p w:rsidR="000610A7" w:rsidRPr="007E66EE" w:rsidRDefault="000610A7" w:rsidP="002407D9">
      <w:pPr>
        <w:jc w:val="center"/>
        <w:rPr>
          <w:lang w:val="hr-HR"/>
        </w:rPr>
      </w:pPr>
    </w:p>
    <w:p w:rsidR="000610A7" w:rsidRPr="007E66EE" w:rsidRDefault="000610A7" w:rsidP="002407D9">
      <w:pPr>
        <w:jc w:val="center"/>
        <w:rPr>
          <w:lang w:val="hr-HR"/>
        </w:rPr>
      </w:pPr>
      <w:r w:rsidRPr="007E66EE">
        <w:rPr>
          <w:lang w:val="hr-HR"/>
        </w:rPr>
        <w:t>STRASBOURG</w:t>
      </w:r>
    </w:p>
    <w:p w:rsidR="000610A7" w:rsidRPr="007E66EE" w:rsidRDefault="000610A7" w:rsidP="002407D9">
      <w:pPr>
        <w:jc w:val="center"/>
        <w:rPr>
          <w:lang w:val="hr-HR"/>
        </w:rPr>
      </w:pPr>
    </w:p>
    <w:p w:rsidR="000610A7" w:rsidRPr="007E66EE" w:rsidRDefault="000610A7" w:rsidP="002407D9">
      <w:pPr>
        <w:jc w:val="center"/>
        <w:rPr>
          <w:lang w:val="hr-HR"/>
        </w:rPr>
      </w:pPr>
      <w:r w:rsidRPr="007E66EE">
        <w:rPr>
          <w:lang w:val="hr-HR"/>
        </w:rPr>
        <w:t>12. rujna 2011.</w:t>
      </w:r>
    </w:p>
    <w:p w:rsidR="000610A7" w:rsidRPr="007E66EE" w:rsidRDefault="000610A7" w:rsidP="002407D9">
      <w:pPr>
        <w:jc w:val="center"/>
        <w:rPr>
          <w:lang w:val="hr-HR"/>
        </w:rPr>
      </w:pPr>
    </w:p>
    <w:p w:rsidR="000610A7" w:rsidRPr="007E66EE" w:rsidRDefault="000610A7" w:rsidP="002407D9">
      <w:pPr>
        <w:jc w:val="center"/>
        <w:rPr>
          <w:lang w:val="hr-HR"/>
        </w:rPr>
      </w:pPr>
    </w:p>
    <w:p w:rsidR="000610A7" w:rsidRDefault="000610A7" w:rsidP="001B1079">
      <w:pPr>
        <w:jc w:val="both"/>
        <w:rPr>
          <w:sz w:val="20"/>
          <w:lang w:val="hr-HR"/>
        </w:rPr>
      </w:pPr>
      <w:r w:rsidRPr="007E66EE">
        <w:rPr>
          <w:sz w:val="20"/>
          <w:lang w:val="hr-HR"/>
        </w:rPr>
        <w:t>© Vijeće Europe/Europski sud za ljudska prava, 2012.</w:t>
      </w:r>
    </w:p>
    <w:p w:rsidR="000610A7" w:rsidRDefault="000610A7" w:rsidP="001B1079">
      <w:pPr>
        <w:jc w:val="both"/>
        <w:rPr>
          <w:sz w:val="20"/>
          <w:lang w:val="hr-HR"/>
        </w:rPr>
      </w:pPr>
      <w:r w:rsidRPr="007E66EE">
        <w:rPr>
          <w:sz w:val="20"/>
          <w:lang w:val="hr-HR"/>
        </w:rPr>
        <w:t>Ovaj prijevod financiran je uz podršku Zaklade za ljudska prava Vijeća Europe (</w:t>
      </w:r>
      <w:hyperlink r:id="rId10" w:history="1">
        <w:r w:rsidRPr="007E66EE">
          <w:rPr>
            <w:rStyle w:val="Hyperlink"/>
            <w:sz w:val="20"/>
            <w:lang w:val="hr-HR"/>
          </w:rPr>
          <w:t>www.coe.int/humanrightstrustfund</w:t>
        </w:r>
      </w:hyperlink>
      <w:r w:rsidRPr="007E66EE">
        <w:rPr>
          <w:sz w:val="20"/>
          <w:lang w:val="hr-HR"/>
        </w:rPr>
        <w:t>) i ne obvezuje Sud. Za više informacije pogledajte detaljnu napomenu o autorskim pravima na kraju ovog dokumenta.</w:t>
      </w:r>
    </w:p>
    <w:p w:rsidR="000610A7" w:rsidRPr="007E66EE" w:rsidRDefault="000610A7" w:rsidP="001B1079">
      <w:pPr>
        <w:jc w:val="both"/>
        <w:rPr>
          <w:sz w:val="20"/>
          <w:lang w:val="hr-HR"/>
        </w:rPr>
      </w:pPr>
    </w:p>
    <w:p w:rsidR="000610A7" w:rsidRDefault="000610A7" w:rsidP="001B1079">
      <w:pPr>
        <w:jc w:val="both"/>
        <w:rPr>
          <w:sz w:val="20"/>
          <w:lang w:val="hr-HR"/>
        </w:rPr>
      </w:pPr>
      <w:r w:rsidRPr="007E66EE">
        <w:rPr>
          <w:sz w:val="20"/>
          <w:lang w:val="hr-HR"/>
        </w:rPr>
        <w:t xml:space="preserve">© </w:t>
      </w:r>
      <w:proofErr w:type="spellStart"/>
      <w:r w:rsidRPr="007E66EE">
        <w:rPr>
          <w:sz w:val="20"/>
          <w:lang w:val="hr-HR"/>
        </w:rPr>
        <w:t>Council</w:t>
      </w:r>
      <w:proofErr w:type="spellEnd"/>
      <w:r w:rsidRPr="007E66EE">
        <w:rPr>
          <w:sz w:val="20"/>
          <w:lang w:val="hr-HR"/>
        </w:rPr>
        <w:t xml:space="preserve"> </w:t>
      </w:r>
      <w:proofErr w:type="spellStart"/>
      <w:r w:rsidRPr="007E66EE">
        <w:rPr>
          <w:sz w:val="20"/>
          <w:lang w:val="hr-HR"/>
        </w:rPr>
        <w:t>of</w:t>
      </w:r>
      <w:proofErr w:type="spellEnd"/>
      <w:r w:rsidRPr="007E66EE">
        <w:rPr>
          <w:sz w:val="20"/>
          <w:lang w:val="hr-HR"/>
        </w:rPr>
        <w:t xml:space="preserve"> Europe/European Court </w:t>
      </w:r>
      <w:proofErr w:type="spellStart"/>
      <w:r w:rsidRPr="007E66EE">
        <w:rPr>
          <w:sz w:val="20"/>
          <w:lang w:val="hr-HR"/>
        </w:rPr>
        <w:t>of</w:t>
      </w:r>
      <w:proofErr w:type="spellEnd"/>
      <w:r w:rsidRPr="007E66EE">
        <w:rPr>
          <w:sz w:val="20"/>
          <w:lang w:val="hr-HR"/>
        </w:rPr>
        <w:t xml:space="preserve"> Human Rights, 2012.</w:t>
      </w:r>
    </w:p>
    <w:p w:rsidR="000610A7" w:rsidRPr="007E66EE" w:rsidRDefault="000610A7" w:rsidP="001B1079">
      <w:pPr>
        <w:jc w:val="both"/>
        <w:rPr>
          <w:sz w:val="20"/>
          <w:lang w:val="hr-HR"/>
        </w:rPr>
      </w:pPr>
      <w:proofErr w:type="spellStart"/>
      <w:r w:rsidRPr="007E66EE">
        <w:rPr>
          <w:sz w:val="20"/>
          <w:lang w:val="hr-HR"/>
        </w:rPr>
        <w:t>This</w:t>
      </w:r>
      <w:proofErr w:type="spellEnd"/>
      <w:r w:rsidRPr="007E66EE">
        <w:rPr>
          <w:sz w:val="20"/>
          <w:lang w:val="hr-HR"/>
        </w:rPr>
        <w:t xml:space="preserve"> </w:t>
      </w:r>
      <w:proofErr w:type="spellStart"/>
      <w:r w:rsidRPr="007E66EE">
        <w:rPr>
          <w:sz w:val="20"/>
          <w:lang w:val="hr-HR"/>
        </w:rPr>
        <w:t>translation</w:t>
      </w:r>
      <w:proofErr w:type="spellEnd"/>
      <w:r w:rsidRPr="007E66EE">
        <w:rPr>
          <w:sz w:val="20"/>
          <w:lang w:val="hr-HR"/>
        </w:rPr>
        <w:t xml:space="preserve"> </w:t>
      </w:r>
      <w:proofErr w:type="spellStart"/>
      <w:r w:rsidRPr="007E66EE">
        <w:rPr>
          <w:sz w:val="20"/>
          <w:lang w:val="hr-HR"/>
        </w:rPr>
        <w:t>was</w:t>
      </w:r>
      <w:proofErr w:type="spellEnd"/>
      <w:r w:rsidRPr="007E66EE">
        <w:rPr>
          <w:sz w:val="20"/>
          <w:lang w:val="hr-HR"/>
        </w:rPr>
        <w:t xml:space="preserve"> </w:t>
      </w:r>
      <w:proofErr w:type="spellStart"/>
      <w:r w:rsidRPr="007E66EE">
        <w:rPr>
          <w:sz w:val="20"/>
          <w:lang w:val="hr-HR"/>
        </w:rPr>
        <w:t>commissioned</w:t>
      </w:r>
      <w:proofErr w:type="spellEnd"/>
      <w:r w:rsidRPr="007E66EE">
        <w:rPr>
          <w:sz w:val="20"/>
          <w:lang w:val="hr-HR"/>
        </w:rPr>
        <w:t xml:space="preserve"> </w:t>
      </w:r>
      <w:proofErr w:type="spellStart"/>
      <w:r w:rsidRPr="007E66EE">
        <w:rPr>
          <w:sz w:val="20"/>
          <w:lang w:val="hr-HR"/>
        </w:rPr>
        <w:t>with</w:t>
      </w:r>
      <w:proofErr w:type="spellEnd"/>
      <w:r w:rsidRPr="007E66EE">
        <w:rPr>
          <w:sz w:val="20"/>
          <w:lang w:val="hr-HR"/>
        </w:rPr>
        <w:t xml:space="preserve"> </w:t>
      </w:r>
      <w:proofErr w:type="spellStart"/>
      <w:r w:rsidRPr="007E66EE">
        <w:rPr>
          <w:sz w:val="20"/>
          <w:lang w:val="hr-HR"/>
        </w:rPr>
        <w:t>the</w:t>
      </w:r>
      <w:proofErr w:type="spellEnd"/>
      <w:r w:rsidRPr="007E66EE">
        <w:rPr>
          <w:sz w:val="20"/>
          <w:lang w:val="hr-HR"/>
        </w:rPr>
        <w:t xml:space="preserve"> </w:t>
      </w:r>
      <w:proofErr w:type="spellStart"/>
      <w:r w:rsidRPr="007E66EE">
        <w:rPr>
          <w:sz w:val="20"/>
          <w:lang w:val="hr-HR"/>
        </w:rPr>
        <w:t>support</w:t>
      </w:r>
      <w:proofErr w:type="spellEnd"/>
      <w:r w:rsidRPr="007E66EE">
        <w:rPr>
          <w:sz w:val="20"/>
          <w:lang w:val="hr-HR"/>
        </w:rPr>
        <w:t xml:space="preserve"> </w:t>
      </w:r>
      <w:proofErr w:type="spellStart"/>
      <w:r w:rsidRPr="007E66EE">
        <w:rPr>
          <w:sz w:val="20"/>
          <w:lang w:val="hr-HR"/>
        </w:rPr>
        <w:t>of</w:t>
      </w:r>
      <w:proofErr w:type="spellEnd"/>
      <w:r w:rsidRPr="007E66EE">
        <w:rPr>
          <w:sz w:val="20"/>
          <w:lang w:val="hr-HR"/>
        </w:rPr>
        <w:t xml:space="preserve"> </w:t>
      </w:r>
      <w:proofErr w:type="spellStart"/>
      <w:r w:rsidRPr="007E66EE">
        <w:rPr>
          <w:sz w:val="20"/>
          <w:lang w:val="hr-HR"/>
        </w:rPr>
        <w:t>the</w:t>
      </w:r>
      <w:proofErr w:type="spellEnd"/>
      <w:r w:rsidRPr="007E66EE">
        <w:rPr>
          <w:sz w:val="20"/>
          <w:lang w:val="hr-HR"/>
        </w:rPr>
        <w:t xml:space="preserve"> Human Rights Trust </w:t>
      </w:r>
      <w:proofErr w:type="spellStart"/>
      <w:r w:rsidRPr="007E66EE">
        <w:rPr>
          <w:sz w:val="20"/>
          <w:lang w:val="hr-HR"/>
        </w:rPr>
        <w:t>Fund</w:t>
      </w:r>
      <w:proofErr w:type="spellEnd"/>
      <w:r w:rsidRPr="007E66EE">
        <w:rPr>
          <w:sz w:val="20"/>
          <w:lang w:val="hr-HR"/>
        </w:rPr>
        <w:t xml:space="preserve"> </w:t>
      </w:r>
      <w:proofErr w:type="spellStart"/>
      <w:r w:rsidRPr="007E66EE">
        <w:rPr>
          <w:sz w:val="20"/>
          <w:lang w:val="hr-HR"/>
        </w:rPr>
        <w:t>of</w:t>
      </w:r>
      <w:proofErr w:type="spellEnd"/>
      <w:r w:rsidRPr="007E66EE">
        <w:rPr>
          <w:sz w:val="20"/>
          <w:lang w:val="hr-HR"/>
        </w:rPr>
        <w:t xml:space="preserve"> </w:t>
      </w:r>
      <w:proofErr w:type="spellStart"/>
      <w:r w:rsidRPr="007E66EE">
        <w:rPr>
          <w:sz w:val="20"/>
          <w:lang w:val="hr-HR"/>
        </w:rPr>
        <w:t>the</w:t>
      </w:r>
      <w:proofErr w:type="spellEnd"/>
      <w:r w:rsidRPr="007E66EE">
        <w:rPr>
          <w:sz w:val="20"/>
          <w:lang w:val="hr-HR"/>
        </w:rPr>
        <w:t xml:space="preserve"> </w:t>
      </w:r>
      <w:proofErr w:type="spellStart"/>
      <w:r w:rsidRPr="007E66EE">
        <w:rPr>
          <w:sz w:val="20"/>
          <w:lang w:val="hr-HR"/>
        </w:rPr>
        <w:t>Council</w:t>
      </w:r>
      <w:proofErr w:type="spellEnd"/>
      <w:r w:rsidRPr="007E66EE">
        <w:rPr>
          <w:sz w:val="20"/>
          <w:lang w:val="hr-HR"/>
        </w:rPr>
        <w:t xml:space="preserve"> </w:t>
      </w:r>
      <w:proofErr w:type="spellStart"/>
      <w:r w:rsidRPr="007E66EE">
        <w:rPr>
          <w:sz w:val="20"/>
          <w:lang w:val="hr-HR"/>
        </w:rPr>
        <w:t>of</w:t>
      </w:r>
      <w:proofErr w:type="spellEnd"/>
      <w:r w:rsidRPr="007E66EE">
        <w:rPr>
          <w:sz w:val="20"/>
          <w:lang w:val="hr-HR"/>
        </w:rPr>
        <w:t xml:space="preserve"> Europe (</w:t>
      </w:r>
      <w:hyperlink r:id="rId11" w:history="1">
        <w:r w:rsidRPr="007E66EE">
          <w:rPr>
            <w:rStyle w:val="Hyperlink"/>
            <w:sz w:val="20"/>
            <w:lang w:val="hr-HR"/>
          </w:rPr>
          <w:t>www.coe.int/humanrightstrustfund</w:t>
        </w:r>
      </w:hyperlink>
      <w:r w:rsidRPr="007E66EE">
        <w:rPr>
          <w:sz w:val="20"/>
          <w:lang w:val="hr-HR"/>
        </w:rPr>
        <w:t xml:space="preserve">.). </w:t>
      </w:r>
      <w:proofErr w:type="spellStart"/>
      <w:r w:rsidRPr="007E66EE">
        <w:rPr>
          <w:sz w:val="20"/>
          <w:lang w:val="hr-HR"/>
        </w:rPr>
        <w:t>It</w:t>
      </w:r>
      <w:proofErr w:type="spellEnd"/>
      <w:r w:rsidRPr="007E66EE">
        <w:rPr>
          <w:sz w:val="20"/>
          <w:lang w:val="hr-HR"/>
        </w:rPr>
        <w:t xml:space="preserve"> </w:t>
      </w:r>
      <w:proofErr w:type="spellStart"/>
      <w:r w:rsidRPr="007E66EE">
        <w:rPr>
          <w:sz w:val="20"/>
          <w:lang w:val="hr-HR"/>
        </w:rPr>
        <w:t>does</w:t>
      </w:r>
      <w:proofErr w:type="spellEnd"/>
      <w:r w:rsidRPr="007E66EE">
        <w:rPr>
          <w:sz w:val="20"/>
          <w:lang w:val="hr-HR"/>
        </w:rPr>
        <w:t xml:space="preserve"> </w:t>
      </w:r>
      <w:proofErr w:type="spellStart"/>
      <w:r w:rsidRPr="007E66EE">
        <w:rPr>
          <w:sz w:val="20"/>
          <w:lang w:val="hr-HR"/>
        </w:rPr>
        <w:t>not</w:t>
      </w:r>
      <w:proofErr w:type="spellEnd"/>
      <w:r w:rsidRPr="007E66EE">
        <w:rPr>
          <w:sz w:val="20"/>
          <w:lang w:val="hr-HR"/>
        </w:rPr>
        <w:t xml:space="preserve"> </w:t>
      </w:r>
      <w:proofErr w:type="spellStart"/>
      <w:r w:rsidRPr="007E66EE">
        <w:rPr>
          <w:sz w:val="20"/>
          <w:lang w:val="hr-HR"/>
        </w:rPr>
        <w:t>bind</w:t>
      </w:r>
      <w:proofErr w:type="spellEnd"/>
      <w:r w:rsidRPr="007E66EE">
        <w:rPr>
          <w:sz w:val="20"/>
          <w:lang w:val="hr-HR"/>
        </w:rPr>
        <w:t xml:space="preserve"> </w:t>
      </w:r>
      <w:proofErr w:type="spellStart"/>
      <w:r w:rsidRPr="007E66EE">
        <w:rPr>
          <w:sz w:val="20"/>
          <w:lang w:val="hr-HR"/>
        </w:rPr>
        <w:t>the</w:t>
      </w:r>
      <w:proofErr w:type="spellEnd"/>
      <w:r w:rsidRPr="007E66EE">
        <w:rPr>
          <w:sz w:val="20"/>
          <w:lang w:val="hr-HR"/>
        </w:rPr>
        <w:t xml:space="preserve"> Court. For </w:t>
      </w:r>
      <w:proofErr w:type="spellStart"/>
      <w:r w:rsidRPr="007E66EE">
        <w:rPr>
          <w:sz w:val="20"/>
          <w:lang w:val="hr-HR"/>
        </w:rPr>
        <w:t>further</w:t>
      </w:r>
      <w:proofErr w:type="spellEnd"/>
      <w:r w:rsidRPr="007E66EE">
        <w:rPr>
          <w:sz w:val="20"/>
          <w:lang w:val="hr-HR"/>
        </w:rPr>
        <w:t xml:space="preserve"> </w:t>
      </w:r>
      <w:proofErr w:type="spellStart"/>
      <w:r w:rsidRPr="007E66EE">
        <w:rPr>
          <w:sz w:val="20"/>
          <w:lang w:val="hr-HR"/>
        </w:rPr>
        <w:t>information</w:t>
      </w:r>
      <w:proofErr w:type="spellEnd"/>
      <w:r w:rsidRPr="007E66EE">
        <w:rPr>
          <w:sz w:val="20"/>
          <w:lang w:val="hr-HR"/>
        </w:rPr>
        <w:t xml:space="preserve"> </w:t>
      </w:r>
      <w:proofErr w:type="spellStart"/>
      <w:r w:rsidRPr="007E66EE">
        <w:rPr>
          <w:sz w:val="20"/>
          <w:lang w:val="hr-HR"/>
        </w:rPr>
        <w:t>see</w:t>
      </w:r>
      <w:proofErr w:type="spellEnd"/>
      <w:r w:rsidRPr="007E66EE">
        <w:rPr>
          <w:sz w:val="20"/>
          <w:lang w:val="hr-HR"/>
        </w:rPr>
        <w:t xml:space="preserve"> </w:t>
      </w:r>
      <w:proofErr w:type="spellStart"/>
      <w:r w:rsidRPr="007E66EE">
        <w:rPr>
          <w:sz w:val="20"/>
          <w:lang w:val="hr-HR"/>
        </w:rPr>
        <w:t>the</w:t>
      </w:r>
      <w:proofErr w:type="spellEnd"/>
      <w:r w:rsidRPr="007E66EE">
        <w:rPr>
          <w:sz w:val="20"/>
          <w:lang w:val="hr-HR"/>
        </w:rPr>
        <w:t xml:space="preserve"> </w:t>
      </w:r>
      <w:proofErr w:type="spellStart"/>
      <w:r w:rsidRPr="007E66EE">
        <w:rPr>
          <w:sz w:val="20"/>
          <w:lang w:val="hr-HR"/>
        </w:rPr>
        <w:t>full</w:t>
      </w:r>
      <w:proofErr w:type="spellEnd"/>
      <w:r w:rsidRPr="007E66EE">
        <w:rPr>
          <w:sz w:val="20"/>
          <w:lang w:val="hr-HR"/>
        </w:rPr>
        <w:t xml:space="preserve"> </w:t>
      </w:r>
      <w:proofErr w:type="spellStart"/>
      <w:r w:rsidRPr="007E66EE">
        <w:rPr>
          <w:sz w:val="20"/>
          <w:lang w:val="hr-HR"/>
        </w:rPr>
        <w:t>copyight</w:t>
      </w:r>
      <w:proofErr w:type="spellEnd"/>
      <w:r w:rsidRPr="007E66EE">
        <w:rPr>
          <w:sz w:val="20"/>
          <w:lang w:val="hr-HR"/>
        </w:rPr>
        <w:t xml:space="preserve"> </w:t>
      </w:r>
      <w:proofErr w:type="spellStart"/>
      <w:r w:rsidRPr="007E66EE">
        <w:rPr>
          <w:sz w:val="20"/>
          <w:lang w:val="hr-HR"/>
        </w:rPr>
        <w:t>indication</w:t>
      </w:r>
      <w:proofErr w:type="spellEnd"/>
      <w:r w:rsidRPr="007E66EE">
        <w:rPr>
          <w:sz w:val="20"/>
          <w:lang w:val="hr-HR"/>
        </w:rPr>
        <w:t xml:space="preserve"> at </w:t>
      </w:r>
      <w:proofErr w:type="spellStart"/>
      <w:r w:rsidRPr="007E66EE">
        <w:rPr>
          <w:sz w:val="20"/>
          <w:lang w:val="hr-HR"/>
        </w:rPr>
        <w:t>the</w:t>
      </w:r>
      <w:proofErr w:type="spellEnd"/>
      <w:r w:rsidRPr="007E66EE">
        <w:rPr>
          <w:sz w:val="20"/>
          <w:lang w:val="hr-HR"/>
        </w:rPr>
        <w:t xml:space="preserve"> </w:t>
      </w:r>
      <w:proofErr w:type="spellStart"/>
      <w:r w:rsidRPr="007E66EE">
        <w:rPr>
          <w:sz w:val="20"/>
          <w:lang w:val="hr-HR"/>
        </w:rPr>
        <w:t>end</w:t>
      </w:r>
      <w:proofErr w:type="spellEnd"/>
      <w:r w:rsidRPr="007E66EE">
        <w:rPr>
          <w:sz w:val="20"/>
          <w:lang w:val="hr-HR"/>
        </w:rPr>
        <w:t xml:space="preserve"> </w:t>
      </w:r>
      <w:proofErr w:type="spellStart"/>
      <w:r w:rsidRPr="007E66EE">
        <w:rPr>
          <w:sz w:val="20"/>
          <w:lang w:val="hr-HR"/>
        </w:rPr>
        <w:t>of</w:t>
      </w:r>
      <w:proofErr w:type="spellEnd"/>
      <w:r w:rsidRPr="007E66EE">
        <w:rPr>
          <w:sz w:val="20"/>
          <w:lang w:val="hr-HR"/>
        </w:rPr>
        <w:t xml:space="preserve"> </w:t>
      </w:r>
      <w:proofErr w:type="spellStart"/>
      <w:r w:rsidRPr="007E66EE">
        <w:rPr>
          <w:sz w:val="20"/>
          <w:lang w:val="hr-HR"/>
        </w:rPr>
        <w:t>this</w:t>
      </w:r>
      <w:proofErr w:type="spellEnd"/>
      <w:r w:rsidRPr="007E66EE">
        <w:rPr>
          <w:sz w:val="20"/>
          <w:lang w:val="hr-HR"/>
        </w:rPr>
        <w:t xml:space="preserve"> </w:t>
      </w:r>
      <w:proofErr w:type="spellStart"/>
      <w:r w:rsidRPr="007E66EE">
        <w:rPr>
          <w:sz w:val="20"/>
          <w:lang w:val="hr-HR"/>
        </w:rPr>
        <w:t>document</w:t>
      </w:r>
      <w:proofErr w:type="spellEnd"/>
      <w:r w:rsidRPr="007E66EE">
        <w:rPr>
          <w:sz w:val="20"/>
          <w:lang w:val="hr-HR"/>
        </w:rPr>
        <w:t>.</w:t>
      </w:r>
    </w:p>
    <w:p w:rsidR="000610A7" w:rsidRPr="007E66EE" w:rsidRDefault="000610A7" w:rsidP="001B1079">
      <w:pPr>
        <w:jc w:val="both"/>
        <w:rPr>
          <w:sz w:val="20"/>
          <w:lang w:val="hr-HR"/>
        </w:rPr>
      </w:pPr>
    </w:p>
    <w:p w:rsidR="000610A7" w:rsidRDefault="000610A7" w:rsidP="001B1079">
      <w:pPr>
        <w:jc w:val="both"/>
        <w:rPr>
          <w:sz w:val="20"/>
          <w:lang w:val="hr-HR"/>
        </w:rPr>
      </w:pPr>
      <w:r w:rsidRPr="007E66EE">
        <w:rPr>
          <w:sz w:val="20"/>
          <w:lang w:val="hr-HR"/>
        </w:rPr>
        <w:t xml:space="preserve">© </w:t>
      </w:r>
      <w:proofErr w:type="spellStart"/>
      <w:r w:rsidRPr="007E66EE">
        <w:rPr>
          <w:sz w:val="20"/>
          <w:lang w:val="hr-HR"/>
        </w:rPr>
        <w:t>Conseil</w:t>
      </w:r>
      <w:proofErr w:type="spellEnd"/>
      <w:r w:rsidRPr="007E66EE">
        <w:rPr>
          <w:sz w:val="20"/>
          <w:lang w:val="hr-HR"/>
        </w:rPr>
        <w:t xml:space="preserve"> de </w:t>
      </w:r>
      <w:proofErr w:type="spellStart"/>
      <w:r w:rsidRPr="007E66EE">
        <w:rPr>
          <w:sz w:val="20"/>
          <w:lang w:val="hr-HR"/>
        </w:rPr>
        <w:t>l</w:t>
      </w:r>
      <w:r>
        <w:rPr>
          <w:sz w:val="20"/>
          <w:lang w:val="hr-HR"/>
        </w:rPr>
        <w:t>’</w:t>
      </w:r>
      <w:r w:rsidRPr="007E66EE">
        <w:rPr>
          <w:sz w:val="20"/>
          <w:lang w:val="hr-HR"/>
        </w:rPr>
        <w:t>Europe</w:t>
      </w:r>
      <w:proofErr w:type="spellEnd"/>
      <w:r w:rsidRPr="007E66EE">
        <w:rPr>
          <w:sz w:val="20"/>
          <w:lang w:val="hr-HR"/>
        </w:rPr>
        <w:t>/</w:t>
      </w:r>
      <w:proofErr w:type="spellStart"/>
      <w:r w:rsidRPr="007E66EE">
        <w:rPr>
          <w:sz w:val="20"/>
          <w:lang w:val="hr-HR"/>
        </w:rPr>
        <w:t>Cour</w:t>
      </w:r>
      <w:proofErr w:type="spellEnd"/>
      <w:r w:rsidRPr="007E66EE">
        <w:rPr>
          <w:sz w:val="20"/>
          <w:lang w:val="hr-HR"/>
        </w:rPr>
        <w:t xml:space="preserve"> </w:t>
      </w:r>
      <w:proofErr w:type="spellStart"/>
      <w:r w:rsidRPr="007E66EE">
        <w:rPr>
          <w:sz w:val="20"/>
          <w:lang w:val="hr-HR"/>
        </w:rPr>
        <w:t>européene</w:t>
      </w:r>
      <w:proofErr w:type="spellEnd"/>
      <w:r w:rsidRPr="007E66EE">
        <w:rPr>
          <w:sz w:val="20"/>
          <w:lang w:val="hr-HR"/>
        </w:rPr>
        <w:t xml:space="preserve"> </w:t>
      </w:r>
      <w:proofErr w:type="spellStart"/>
      <w:r w:rsidRPr="007E66EE">
        <w:rPr>
          <w:sz w:val="20"/>
          <w:lang w:val="hr-HR"/>
        </w:rPr>
        <w:t>des</w:t>
      </w:r>
      <w:proofErr w:type="spellEnd"/>
      <w:r w:rsidRPr="007E66EE">
        <w:rPr>
          <w:sz w:val="20"/>
          <w:lang w:val="hr-HR"/>
        </w:rPr>
        <w:t xml:space="preserve"> </w:t>
      </w:r>
      <w:proofErr w:type="spellStart"/>
      <w:r w:rsidRPr="007E66EE">
        <w:rPr>
          <w:sz w:val="20"/>
          <w:lang w:val="hr-HR"/>
        </w:rPr>
        <w:t>droits</w:t>
      </w:r>
      <w:proofErr w:type="spellEnd"/>
      <w:r w:rsidRPr="007E66EE">
        <w:rPr>
          <w:sz w:val="20"/>
          <w:lang w:val="hr-HR"/>
        </w:rPr>
        <w:t xml:space="preserve"> de </w:t>
      </w:r>
      <w:proofErr w:type="spellStart"/>
      <w:r w:rsidRPr="007E66EE">
        <w:rPr>
          <w:sz w:val="20"/>
          <w:lang w:val="hr-HR"/>
        </w:rPr>
        <w:t>l</w:t>
      </w:r>
      <w:r>
        <w:rPr>
          <w:sz w:val="20"/>
          <w:lang w:val="hr-HR"/>
        </w:rPr>
        <w:t>’</w:t>
      </w:r>
      <w:r w:rsidRPr="007E66EE">
        <w:rPr>
          <w:sz w:val="20"/>
          <w:lang w:val="hr-HR"/>
        </w:rPr>
        <w:t>homme</w:t>
      </w:r>
      <w:proofErr w:type="spellEnd"/>
      <w:r w:rsidRPr="007E66EE">
        <w:rPr>
          <w:sz w:val="20"/>
          <w:lang w:val="hr-HR"/>
        </w:rPr>
        <w:t xml:space="preserve"> 2012.</w:t>
      </w:r>
    </w:p>
    <w:p w:rsidR="000610A7" w:rsidRDefault="000610A7" w:rsidP="001B1079">
      <w:pPr>
        <w:jc w:val="both"/>
        <w:rPr>
          <w:sz w:val="20"/>
          <w:lang w:val="hr-HR"/>
        </w:rPr>
      </w:pPr>
      <w:r w:rsidRPr="007E66EE">
        <w:rPr>
          <w:sz w:val="20"/>
          <w:lang w:val="hr-HR"/>
        </w:rPr>
        <w:t xml:space="preserve">La </w:t>
      </w:r>
      <w:proofErr w:type="spellStart"/>
      <w:r w:rsidRPr="007E66EE">
        <w:rPr>
          <w:sz w:val="20"/>
          <w:lang w:val="hr-HR"/>
        </w:rPr>
        <w:t>présente</w:t>
      </w:r>
      <w:proofErr w:type="spellEnd"/>
      <w:r w:rsidRPr="007E66EE">
        <w:rPr>
          <w:sz w:val="20"/>
          <w:lang w:val="hr-HR"/>
        </w:rPr>
        <w:t xml:space="preserve"> </w:t>
      </w:r>
      <w:proofErr w:type="spellStart"/>
      <w:r w:rsidRPr="007E66EE">
        <w:rPr>
          <w:sz w:val="20"/>
          <w:lang w:val="hr-HR"/>
        </w:rPr>
        <w:t>traduction</w:t>
      </w:r>
      <w:proofErr w:type="spellEnd"/>
      <w:r w:rsidRPr="007E66EE">
        <w:rPr>
          <w:sz w:val="20"/>
          <w:lang w:val="hr-HR"/>
        </w:rPr>
        <w:t xml:space="preserve"> a </w:t>
      </w:r>
      <w:proofErr w:type="spellStart"/>
      <w:r w:rsidRPr="007E66EE">
        <w:rPr>
          <w:sz w:val="20"/>
          <w:lang w:val="hr-HR"/>
        </w:rPr>
        <w:t>été</w:t>
      </w:r>
      <w:proofErr w:type="spellEnd"/>
      <w:r w:rsidRPr="007E66EE">
        <w:rPr>
          <w:sz w:val="20"/>
          <w:lang w:val="hr-HR"/>
        </w:rPr>
        <w:t xml:space="preserve"> </w:t>
      </w:r>
      <w:proofErr w:type="spellStart"/>
      <w:r w:rsidRPr="007E66EE">
        <w:rPr>
          <w:sz w:val="20"/>
          <w:lang w:val="hr-HR"/>
        </w:rPr>
        <w:t>effectuée</w:t>
      </w:r>
      <w:proofErr w:type="spellEnd"/>
      <w:r w:rsidRPr="007E66EE">
        <w:rPr>
          <w:sz w:val="20"/>
          <w:lang w:val="hr-HR"/>
        </w:rPr>
        <w:t xml:space="preserve"> </w:t>
      </w:r>
      <w:proofErr w:type="spellStart"/>
      <w:r w:rsidRPr="007E66EE">
        <w:rPr>
          <w:sz w:val="20"/>
          <w:lang w:val="hr-HR"/>
        </w:rPr>
        <w:t>avec</w:t>
      </w:r>
      <w:proofErr w:type="spellEnd"/>
      <w:r w:rsidRPr="007E66EE">
        <w:rPr>
          <w:sz w:val="20"/>
          <w:lang w:val="hr-HR"/>
        </w:rPr>
        <w:t xml:space="preserve"> </w:t>
      </w:r>
      <w:proofErr w:type="spellStart"/>
      <w:r w:rsidRPr="007E66EE">
        <w:rPr>
          <w:sz w:val="20"/>
          <w:lang w:val="hr-HR"/>
        </w:rPr>
        <w:t>le</w:t>
      </w:r>
      <w:proofErr w:type="spellEnd"/>
      <w:r w:rsidRPr="007E66EE">
        <w:rPr>
          <w:sz w:val="20"/>
          <w:lang w:val="hr-HR"/>
        </w:rPr>
        <w:t xml:space="preserve"> </w:t>
      </w:r>
      <w:proofErr w:type="spellStart"/>
      <w:r w:rsidRPr="007E66EE">
        <w:rPr>
          <w:sz w:val="20"/>
          <w:lang w:val="hr-HR"/>
        </w:rPr>
        <w:t>soutien</w:t>
      </w:r>
      <w:proofErr w:type="spellEnd"/>
      <w:r w:rsidRPr="007E66EE">
        <w:rPr>
          <w:sz w:val="20"/>
          <w:lang w:val="hr-HR"/>
        </w:rPr>
        <w:t xml:space="preserve"> </w:t>
      </w:r>
      <w:proofErr w:type="spellStart"/>
      <w:r w:rsidRPr="007E66EE">
        <w:rPr>
          <w:sz w:val="20"/>
          <w:lang w:val="hr-HR"/>
        </w:rPr>
        <w:t>du</w:t>
      </w:r>
      <w:proofErr w:type="spellEnd"/>
      <w:r w:rsidRPr="007E66EE">
        <w:rPr>
          <w:sz w:val="20"/>
          <w:lang w:val="hr-HR"/>
        </w:rPr>
        <w:t xml:space="preserve"> </w:t>
      </w:r>
      <w:proofErr w:type="spellStart"/>
      <w:r w:rsidRPr="007E66EE">
        <w:rPr>
          <w:sz w:val="20"/>
          <w:lang w:val="hr-HR"/>
        </w:rPr>
        <w:t>Fonds</w:t>
      </w:r>
      <w:proofErr w:type="spellEnd"/>
      <w:r w:rsidRPr="007E66EE">
        <w:rPr>
          <w:sz w:val="20"/>
          <w:lang w:val="hr-HR"/>
        </w:rPr>
        <w:t xml:space="preserve"> </w:t>
      </w:r>
      <w:proofErr w:type="spellStart"/>
      <w:r w:rsidRPr="007E66EE">
        <w:rPr>
          <w:sz w:val="20"/>
          <w:lang w:val="hr-HR"/>
        </w:rPr>
        <w:t>fiduciaire</w:t>
      </w:r>
      <w:proofErr w:type="spellEnd"/>
      <w:r w:rsidRPr="007E66EE">
        <w:rPr>
          <w:sz w:val="20"/>
          <w:lang w:val="hr-HR"/>
        </w:rPr>
        <w:t xml:space="preserve"> </w:t>
      </w:r>
      <w:proofErr w:type="spellStart"/>
      <w:r w:rsidRPr="007E66EE">
        <w:rPr>
          <w:sz w:val="20"/>
          <w:lang w:val="hr-HR"/>
        </w:rPr>
        <w:t>pour</w:t>
      </w:r>
      <w:proofErr w:type="spellEnd"/>
      <w:r w:rsidRPr="007E66EE">
        <w:rPr>
          <w:sz w:val="20"/>
          <w:lang w:val="hr-HR"/>
        </w:rPr>
        <w:t xml:space="preserve"> les </w:t>
      </w:r>
      <w:proofErr w:type="spellStart"/>
      <w:r w:rsidRPr="007E66EE">
        <w:rPr>
          <w:sz w:val="20"/>
          <w:lang w:val="hr-HR"/>
        </w:rPr>
        <w:t>droits</w:t>
      </w:r>
      <w:proofErr w:type="spellEnd"/>
      <w:r w:rsidRPr="007E66EE">
        <w:rPr>
          <w:sz w:val="20"/>
          <w:lang w:val="hr-HR"/>
        </w:rPr>
        <w:t xml:space="preserve"> de </w:t>
      </w:r>
      <w:proofErr w:type="spellStart"/>
      <w:r w:rsidRPr="007E66EE">
        <w:rPr>
          <w:sz w:val="20"/>
          <w:lang w:val="hr-HR"/>
        </w:rPr>
        <w:t>l</w:t>
      </w:r>
      <w:r>
        <w:rPr>
          <w:sz w:val="20"/>
          <w:lang w:val="hr-HR"/>
        </w:rPr>
        <w:t>’</w:t>
      </w:r>
      <w:r w:rsidRPr="007E66EE">
        <w:rPr>
          <w:sz w:val="20"/>
          <w:lang w:val="hr-HR"/>
        </w:rPr>
        <w:t>homme</w:t>
      </w:r>
      <w:proofErr w:type="spellEnd"/>
      <w:r w:rsidRPr="007E66EE">
        <w:rPr>
          <w:sz w:val="20"/>
          <w:lang w:val="hr-HR"/>
        </w:rPr>
        <w:t xml:space="preserve"> </w:t>
      </w:r>
      <w:proofErr w:type="spellStart"/>
      <w:r w:rsidRPr="007E66EE">
        <w:rPr>
          <w:sz w:val="20"/>
          <w:lang w:val="hr-HR"/>
        </w:rPr>
        <w:t>du</w:t>
      </w:r>
      <w:proofErr w:type="spellEnd"/>
      <w:r w:rsidRPr="007E66EE">
        <w:rPr>
          <w:sz w:val="20"/>
          <w:lang w:val="hr-HR"/>
        </w:rPr>
        <w:t xml:space="preserve"> </w:t>
      </w:r>
      <w:proofErr w:type="spellStart"/>
      <w:r w:rsidRPr="007E66EE">
        <w:rPr>
          <w:sz w:val="20"/>
          <w:lang w:val="hr-HR"/>
        </w:rPr>
        <w:t>Conseil</w:t>
      </w:r>
      <w:proofErr w:type="spellEnd"/>
      <w:r w:rsidRPr="007E66EE">
        <w:rPr>
          <w:sz w:val="20"/>
          <w:lang w:val="hr-HR"/>
        </w:rPr>
        <w:t xml:space="preserve"> de </w:t>
      </w:r>
      <w:proofErr w:type="spellStart"/>
      <w:r w:rsidRPr="007E66EE">
        <w:rPr>
          <w:sz w:val="20"/>
          <w:lang w:val="hr-HR"/>
        </w:rPr>
        <w:t>l</w:t>
      </w:r>
      <w:r>
        <w:rPr>
          <w:sz w:val="20"/>
          <w:lang w:val="hr-HR"/>
        </w:rPr>
        <w:t>’</w:t>
      </w:r>
      <w:r w:rsidRPr="007E66EE">
        <w:rPr>
          <w:sz w:val="20"/>
          <w:lang w:val="hr-HR"/>
        </w:rPr>
        <w:t>Europe</w:t>
      </w:r>
      <w:proofErr w:type="spellEnd"/>
      <w:r w:rsidRPr="007E66EE">
        <w:rPr>
          <w:sz w:val="20"/>
          <w:lang w:val="hr-HR"/>
        </w:rPr>
        <w:t xml:space="preserve"> (</w:t>
      </w:r>
      <w:hyperlink r:id="rId12" w:history="1">
        <w:r w:rsidRPr="007E66EE">
          <w:rPr>
            <w:rStyle w:val="Hyperlink"/>
            <w:sz w:val="20"/>
            <w:lang w:val="hr-HR"/>
          </w:rPr>
          <w:t>www.coe.int/humanrightstrustfund</w:t>
        </w:r>
      </w:hyperlink>
      <w:r w:rsidRPr="007E66EE">
        <w:rPr>
          <w:sz w:val="20"/>
          <w:lang w:val="hr-HR"/>
        </w:rPr>
        <w:t xml:space="preserve">.). </w:t>
      </w:r>
      <w:proofErr w:type="spellStart"/>
      <w:r w:rsidRPr="007E66EE">
        <w:rPr>
          <w:sz w:val="20"/>
          <w:lang w:val="hr-HR"/>
        </w:rPr>
        <w:t>Elle</w:t>
      </w:r>
      <w:proofErr w:type="spellEnd"/>
      <w:r w:rsidRPr="007E66EE">
        <w:rPr>
          <w:sz w:val="20"/>
          <w:lang w:val="hr-HR"/>
        </w:rPr>
        <w:t xml:space="preserve"> ne </w:t>
      </w:r>
      <w:proofErr w:type="spellStart"/>
      <w:r w:rsidRPr="007E66EE">
        <w:rPr>
          <w:sz w:val="20"/>
          <w:lang w:val="hr-HR"/>
        </w:rPr>
        <w:t>lie</w:t>
      </w:r>
      <w:proofErr w:type="spellEnd"/>
      <w:r w:rsidRPr="007E66EE">
        <w:rPr>
          <w:sz w:val="20"/>
          <w:lang w:val="hr-HR"/>
        </w:rPr>
        <w:t xml:space="preserve"> pas la </w:t>
      </w:r>
      <w:proofErr w:type="spellStart"/>
      <w:r w:rsidRPr="007E66EE">
        <w:rPr>
          <w:sz w:val="20"/>
          <w:lang w:val="hr-HR"/>
        </w:rPr>
        <w:t>Cour</w:t>
      </w:r>
      <w:proofErr w:type="spellEnd"/>
      <w:r w:rsidRPr="007E66EE">
        <w:rPr>
          <w:sz w:val="20"/>
          <w:lang w:val="hr-HR"/>
        </w:rPr>
        <w:t xml:space="preserve">. </w:t>
      </w:r>
      <w:proofErr w:type="spellStart"/>
      <w:r w:rsidRPr="007E66EE">
        <w:rPr>
          <w:sz w:val="20"/>
          <w:lang w:val="hr-HR"/>
        </w:rPr>
        <w:t>Pour</w:t>
      </w:r>
      <w:proofErr w:type="spellEnd"/>
      <w:r w:rsidRPr="007E66EE">
        <w:rPr>
          <w:sz w:val="20"/>
          <w:lang w:val="hr-HR"/>
        </w:rPr>
        <w:t xml:space="preserve"> plus de </w:t>
      </w:r>
      <w:proofErr w:type="spellStart"/>
      <w:r w:rsidRPr="007E66EE">
        <w:rPr>
          <w:sz w:val="20"/>
          <w:lang w:val="hr-HR"/>
        </w:rPr>
        <w:t>renseignements</w:t>
      </w:r>
      <w:proofErr w:type="spellEnd"/>
      <w:r w:rsidRPr="007E66EE">
        <w:rPr>
          <w:sz w:val="20"/>
          <w:lang w:val="hr-HR"/>
        </w:rPr>
        <w:t xml:space="preserve"> </w:t>
      </w:r>
      <w:proofErr w:type="spellStart"/>
      <w:r w:rsidRPr="007E66EE">
        <w:rPr>
          <w:sz w:val="20"/>
          <w:lang w:val="hr-HR"/>
        </w:rPr>
        <w:t>veuillez</w:t>
      </w:r>
      <w:proofErr w:type="spellEnd"/>
      <w:r w:rsidRPr="007E66EE">
        <w:rPr>
          <w:sz w:val="20"/>
          <w:lang w:val="hr-HR"/>
        </w:rPr>
        <w:t xml:space="preserve"> lire </w:t>
      </w:r>
      <w:proofErr w:type="spellStart"/>
      <w:r w:rsidRPr="007E66EE">
        <w:rPr>
          <w:sz w:val="20"/>
          <w:lang w:val="hr-HR"/>
        </w:rPr>
        <w:t>l</w:t>
      </w:r>
      <w:r>
        <w:rPr>
          <w:sz w:val="20"/>
          <w:lang w:val="hr-HR"/>
        </w:rPr>
        <w:t>’</w:t>
      </w:r>
      <w:r w:rsidRPr="007E66EE">
        <w:rPr>
          <w:sz w:val="20"/>
          <w:lang w:val="hr-HR"/>
        </w:rPr>
        <w:t>indication</w:t>
      </w:r>
      <w:proofErr w:type="spellEnd"/>
      <w:r w:rsidRPr="007E66EE">
        <w:rPr>
          <w:sz w:val="20"/>
          <w:lang w:val="hr-HR"/>
        </w:rPr>
        <w:t xml:space="preserve"> de </w:t>
      </w:r>
      <w:proofErr w:type="spellStart"/>
      <w:r w:rsidRPr="007E66EE">
        <w:rPr>
          <w:sz w:val="20"/>
          <w:lang w:val="hr-HR"/>
        </w:rPr>
        <w:t>copyrights</w:t>
      </w:r>
      <w:proofErr w:type="spellEnd"/>
      <w:r w:rsidRPr="007E66EE">
        <w:rPr>
          <w:sz w:val="20"/>
          <w:lang w:val="hr-HR"/>
        </w:rPr>
        <w:t>/</w:t>
      </w:r>
      <w:proofErr w:type="spellStart"/>
      <w:r w:rsidRPr="007E66EE">
        <w:rPr>
          <w:sz w:val="20"/>
          <w:lang w:val="hr-HR"/>
        </w:rPr>
        <w:t>droits</w:t>
      </w:r>
      <w:proofErr w:type="spellEnd"/>
      <w:r w:rsidRPr="007E66EE">
        <w:rPr>
          <w:sz w:val="20"/>
          <w:lang w:val="hr-HR"/>
        </w:rPr>
        <w:t xml:space="preserve"> </w:t>
      </w:r>
      <w:proofErr w:type="spellStart"/>
      <w:r w:rsidRPr="007E66EE">
        <w:rPr>
          <w:sz w:val="20"/>
          <w:lang w:val="hr-HR"/>
        </w:rPr>
        <w:t>d</w:t>
      </w:r>
      <w:r>
        <w:rPr>
          <w:sz w:val="20"/>
          <w:lang w:val="hr-HR"/>
        </w:rPr>
        <w:t>’</w:t>
      </w:r>
      <w:r w:rsidRPr="007E66EE">
        <w:rPr>
          <w:sz w:val="20"/>
          <w:lang w:val="hr-HR"/>
        </w:rPr>
        <w:t>auteur</w:t>
      </w:r>
      <w:proofErr w:type="spellEnd"/>
      <w:r w:rsidRPr="007E66EE">
        <w:rPr>
          <w:sz w:val="20"/>
          <w:lang w:val="hr-HR"/>
        </w:rPr>
        <w:t xml:space="preserve"> à la fin </w:t>
      </w:r>
      <w:proofErr w:type="spellStart"/>
      <w:r w:rsidRPr="007E66EE">
        <w:rPr>
          <w:sz w:val="20"/>
          <w:lang w:val="hr-HR"/>
        </w:rPr>
        <w:t>du</w:t>
      </w:r>
      <w:proofErr w:type="spellEnd"/>
      <w:r w:rsidRPr="007E66EE">
        <w:rPr>
          <w:sz w:val="20"/>
          <w:lang w:val="hr-HR"/>
        </w:rPr>
        <w:t xml:space="preserve"> </w:t>
      </w:r>
      <w:proofErr w:type="spellStart"/>
      <w:r w:rsidRPr="007E66EE">
        <w:rPr>
          <w:sz w:val="20"/>
          <w:lang w:val="hr-HR"/>
        </w:rPr>
        <w:t>présent</w:t>
      </w:r>
      <w:proofErr w:type="spellEnd"/>
      <w:r w:rsidRPr="007E66EE">
        <w:rPr>
          <w:sz w:val="20"/>
          <w:lang w:val="hr-HR"/>
        </w:rPr>
        <w:t xml:space="preserve"> </w:t>
      </w:r>
      <w:proofErr w:type="spellStart"/>
      <w:r w:rsidRPr="007E66EE">
        <w:rPr>
          <w:sz w:val="20"/>
          <w:lang w:val="hr-HR"/>
        </w:rPr>
        <w:t>document</w:t>
      </w:r>
      <w:proofErr w:type="spellEnd"/>
      <w:r w:rsidRPr="007E66EE">
        <w:rPr>
          <w:sz w:val="20"/>
          <w:lang w:val="hr-HR"/>
        </w:rPr>
        <w:t>.</w:t>
      </w:r>
    </w:p>
    <w:p w:rsidR="000610A7" w:rsidRPr="007E66EE" w:rsidRDefault="000610A7" w:rsidP="001B1079">
      <w:pPr>
        <w:pStyle w:val="JuPara"/>
        <w:rPr>
          <w:lang w:val="hr-HR"/>
        </w:rPr>
        <w:sectPr w:rsidR="000610A7" w:rsidRPr="007E66EE" w:rsidSect="006F496E">
          <w:headerReference w:type="default" r:id="rId13"/>
          <w:footnotePr>
            <w:numRestart w:val="eachPage"/>
          </w:footnotePr>
          <w:pgSz w:w="11906" w:h="16838" w:code="9"/>
          <w:pgMar w:top="2274" w:right="2274" w:bottom="2274" w:left="2274" w:header="1701" w:footer="720" w:gutter="0"/>
          <w:pgNumType w:start="1"/>
          <w:cols w:space="720"/>
          <w:noEndnote/>
          <w:docGrid w:linePitch="254"/>
        </w:sectPr>
      </w:pPr>
    </w:p>
    <w:p w:rsidR="000610A7" w:rsidRPr="007E66EE" w:rsidRDefault="000610A7" w:rsidP="00271B22">
      <w:pPr>
        <w:pStyle w:val="JuCase"/>
        <w:rPr>
          <w:lang w:val="hr-HR"/>
        </w:rPr>
      </w:pPr>
      <w:r w:rsidRPr="007E66EE">
        <w:rPr>
          <w:lang w:val="hr-HR"/>
        </w:rPr>
        <w:lastRenderedPageBreak/>
        <w:t xml:space="preserve">U predmetu Palomo </w:t>
      </w:r>
      <w:proofErr w:type="spellStart"/>
      <w:r w:rsidRPr="007E66EE">
        <w:rPr>
          <w:lang w:val="hr-HR"/>
        </w:rPr>
        <w:t>Sánchez</w:t>
      </w:r>
      <w:proofErr w:type="spellEnd"/>
      <w:r w:rsidRPr="007E66EE">
        <w:rPr>
          <w:lang w:val="hr-HR"/>
        </w:rPr>
        <w:t xml:space="preserve"> i ostali protiv Španjolske,</w:t>
      </w:r>
    </w:p>
    <w:p w:rsidR="000610A7" w:rsidRPr="007E66EE" w:rsidRDefault="000610A7" w:rsidP="005803E1">
      <w:pPr>
        <w:pStyle w:val="JuPara"/>
        <w:rPr>
          <w:lang w:val="hr-HR"/>
        </w:rPr>
      </w:pPr>
      <w:r w:rsidRPr="007E66EE">
        <w:rPr>
          <w:lang w:val="hr-HR"/>
        </w:rPr>
        <w:t>Europski sud za ljudska prava, zasjedajući u Velikom vijeću sastavljenom od:</w:t>
      </w:r>
    </w:p>
    <w:p w:rsidR="000610A7" w:rsidRPr="007E66EE" w:rsidRDefault="000610A7" w:rsidP="0007238A">
      <w:pPr>
        <w:rPr>
          <w:rStyle w:val="JuJudgesChar"/>
          <w:lang w:val="hr-HR"/>
        </w:rPr>
      </w:pPr>
      <w:r w:rsidRPr="007E66EE">
        <w:rPr>
          <w:rStyle w:val="JuJudgesChar"/>
          <w:lang w:val="hr-HR"/>
        </w:rPr>
        <w:tab/>
        <w:t xml:space="preserve">Nicolas </w:t>
      </w:r>
      <w:proofErr w:type="spellStart"/>
      <w:r w:rsidRPr="007E66EE">
        <w:rPr>
          <w:rStyle w:val="JuJudgesChar"/>
          <w:lang w:val="hr-HR"/>
        </w:rPr>
        <w:t>Bratza</w:t>
      </w:r>
      <w:proofErr w:type="spellEnd"/>
      <w:r w:rsidRPr="007E66EE">
        <w:rPr>
          <w:rStyle w:val="JuJudgesChar"/>
          <w:lang w:val="hr-HR"/>
        </w:rPr>
        <w:t>,</w:t>
      </w:r>
      <w:r w:rsidRPr="007E66EE">
        <w:rPr>
          <w:rStyle w:val="JuJudgesChar"/>
          <w:i/>
          <w:lang w:val="hr-HR"/>
        </w:rPr>
        <w:t xml:space="preserve"> </w:t>
      </w:r>
      <w:r>
        <w:rPr>
          <w:rStyle w:val="JuJudgesChar"/>
          <w:i/>
          <w:lang w:val="hr-HR"/>
        </w:rPr>
        <w:t>p</w:t>
      </w:r>
      <w:r w:rsidRPr="007E66EE">
        <w:rPr>
          <w:rStyle w:val="JuJudgesChar"/>
          <w:i/>
          <w:lang w:val="hr-HR"/>
        </w:rPr>
        <w:t>redsjednik,</w:t>
      </w:r>
      <w:r w:rsidRPr="007E66EE">
        <w:rPr>
          <w:rStyle w:val="JuJudgesChar"/>
          <w:i/>
          <w:lang w:val="hr-HR"/>
        </w:rPr>
        <w:br/>
      </w:r>
      <w:r w:rsidRPr="007E66EE">
        <w:rPr>
          <w:rStyle w:val="JuJudgesChar"/>
          <w:lang w:val="hr-HR"/>
        </w:rPr>
        <w:tab/>
      </w:r>
      <w:proofErr w:type="spellStart"/>
      <w:r w:rsidRPr="007E66EE">
        <w:rPr>
          <w:rStyle w:val="JuJudgesChar"/>
          <w:lang w:val="hr-HR"/>
        </w:rPr>
        <w:t>Peer</w:t>
      </w:r>
      <w:proofErr w:type="spellEnd"/>
      <w:r w:rsidRPr="007E66EE">
        <w:rPr>
          <w:rStyle w:val="JuJudgesChar"/>
          <w:lang w:val="hr-HR"/>
        </w:rPr>
        <w:t xml:space="preserve"> </w:t>
      </w:r>
      <w:proofErr w:type="spellStart"/>
      <w:r w:rsidRPr="007E66EE">
        <w:rPr>
          <w:rStyle w:val="JuJudgesChar"/>
          <w:lang w:val="hr-HR"/>
        </w:rPr>
        <w:t>Lorenzen</w:t>
      </w:r>
      <w:proofErr w:type="spellEnd"/>
      <w:r w:rsidRPr="007E66EE">
        <w:rPr>
          <w:rStyle w:val="JuJudgesChar"/>
          <w:lang w:val="hr-HR"/>
        </w:rPr>
        <w:t>,</w:t>
      </w:r>
      <w:r w:rsidRPr="007E66EE">
        <w:rPr>
          <w:rStyle w:val="JuJudgesChar"/>
          <w:i/>
          <w:lang w:val="hr-HR"/>
        </w:rPr>
        <w:br/>
      </w:r>
      <w:r w:rsidRPr="007E66EE">
        <w:rPr>
          <w:rStyle w:val="JuJudgesChar"/>
          <w:lang w:val="hr-HR"/>
        </w:rPr>
        <w:tab/>
        <w:t xml:space="preserve">Françoise </w:t>
      </w:r>
      <w:proofErr w:type="spellStart"/>
      <w:r w:rsidRPr="007E66EE">
        <w:rPr>
          <w:rStyle w:val="JuJudgesChar"/>
          <w:lang w:val="hr-HR"/>
        </w:rPr>
        <w:t>Tulkens</w:t>
      </w:r>
      <w:proofErr w:type="spellEnd"/>
      <w:r w:rsidRPr="007E66EE">
        <w:rPr>
          <w:rStyle w:val="JuJudgesChar"/>
          <w:lang w:val="hr-HR"/>
        </w:rPr>
        <w:t>,</w:t>
      </w:r>
      <w:r w:rsidRPr="007E66EE">
        <w:rPr>
          <w:rStyle w:val="JuJudgesChar"/>
          <w:i/>
          <w:lang w:val="hr-HR"/>
        </w:rPr>
        <w:br/>
      </w:r>
      <w:r w:rsidRPr="007E66EE">
        <w:rPr>
          <w:rStyle w:val="JuJudgesChar"/>
          <w:lang w:val="hr-HR"/>
        </w:rPr>
        <w:tab/>
      </w:r>
      <w:proofErr w:type="spellStart"/>
      <w:r w:rsidRPr="007E66EE">
        <w:rPr>
          <w:rStyle w:val="JuJudgesChar"/>
          <w:lang w:val="hr-HR"/>
        </w:rPr>
        <w:t>Elisabeth</w:t>
      </w:r>
      <w:proofErr w:type="spellEnd"/>
      <w:r w:rsidRPr="007E66EE">
        <w:rPr>
          <w:rStyle w:val="JuJudgesChar"/>
          <w:lang w:val="hr-HR"/>
        </w:rPr>
        <w:t xml:space="preserve"> Steiner,</w:t>
      </w:r>
      <w:r w:rsidRPr="007E66EE">
        <w:rPr>
          <w:rStyle w:val="JuJudgesChar"/>
          <w:i/>
          <w:lang w:val="hr-HR"/>
        </w:rPr>
        <w:br/>
      </w:r>
      <w:r w:rsidRPr="007E66EE">
        <w:rPr>
          <w:rStyle w:val="JuJudgesChar"/>
          <w:lang w:val="hr-HR"/>
        </w:rPr>
        <w:tab/>
        <w:t xml:space="preserve">David </w:t>
      </w:r>
      <w:proofErr w:type="spellStart"/>
      <w:r w:rsidRPr="007E66EE">
        <w:rPr>
          <w:rStyle w:val="JuJudgesChar"/>
          <w:lang w:val="hr-HR"/>
        </w:rPr>
        <w:t>Thór</w:t>
      </w:r>
      <w:proofErr w:type="spellEnd"/>
      <w:r w:rsidRPr="007E66EE">
        <w:rPr>
          <w:rStyle w:val="JuJudgesChar"/>
          <w:lang w:val="hr-HR"/>
        </w:rPr>
        <w:t xml:space="preserve"> </w:t>
      </w:r>
      <w:proofErr w:type="spellStart"/>
      <w:r w:rsidRPr="007E66EE">
        <w:rPr>
          <w:rStyle w:val="JuJudgesChar"/>
          <w:lang w:val="hr-HR"/>
        </w:rPr>
        <w:t>Björgvinsson</w:t>
      </w:r>
      <w:proofErr w:type="spellEnd"/>
      <w:r w:rsidRPr="007E66EE">
        <w:rPr>
          <w:rStyle w:val="JuJudgesChar"/>
          <w:lang w:val="hr-HR"/>
        </w:rPr>
        <w:t>,</w:t>
      </w:r>
      <w:r w:rsidRPr="007E66EE">
        <w:rPr>
          <w:rStyle w:val="JuJudgesChar"/>
          <w:i/>
          <w:lang w:val="hr-HR"/>
        </w:rPr>
        <w:br/>
      </w:r>
      <w:r w:rsidRPr="007E66EE">
        <w:rPr>
          <w:rStyle w:val="JuJudgesChar"/>
          <w:lang w:val="hr-HR"/>
        </w:rPr>
        <w:tab/>
      </w:r>
      <w:proofErr w:type="spellStart"/>
      <w:r w:rsidRPr="007E66EE">
        <w:rPr>
          <w:rStyle w:val="JuJudgesChar"/>
          <w:lang w:val="hr-HR"/>
        </w:rPr>
        <w:t>Danutė</w:t>
      </w:r>
      <w:proofErr w:type="spellEnd"/>
      <w:r w:rsidRPr="007E66EE">
        <w:rPr>
          <w:rStyle w:val="JuJudgesChar"/>
          <w:lang w:val="hr-HR"/>
        </w:rPr>
        <w:t xml:space="preserve"> </w:t>
      </w:r>
      <w:proofErr w:type="spellStart"/>
      <w:r w:rsidRPr="007E66EE">
        <w:rPr>
          <w:rStyle w:val="JuJudgesChar"/>
          <w:lang w:val="hr-HR"/>
        </w:rPr>
        <w:t>Jočienė</w:t>
      </w:r>
      <w:proofErr w:type="spellEnd"/>
      <w:r w:rsidRPr="007E66EE">
        <w:rPr>
          <w:rStyle w:val="JuJudgesChar"/>
          <w:lang w:val="hr-HR"/>
        </w:rPr>
        <w:t>,</w:t>
      </w:r>
      <w:r w:rsidRPr="007E66EE">
        <w:rPr>
          <w:rStyle w:val="JuJudgesChar"/>
          <w:i/>
          <w:lang w:val="hr-HR"/>
        </w:rPr>
        <w:br/>
      </w:r>
      <w:r w:rsidRPr="007E66EE">
        <w:rPr>
          <w:rStyle w:val="JuJudgesChar"/>
          <w:lang w:val="hr-HR"/>
        </w:rPr>
        <w:tab/>
        <w:t xml:space="preserve">Ján </w:t>
      </w:r>
      <w:proofErr w:type="spellStart"/>
      <w:r w:rsidRPr="007E66EE">
        <w:rPr>
          <w:rStyle w:val="JuJudgesChar"/>
          <w:lang w:val="hr-HR"/>
        </w:rPr>
        <w:t>Šikuta</w:t>
      </w:r>
      <w:proofErr w:type="spellEnd"/>
      <w:r w:rsidRPr="007E66EE">
        <w:rPr>
          <w:rStyle w:val="JuJudgesChar"/>
          <w:lang w:val="hr-HR"/>
        </w:rPr>
        <w:t>,</w:t>
      </w:r>
      <w:r w:rsidRPr="007E66EE">
        <w:rPr>
          <w:rStyle w:val="JuJudgesChar"/>
          <w:i/>
          <w:lang w:val="hr-HR"/>
        </w:rPr>
        <w:br/>
      </w:r>
      <w:r w:rsidRPr="007E66EE">
        <w:rPr>
          <w:rStyle w:val="JuJudgesChar"/>
          <w:lang w:val="hr-HR"/>
        </w:rPr>
        <w:tab/>
        <w:t>Dragoljub Popović,</w:t>
      </w:r>
      <w:r w:rsidRPr="007E66EE">
        <w:rPr>
          <w:rStyle w:val="JuJudgesChar"/>
          <w:i/>
          <w:lang w:val="hr-HR"/>
        </w:rPr>
        <w:br/>
      </w:r>
      <w:r w:rsidRPr="007E66EE">
        <w:rPr>
          <w:rStyle w:val="JuJudgesChar"/>
          <w:lang w:val="hr-HR"/>
        </w:rPr>
        <w:tab/>
      </w:r>
      <w:proofErr w:type="spellStart"/>
      <w:r w:rsidRPr="007E66EE">
        <w:rPr>
          <w:rStyle w:val="JuJudgesChar"/>
          <w:lang w:val="hr-HR"/>
        </w:rPr>
        <w:t>Ineta</w:t>
      </w:r>
      <w:proofErr w:type="spellEnd"/>
      <w:r w:rsidRPr="007E66EE">
        <w:rPr>
          <w:rStyle w:val="JuJudgesChar"/>
          <w:lang w:val="hr-HR"/>
        </w:rPr>
        <w:t xml:space="preserve"> </w:t>
      </w:r>
      <w:proofErr w:type="spellStart"/>
      <w:r w:rsidRPr="007E66EE">
        <w:rPr>
          <w:rStyle w:val="JuJudgesChar"/>
          <w:lang w:val="hr-HR"/>
        </w:rPr>
        <w:t>Ziemele</w:t>
      </w:r>
      <w:proofErr w:type="spellEnd"/>
      <w:r w:rsidRPr="007E66EE">
        <w:rPr>
          <w:rStyle w:val="JuJudgesChar"/>
          <w:lang w:val="hr-HR"/>
        </w:rPr>
        <w:t>,</w:t>
      </w:r>
      <w:r w:rsidRPr="007E66EE">
        <w:rPr>
          <w:rStyle w:val="JuJudgesChar"/>
          <w:i/>
          <w:lang w:val="hr-HR"/>
        </w:rPr>
        <w:br/>
      </w:r>
      <w:r w:rsidRPr="007E66EE">
        <w:rPr>
          <w:rStyle w:val="JuJudgesChar"/>
          <w:lang w:val="hr-HR"/>
        </w:rPr>
        <w:tab/>
      </w:r>
      <w:proofErr w:type="spellStart"/>
      <w:r w:rsidRPr="007E66EE">
        <w:rPr>
          <w:rStyle w:val="JuJudgesChar"/>
          <w:lang w:val="hr-HR"/>
        </w:rPr>
        <w:t>Isabelle</w:t>
      </w:r>
      <w:proofErr w:type="spellEnd"/>
      <w:r w:rsidRPr="007E66EE">
        <w:rPr>
          <w:rStyle w:val="JuJudgesChar"/>
          <w:lang w:val="hr-HR"/>
        </w:rPr>
        <w:t xml:space="preserve"> </w:t>
      </w:r>
      <w:proofErr w:type="spellStart"/>
      <w:r w:rsidRPr="007E66EE">
        <w:rPr>
          <w:rStyle w:val="JuJudgesChar"/>
          <w:lang w:val="hr-HR"/>
        </w:rPr>
        <w:t>Berro-Lefèvre</w:t>
      </w:r>
      <w:proofErr w:type="spellEnd"/>
      <w:r w:rsidRPr="007E66EE">
        <w:rPr>
          <w:rStyle w:val="JuJudgesChar"/>
          <w:lang w:val="hr-HR"/>
        </w:rPr>
        <w:t>,</w:t>
      </w:r>
      <w:r w:rsidRPr="007E66EE">
        <w:rPr>
          <w:rStyle w:val="JuJudgesChar"/>
          <w:i/>
          <w:lang w:val="hr-HR"/>
        </w:rPr>
        <w:br/>
      </w:r>
      <w:r w:rsidRPr="007E66EE">
        <w:rPr>
          <w:rStyle w:val="JuJudgesChar"/>
          <w:lang w:val="hr-HR"/>
        </w:rPr>
        <w:tab/>
      </w:r>
      <w:proofErr w:type="spellStart"/>
      <w:r w:rsidRPr="007E66EE">
        <w:rPr>
          <w:rStyle w:val="JuJudgesChar"/>
          <w:lang w:val="hr-HR"/>
        </w:rPr>
        <w:t>Päivi</w:t>
      </w:r>
      <w:proofErr w:type="spellEnd"/>
      <w:r w:rsidRPr="007E66EE">
        <w:rPr>
          <w:rStyle w:val="JuJudgesChar"/>
          <w:lang w:val="hr-HR"/>
        </w:rPr>
        <w:t xml:space="preserve"> </w:t>
      </w:r>
      <w:proofErr w:type="spellStart"/>
      <w:r w:rsidRPr="007E66EE">
        <w:rPr>
          <w:rStyle w:val="JuJudgesChar"/>
          <w:lang w:val="hr-HR"/>
        </w:rPr>
        <w:t>Hirvelä</w:t>
      </w:r>
      <w:proofErr w:type="spellEnd"/>
      <w:r w:rsidRPr="007E66EE">
        <w:rPr>
          <w:rStyle w:val="JuJudgesChar"/>
          <w:lang w:val="hr-HR"/>
        </w:rPr>
        <w:t>,</w:t>
      </w:r>
      <w:r w:rsidRPr="007E66EE">
        <w:rPr>
          <w:rStyle w:val="JuJudgesChar"/>
          <w:i/>
          <w:lang w:val="hr-HR"/>
        </w:rPr>
        <w:br/>
      </w:r>
      <w:r w:rsidRPr="007E66EE">
        <w:rPr>
          <w:rStyle w:val="JuJudgesChar"/>
          <w:lang w:val="hr-HR"/>
        </w:rPr>
        <w:tab/>
      </w:r>
      <w:proofErr w:type="spellStart"/>
      <w:r w:rsidRPr="007E66EE">
        <w:rPr>
          <w:rStyle w:val="JuJudgesChar"/>
          <w:lang w:val="hr-HR"/>
        </w:rPr>
        <w:t>Luis</w:t>
      </w:r>
      <w:proofErr w:type="spellEnd"/>
      <w:r w:rsidRPr="007E66EE">
        <w:rPr>
          <w:rStyle w:val="JuJudgesChar"/>
          <w:lang w:val="hr-HR"/>
        </w:rPr>
        <w:t xml:space="preserve"> López </w:t>
      </w:r>
      <w:proofErr w:type="spellStart"/>
      <w:r w:rsidRPr="007E66EE">
        <w:rPr>
          <w:rStyle w:val="JuJudgesChar"/>
          <w:lang w:val="hr-HR"/>
        </w:rPr>
        <w:t>Guerra</w:t>
      </w:r>
      <w:proofErr w:type="spellEnd"/>
      <w:r w:rsidRPr="007E66EE">
        <w:rPr>
          <w:rStyle w:val="JuJudgesChar"/>
          <w:lang w:val="hr-HR"/>
        </w:rPr>
        <w:t>,</w:t>
      </w:r>
      <w:r w:rsidRPr="007E66EE">
        <w:rPr>
          <w:rStyle w:val="JuJudgesChar"/>
          <w:i/>
          <w:lang w:val="hr-HR"/>
        </w:rPr>
        <w:br/>
      </w:r>
      <w:r w:rsidRPr="007E66EE">
        <w:rPr>
          <w:rStyle w:val="JuJudgesChar"/>
          <w:lang w:val="hr-HR"/>
        </w:rPr>
        <w:tab/>
        <w:t xml:space="preserve">Mirjana Lazarova </w:t>
      </w:r>
      <w:proofErr w:type="spellStart"/>
      <w:r w:rsidRPr="007E66EE">
        <w:rPr>
          <w:rStyle w:val="JuJudgesChar"/>
          <w:lang w:val="hr-HR"/>
        </w:rPr>
        <w:t>Trajkovska</w:t>
      </w:r>
      <w:proofErr w:type="spellEnd"/>
      <w:r w:rsidRPr="007E66EE">
        <w:rPr>
          <w:rStyle w:val="JuJudgesChar"/>
          <w:lang w:val="hr-HR"/>
        </w:rPr>
        <w:t>,</w:t>
      </w:r>
      <w:r w:rsidRPr="007E66EE">
        <w:rPr>
          <w:rStyle w:val="JuJudgesChar"/>
          <w:i/>
          <w:lang w:val="hr-HR"/>
        </w:rPr>
        <w:br/>
      </w:r>
      <w:r w:rsidRPr="007E66EE">
        <w:rPr>
          <w:rStyle w:val="JuJudgesChar"/>
          <w:lang w:val="hr-HR"/>
        </w:rPr>
        <w:tab/>
        <w:t xml:space="preserve">Ledi </w:t>
      </w:r>
      <w:proofErr w:type="spellStart"/>
      <w:r w:rsidRPr="007E66EE">
        <w:rPr>
          <w:rStyle w:val="JuJudgesChar"/>
          <w:lang w:val="hr-HR"/>
        </w:rPr>
        <w:t>Bianku</w:t>
      </w:r>
      <w:proofErr w:type="spellEnd"/>
      <w:r w:rsidRPr="007E66EE">
        <w:rPr>
          <w:rStyle w:val="JuJudgesChar"/>
          <w:lang w:val="hr-HR"/>
        </w:rPr>
        <w:t>,</w:t>
      </w:r>
      <w:r w:rsidRPr="007E66EE">
        <w:rPr>
          <w:rStyle w:val="JuJudgesChar"/>
          <w:i/>
          <w:lang w:val="hr-HR"/>
        </w:rPr>
        <w:br/>
      </w:r>
      <w:r w:rsidRPr="007E66EE">
        <w:rPr>
          <w:rStyle w:val="JuJudgesChar"/>
          <w:lang w:val="hr-HR"/>
        </w:rPr>
        <w:tab/>
      </w:r>
      <w:proofErr w:type="spellStart"/>
      <w:r w:rsidRPr="007E66EE">
        <w:rPr>
          <w:rStyle w:val="JuJudgesChar"/>
          <w:lang w:val="hr-HR"/>
        </w:rPr>
        <w:t>Işıl</w:t>
      </w:r>
      <w:proofErr w:type="spellEnd"/>
      <w:r w:rsidRPr="007E66EE">
        <w:rPr>
          <w:rStyle w:val="JuJudgesChar"/>
          <w:lang w:val="hr-HR"/>
        </w:rPr>
        <w:t xml:space="preserve"> </w:t>
      </w:r>
      <w:proofErr w:type="spellStart"/>
      <w:r w:rsidRPr="007E66EE">
        <w:rPr>
          <w:rStyle w:val="JuJudgesChar"/>
          <w:lang w:val="hr-HR"/>
        </w:rPr>
        <w:t>Karakaş</w:t>
      </w:r>
      <w:proofErr w:type="spellEnd"/>
      <w:r w:rsidRPr="007E66EE">
        <w:rPr>
          <w:rStyle w:val="JuJudgesChar"/>
          <w:lang w:val="hr-HR"/>
        </w:rPr>
        <w:t>,</w:t>
      </w:r>
    </w:p>
    <w:p w:rsidR="000610A7" w:rsidRPr="007E66EE" w:rsidRDefault="000610A7" w:rsidP="00681174">
      <w:pPr>
        <w:pStyle w:val="JuJudges"/>
        <w:tabs>
          <w:tab w:val="clear" w:pos="567"/>
          <w:tab w:val="left" w:pos="709"/>
        </w:tabs>
        <w:rPr>
          <w:rStyle w:val="JuJudgesChar"/>
          <w:lang w:val="hr-HR"/>
        </w:rPr>
      </w:pPr>
      <w:r w:rsidRPr="007E66EE">
        <w:rPr>
          <w:rStyle w:val="JuJudgesChar"/>
          <w:lang w:val="hr-HR"/>
        </w:rPr>
        <w:tab/>
      </w:r>
      <w:r w:rsidRPr="007E66EE">
        <w:rPr>
          <w:lang w:val="hr-HR"/>
        </w:rPr>
        <w:t xml:space="preserve">Nebojša </w:t>
      </w:r>
      <w:proofErr w:type="spellStart"/>
      <w:r w:rsidRPr="007E66EE">
        <w:rPr>
          <w:lang w:val="hr-HR"/>
        </w:rPr>
        <w:t>Vučinić</w:t>
      </w:r>
      <w:proofErr w:type="spellEnd"/>
      <w:r w:rsidRPr="007E66EE">
        <w:rPr>
          <w:lang w:val="hr-HR"/>
        </w:rPr>
        <w:t>,</w:t>
      </w:r>
    </w:p>
    <w:p w:rsidR="000610A7" w:rsidRPr="007E66EE" w:rsidRDefault="000610A7" w:rsidP="0007238A">
      <w:pPr>
        <w:rPr>
          <w:lang w:val="hr-HR"/>
        </w:rPr>
      </w:pPr>
      <w:r w:rsidRPr="007E66EE">
        <w:rPr>
          <w:rStyle w:val="JuJudgesChar"/>
          <w:lang w:val="hr-HR"/>
        </w:rPr>
        <w:tab/>
        <w:t xml:space="preserve">Kristina </w:t>
      </w:r>
      <w:proofErr w:type="spellStart"/>
      <w:r w:rsidRPr="007E66EE">
        <w:rPr>
          <w:rStyle w:val="JuJudgesChar"/>
          <w:lang w:val="hr-HR"/>
        </w:rPr>
        <w:t>Pardalos</w:t>
      </w:r>
      <w:proofErr w:type="spellEnd"/>
      <w:r w:rsidRPr="007E66EE">
        <w:rPr>
          <w:rStyle w:val="JuJudgesChar"/>
          <w:lang w:val="hr-HR"/>
        </w:rPr>
        <w:t>,</w:t>
      </w:r>
      <w:r w:rsidRPr="007E66EE">
        <w:rPr>
          <w:rStyle w:val="JuJudgesChar"/>
          <w:i/>
          <w:lang w:val="hr-HR"/>
        </w:rPr>
        <w:t xml:space="preserve"> suci,</w:t>
      </w:r>
      <w:r w:rsidRPr="007E66EE">
        <w:rPr>
          <w:rStyle w:val="JuJudgesChar"/>
          <w:i/>
          <w:lang w:val="hr-HR"/>
        </w:rPr>
        <w:br/>
      </w:r>
      <w:r w:rsidRPr="007E66EE">
        <w:rPr>
          <w:rStyle w:val="JuJudgesChar"/>
          <w:lang w:val="hr-HR"/>
        </w:rPr>
        <w:t xml:space="preserve">i </w:t>
      </w:r>
      <w:r w:rsidRPr="007E66EE">
        <w:rPr>
          <w:lang w:val="hr-HR"/>
        </w:rPr>
        <w:t xml:space="preserve">Vincent </w:t>
      </w:r>
      <w:proofErr w:type="spellStart"/>
      <w:r w:rsidRPr="007E66EE">
        <w:rPr>
          <w:lang w:val="hr-HR"/>
        </w:rPr>
        <w:t>Berger</w:t>
      </w:r>
      <w:proofErr w:type="spellEnd"/>
      <w:r w:rsidRPr="007E66EE">
        <w:rPr>
          <w:rStyle w:val="JuJudgesChar"/>
          <w:lang w:val="hr-HR"/>
        </w:rPr>
        <w:t xml:space="preserve">, </w:t>
      </w:r>
      <w:proofErr w:type="spellStart"/>
      <w:r w:rsidRPr="007E66EE">
        <w:rPr>
          <w:rStyle w:val="JuJudgesChar"/>
          <w:i/>
          <w:szCs w:val="24"/>
          <w:lang w:val="hr-HR"/>
        </w:rPr>
        <w:t>Jurisconsult</w:t>
      </w:r>
      <w:proofErr w:type="spellEnd"/>
      <w:r w:rsidRPr="007E66EE">
        <w:rPr>
          <w:i/>
          <w:szCs w:val="24"/>
          <w:lang w:val="hr-HR"/>
        </w:rPr>
        <w:t>,</w:t>
      </w:r>
    </w:p>
    <w:p w:rsidR="000610A7" w:rsidRPr="007E66EE" w:rsidRDefault="000610A7">
      <w:pPr>
        <w:pStyle w:val="JuPara"/>
        <w:rPr>
          <w:lang w:val="hr-HR"/>
        </w:rPr>
      </w:pPr>
      <w:r w:rsidRPr="007E66EE">
        <w:rPr>
          <w:lang w:val="hr-HR"/>
        </w:rPr>
        <w:t>nakon vijećanja zatvorenog za javnost dana 8. prosinca 2010. i 29. lipnja 2011.,</w:t>
      </w:r>
    </w:p>
    <w:p w:rsidR="000610A7" w:rsidRPr="007E66EE" w:rsidRDefault="000610A7">
      <w:pPr>
        <w:pStyle w:val="JuPara"/>
        <w:rPr>
          <w:lang w:val="hr-HR"/>
        </w:rPr>
      </w:pPr>
      <w:r w:rsidRPr="007E66EE">
        <w:rPr>
          <w:rFonts w:cs="Calibri"/>
          <w:lang w:val="hr-HR"/>
        </w:rPr>
        <w:t>donosi slij</w:t>
      </w:r>
      <w:r w:rsidRPr="007E66EE">
        <w:rPr>
          <w:rFonts w:cs="Calibri"/>
          <w:spacing w:val="-1"/>
          <w:lang w:val="hr-HR"/>
        </w:rPr>
        <w:t>e</w:t>
      </w:r>
      <w:r w:rsidRPr="007E66EE">
        <w:rPr>
          <w:rFonts w:cs="Calibri"/>
          <w:lang w:val="hr-HR"/>
        </w:rPr>
        <w:t>d</w:t>
      </w:r>
      <w:r w:rsidRPr="007E66EE">
        <w:rPr>
          <w:rFonts w:cs="Calibri"/>
          <w:spacing w:val="-1"/>
          <w:lang w:val="hr-HR"/>
        </w:rPr>
        <w:t>eć</w:t>
      </w:r>
      <w:r w:rsidRPr="007E66EE">
        <w:rPr>
          <w:rFonts w:cs="Calibri"/>
          <w:lang w:val="hr-HR"/>
        </w:rPr>
        <w:t>u p</w:t>
      </w:r>
      <w:r w:rsidRPr="007E66EE">
        <w:rPr>
          <w:rFonts w:cs="Calibri"/>
          <w:spacing w:val="-1"/>
          <w:lang w:val="hr-HR"/>
        </w:rPr>
        <w:t>re</w:t>
      </w:r>
      <w:r w:rsidRPr="007E66EE">
        <w:rPr>
          <w:rFonts w:cs="Calibri"/>
          <w:lang w:val="hr-HR"/>
        </w:rPr>
        <w:t>sudu</w:t>
      </w:r>
      <w:r w:rsidRPr="007E66EE">
        <w:rPr>
          <w:rFonts w:cs="Calibri"/>
          <w:spacing w:val="2"/>
          <w:lang w:val="hr-HR"/>
        </w:rPr>
        <w:t xml:space="preserve"> </w:t>
      </w:r>
      <w:r w:rsidRPr="007E66EE">
        <w:rPr>
          <w:rFonts w:cs="Calibri"/>
          <w:lang w:val="hr-HR"/>
        </w:rPr>
        <w:t>koja</w:t>
      </w:r>
      <w:r w:rsidRPr="007E66EE">
        <w:rPr>
          <w:rFonts w:cs="Calibri"/>
          <w:spacing w:val="-1"/>
          <w:lang w:val="hr-HR"/>
        </w:rPr>
        <w:t xml:space="preserve"> </w:t>
      </w:r>
      <w:r w:rsidRPr="007E66EE">
        <w:rPr>
          <w:rFonts w:cs="Calibri"/>
          <w:lang w:val="hr-HR"/>
        </w:rPr>
        <w:t xml:space="preserve">je usvojena </w:t>
      </w:r>
      <w:r w:rsidRPr="007E66EE">
        <w:rPr>
          <w:color w:val="000000"/>
          <w:lang w:val="hr-HR"/>
        </w:rPr>
        <w:t>potonjeg datuma</w:t>
      </w:r>
      <w:r w:rsidRPr="007E66EE">
        <w:rPr>
          <w:lang w:val="hr-HR"/>
        </w:rPr>
        <w:t>:</w:t>
      </w:r>
    </w:p>
    <w:p w:rsidR="000610A7" w:rsidRPr="007E66EE" w:rsidRDefault="000610A7" w:rsidP="00AF23DA">
      <w:pPr>
        <w:pStyle w:val="JuHHead"/>
        <w:rPr>
          <w:lang w:val="hr-HR"/>
        </w:rPr>
      </w:pPr>
      <w:r w:rsidRPr="007E66EE">
        <w:rPr>
          <w:lang w:val="hr-HR"/>
        </w:rPr>
        <w:t>POSTUPAK</w:t>
      </w:r>
    </w:p>
    <w:p w:rsidR="000610A7" w:rsidRPr="007E66EE" w:rsidRDefault="000610A7" w:rsidP="00617EB5">
      <w:pPr>
        <w:pStyle w:val="JuPara"/>
        <w:rPr>
          <w:lang w:val="hr-HR"/>
        </w:rPr>
      </w:pPr>
      <w:r w:rsidRPr="007E66EE">
        <w:rPr>
          <w:lang w:val="hr-HR"/>
        </w:rPr>
        <w:fldChar w:fldCharType="begin"/>
      </w:r>
      <w:r w:rsidRPr="007E66EE">
        <w:rPr>
          <w:lang w:val="hr-HR"/>
        </w:rPr>
        <w:instrText xml:space="preserve"> SEQ level0 \*arabic </w:instrText>
      </w:r>
      <w:r w:rsidRPr="007E66EE">
        <w:rPr>
          <w:lang w:val="hr-HR"/>
        </w:rPr>
        <w:fldChar w:fldCharType="separate"/>
      </w:r>
      <w:r w:rsidRPr="007E66EE">
        <w:rPr>
          <w:noProof/>
          <w:lang w:val="hr-HR"/>
        </w:rPr>
        <w:t>1</w:t>
      </w:r>
      <w:r w:rsidRPr="007E66EE">
        <w:rPr>
          <w:lang w:val="hr-HR"/>
        </w:rPr>
        <w:fldChar w:fldCharType="end"/>
      </w:r>
      <w:r w:rsidRPr="007E66EE">
        <w:rPr>
          <w:lang w:val="hr-HR"/>
        </w:rPr>
        <w:t>.  Predmet je pokrenut podnošenjem šest zahtjeva (br. 28955/06, 28957/06, 28959/06, 28964/06, 28389/06 i 28961/06) protiv Kraljevstva Španjolske u skladu s člankom 34. Konvencije za zaštitu ljuds</w:t>
      </w:r>
      <w:r>
        <w:rPr>
          <w:lang w:val="hr-HR"/>
        </w:rPr>
        <w:t>kih prava i temeljnih sloboda („</w:t>
      </w:r>
      <w:r w:rsidRPr="007E66EE">
        <w:rPr>
          <w:lang w:val="hr-HR"/>
        </w:rPr>
        <w:t xml:space="preserve">Konvencija”) od strane šest španjolskih državljana, g. Juan </w:t>
      </w:r>
      <w:proofErr w:type="spellStart"/>
      <w:r w:rsidRPr="007E66EE">
        <w:rPr>
          <w:lang w:val="hr-HR"/>
        </w:rPr>
        <w:t>Manuel</w:t>
      </w:r>
      <w:proofErr w:type="spellEnd"/>
      <w:r w:rsidRPr="007E66EE">
        <w:rPr>
          <w:lang w:val="hr-HR"/>
        </w:rPr>
        <w:t xml:space="preserve"> Palomo </w:t>
      </w:r>
      <w:proofErr w:type="spellStart"/>
      <w:r w:rsidRPr="007E66EE">
        <w:rPr>
          <w:lang w:val="hr-HR"/>
        </w:rPr>
        <w:t>Sánchez</w:t>
      </w:r>
      <w:proofErr w:type="spellEnd"/>
      <w:r w:rsidRPr="007E66EE">
        <w:rPr>
          <w:lang w:val="hr-HR"/>
        </w:rPr>
        <w:t xml:space="preserve">, g. Francisco Antonio </w:t>
      </w:r>
      <w:proofErr w:type="spellStart"/>
      <w:r w:rsidRPr="007E66EE">
        <w:rPr>
          <w:lang w:val="hr-HR"/>
        </w:rPr>
        <w:t>Fernández</w:t>
      </w:r>
      <w:proofErr w:type="spellEnd"/>
      <w:r w:rsidRPr="007E66EE">
        <w:rPr>
          <w:lang w:val="hr-HR"/>
        </w:rPr>
        <w:t xml:space="preserve"> </w:t>
      </w:r>
      <w:proofErr w:type="spellStart"/>
      <w:r w:rsidRPr="007E66EE">
        <w:rPr>
          <w:lang w:val="hr-HR"/>
        </w:rPr>
        <w:t>Olmo</w:t>
      </w:r>
      <w:proofErr w:type="spellEnd"/>
      <w:r w:rsidRPr="007E66EE">
        <w:rPr>
          <w:lang w:val="hr-HR"/>
        </w:rPr>
        <w:t xml:space="preserve">, g. </w:t>
      </w:r>
      <w:proofErr w:type="spellStart"/>
      <w:r w:rsidRPr="007E66EE">
        <w:rPr>
          <w:lang w:val="hr-HR"/>
        </w:rPr>
        <w:t>Agustín</w:t>
      </w:r>
      <w:proofErr w:type="spellEnd"/>
      <w:r w:rsidRPr="007E66EE">
        <w:rPr>
          <w:lang w:val="hr-HR"/>
        </w:rPr>
        <w:t xml:space="preserve"> </w:t>
      </w:r>
      <w:proofErr w:type="spellStart"/>
      <w:r w:rsidRPr="007E66EE">
        <w:rPr>
          <w:lang w:val="hr-HR"/>
        </w:rPr>
        <w:t>Alvarez</w:t>
      </w:r>
      <w:proofErr w:type="spellEnd"/>
      <w:r w:rsidRPr="007E66EE">
        <w:rPr>
          <w:lang w:val="hr-HR"/>
        </w:rPr>
        <w:t xml:space="preserve"> </w:t>
      </w:r>
      <w:proofErr w:type="spellStart"/>
      <w:r w:rsidRPr="007E66EE">
        <w:rPr>
          <w:lang w:val="hr-HR"/>
        </w:rPr>
        <w:t>Lecegui</w:t>
      </w:r>
      <w:proofErr w:type="spellEnd"/>
      <w:r w:rsidRPr="007E66EE">
        <w:rPr>
          <w:lang w:val="hr-HR"/>
        </w:rPr>
        <w:t xml:space="preserve">, g. Francisco José María </w:t>
      </w:r>
      <w:proofErr w:type="spellStart"/>
      <w:r w:rsidRPr="007E66EE">
        <w:rPr>
          <w:lang w:val="hr-HR"/>
        </w:rPr>
        <w:t>Blanco</w:t>
      </w:r>
      <w:proofErr w:type="spellEnd"/>
      <w:r w:rsidRPr="007E66EE">
        <w:rPr>
          <w:lang w:val="hr-HR"/>
        </w:rPr>
        <w:t xml:space="preserve"> </w:t>
      </w:r>
      <w:proofErr w:type="spellStart"/>
      <w:r w:rsidRPr="007E66EE">
        <w:rPr>
          <w:lang w:val="hr-HR"/>
        </w:rPr>
        <w:t>Balbas</w:t>
      </w:r>
      <w:proofErr w:type="spellEnd"/>
      <w:r w:rsidRPr="007E66EE">
        <w:rPr>
          <w:lang w:val="hr-HR"/>
        </w:rPr>
        <w:t xml:space="preserve">, g. José Antonio </w:t>
      </w:r>
      <w:proofErr w:type="spellStart"/>
      <w:r w:rsidRPr="007E66EE">
        <w:rPr>
          <w:lang w:val="hr-HR"/>
        </w:rPr>
        <w:t>Aguilera</w:t>
      </w:r>
      <w:proofErr w:type="spellEnd"/>
      <w:r w:rsidRPr="007E66EE">
        <w:rPr>
          <w:lang w:val="hr-HR"/>
        </w:rPr>
        <w:t xml:space="preserve"> </w:t>
      </w:r>
      <w:proofErr w:type="spellStart"/>
      <w:r w:rsidRPr="007E66EE">
        <w:rPr>
          <w:lang w:val="hr-HR"/>
        </w:rPr>
        <w:t>Jiménez</w:t>
      </w:r>
      <w:proofErr w:type="spellEnd"/>
      <w:r w:rsidRPr="007E66EE">
        <w:rPr>
          <w:lang w:val="hr-HR"/>
        </w:rPr>
        <w:t xml:space="preserve"> i g. Francisco </w:t>
      </w:r>
      <w:proofErr w:type="spellStart"/>
      <w:r w:rsidRPr="007E66EE">
        <w:rPr>
          <w:lang w:val="hr-HR"/>
        </w:rPr>
        <w:t>Beltrán</w:t>
      </w:r>
      <w:proofErr w:type="spellEnd"/>
      <w:r w:rsidRPr="007E66EE">
        <w:rPr>
          <w:lang w:val="hr-HR"/>
        </w:rPr>
        <w:t xml:space="preserve"> </w:t>
      </w:r>
      <w:proofErr w:type="spellStart"/>
      <w:r w:rsidRPr="007E66EE">
        <w:rPr>
          <w:lang w:val="hr-HR"/>
        </w:rPr>
        <w:t>Lafulla</w:t>
      </w:r>
      <w:proofErr w:type="spellEnd"/>
      <w:r w:rsidRPr="007E66EE">
        <w:rPr>
          <w:lang w:val="hr-HR"/>
        </w:rPr>
        <w:t xml:space="preserve"> (</w:t>
      </w:r>
      <w:r>
        <w:rPr>
          <w:lang w:val="hr-HR"/>
        </w:rPr>
        <w:t>„</w:t>
      </w:r>
      <w:r w:rsidRPr="007E66EE">
        <w:rPr>
          <w:lang w:val="hr-HR"/>
        </w:rPr>
        <w:t>podnositelji zahtjeva”), dana 13. lipnja 2006.</w:t>
      </w:r>
    </w:p>
    <w:p w:rsidR="000610A7" w:rsidRPr="007E66EE" w:rsidRDefault="000610A7" w:rsidP="00617EB5">
      <w:pPr>
        <w:pStyle w:val="JuPara"/>
        <w:rPr>
          <w:lang w:val="hr-HR"/>
        </w:rPr>
      </w:pPr>
      <w:r w:rsidRPr="007E66EE">
        <w:rPr>
          <w:lang w:val="hr-HR"/>
        </w:rPr>
        <w:fldChar w:fldCharType="begin"/>
      </w:r>
      <w:r w:rsidRPr="007E66EE">
        <w:rPr>
          <w:lang w:val="hr-HR"/>
        </w:rPr>
        <w:instrText xml:space="preserve"> SEQ level0 \*arabic </w:instrText>
      </w:r>
      <w:r w:rsidRPr="007E66EE">
        <w:rPr>
          <w:lang w:val="hr-HR"/>
        </w:rPr>
        <w:fldChar w:fldCharType="separate"/>
      </w:r>
      <w:r w:rsidRPr="007E66EE">
        <w:rPr>
          <w:noProof/>
          <w:lang w:val="hr-HR"/>
        </w:rPr>
        <w:t>2</w:t>
      </w:r>
      <w:r w:rsidRPr="007E66EE">
        <w:rPr>
          <w:lang w:val="hr-HR"/>
        </w:rPr>
        <w:fldChar w:fldCharType="end"/>
      </w:r>
      <w:r w:rsidRPr="007E66EE">
        <w:rPr>
          <w:lang w:val="hr-HR"/>
        </w:rPr>
        <w:t xml:space="preserve">.  Podnositelje zahtjeva pred Sudom je zastupao g. L. García </w:t>
      </w:r>
      <w:proofErr w:type="spellStart"/>
      <w:r w:rsidRPr="007E66EE">
        <w:rPr>
          <w:lang w:val="hr-HR"/>
        </w:rPr>
        <w:t>Quinteiro</w:t>
      </w:r>
      <w:proofErr w:type="spellEnd"/>
      <w:r w:rsidRPr="007E66EE">
        <w:rPr>
          <w:lang w:val="hr-HR"/>
        </w:rPr>
        <w:t>, odvjetnik iz Barcelone. Španjolsku Vladu</w:t>
      </w:r>
      <w:r>
        <w:rPr>
          <w:lang w:val="hr-HR"/>
        </w:rPr>
        <w:t xml:space="preserve"> („</w:t>
      </w:r>
      <w:r w:rsidRPr="007E66EE">
        <w:rPr>
          <w:lang w:val="hr-HR"/>
        </w:rPr>
        <w:t xml:space="preserve">Vlada”) je zastupao njihov zastupnik, g. F. </w:t>
      </w:r>
      <w:proofErr w:type="spellStart"/>
      <w:r w:rsidRPr="007E66EE">
        <w:rPr>
          <w:lang w:val="hr-HR"/>
        </w:rPr>
        <w:t>Irurzun</w:t>
      </w:r>
      <w:proofErr w:type="spellEnd"/>
      <w:r w:rsidRPr="007E66EE">
        <w:rPr>
          <w:lang w:val="hr-HR"/>
        </w:rPr>
        <w:t xml:space="preserve"> </w:t>
      </w:r>
      <w:proofErr w:type="spellStart"/>
      <w:r w:rsidRPr="007E66EE">
        <w:rPr>
          <w:lang w:val="hr-HR"/>
        </w:rPr>
        <w:t>Montoro</w:t>
      </w:r>
      <w:proofErr w:type="spellEnd"/>
      <w:r w:rsidRPr="007E66EE">
        <w:rPr>
          <w:lang w:val="hr-HR"/>
        </w:rPr>
        <w:t>, državni savjetnik.</w:t>
      </w:r>
    </w:p>
    <w:p w:rsidR="000610A7" w:rsidRPr="007E66EE" w:rsidRDefault="000610A7" w:rsidP="00617EB5">
      <w:pPr>
        <w:pStyle w:val="JuPara"/>
        <w:rPr>
          <w:lang w:val="hr-HR"/>
        </w:rPr>
      </w:pPr>
      <w:r w:rsidRPr="007E66EE">
        <w:rPr>
          <w:lang w:val="hr-HR"/>
        </w:rPr>
        <w:fldChar w:fldCharType="begin"/>
      </w:r>
      <w:r w:rsidRPr="007E66EE">
        <w:rPr>
          <w:lang w:val="hr-HR"/>
        </w:rPr>
        <w:instrText xml:space="preserve"> SEQ level0 \*arabic </w:instrText>
      </w:r>
      <w:r w:rsidRPr="007E66EE">
        <w:rPr>
          <w:lang w:val="hr-HR"/>
        </w:rPr>
        <w:fldChar w:fldCharType="separate"/>
      </w:r>
      <w:r w:rsidRPr="007E66EE">
        <w:rPr>
          <w:noProof/>
          <w:lang w:val="hr-HR"/>
        </w:rPr>
        <w:t>3</w:t>
      </w:r>
      <w:r w:rsidRPr="007E66EE">
        <w:rPr>
          <w:lang w:val="hr-HR"/>
        </w:rPr>
        <w:fldChar w:fldCharType="end"/>
      </w:r>
      <w:r w:rsidRPr="007E66EE">
        <w:rPr>
          <w:lang w:val="hr-HR"/>
        </w:rPr>
        <w:t xml:space="preserve">.  U njihovim zahtjevima, podnositelji su se između ostalog žalili da su dobili otkaz kao odmazdu za pripadanje </w:t>
      </w:r>
      <w:r>
        <w:rPr>
          <w:lang w:val="hr-HR"/>
        </w:rPr>
        <w:t xml:space="preserve">određenom </w:t>
      </w:r>
      <w:r w:rsidRPr="007E66EE">
        <w:rPr>
          <w:lang w:val="hr-HR"/>
        </w:rPr>
        <w:t xml:space="preserve">sindikatu i </w:t>
      </w:r>
      <w:r>
        <w:rPr>
          <w:lang w:val="hr-HR"/>
        </w:rPr>
        <w:t>njegovih</w:t>
      </w:r>
      <w:r w:rsidRPr="007E66EE">
        <w:rPr>
          <w:lang w:val="hr-HR"/>
        </w:rPr>
        <w:t xml:space="preserve"> zahtjeva, a iz razloga navodno uvredljivog sadrža</w:t>
      </w:r>
      <w:r>
        <w:rPr>
          <w:lang w:val="hr-HR"/>
        </w:rPr>
        <w:t>ja biltena tog sindikata. Poz</w:t>
      </w:r>
      <w:r w:rsidRPr="007E66EE">
        <w:rPr>
          <w:lang w:val="hr-HR"/>
        </w:rPr>
        <w:t>vali su se na članke 10. i 11. Konvencije.</w:t>
      </w:r>
    </w:p>
    <w:p w:rsidR="000610A7" w:rsidRPr="007E66EE" w:rsidRDefault="000610A7" w:rsidP="00617EB5">
      <w:pPr>
        <w:pStyle w:val="JuPara"/>
        <w:rPr>
          <w:lang w:val="hr-HR"/>
        </w:rPr>
      </w:pPr>
      <w:r w:rsidRPr="007E66EE">
        <w:rPr>
          <w:lang w:val="hr-HR"/>
        </w:rPr>
        <w:lastRenderedPageBreak/>
        <w:fldChar w:fldCharType="begin"/>
      </w:r>
      <w:r w:rsidRPr="007E66EE">
        <w:rPr>
          <w:lang w:val="hr-HR"/>
        </w:rPr>
        <w:instrText xml:space="preserve"> SEQ level0 \*arabic </w:instrText>
      </w:r>
      <w:r w:rsidRPr="007E66EE">
        <w:rPr>
          <w:lang w:val="hr-HR"/>
        </w:rPr>
        <w:fldChar w:fldCharType="separate"/>
      </w:r>
      <w:r w:rsidRPr="007E66EE">
        <w:rPr>
          <w:noProof/>
          <w:lang w:val="hr-HR"/>
        </w:rPr>
        <w:t>4</w:t>
      </w:r>
      <w:r w:rsidRPr="007E66EE">
        <w:rPr>
          <w:lang w:val="hr-HR"/>
        </w:rPr>
        <w:fldChar w:fldCharType="end"/>
      </w:r>
      <w:r w:rsidRPr="007E66EE">
        <w:rPr>
          <w:lang w:val="hr-HR"/>
        </w:rPr>
        <w:t>.  </w:t>
      </w:r>
      <w:r>
        <w:rPr>
          <w:lang w:val="hr-HR"/>
        </w:rPr>
        <w:t>Za</w:t>
      </w:r>
      <w:r w:rsidRPr="007E66EE">
        <w:rPr>
          <w:lang w:val="hr-HR"/>
        </w:rPr>
        <w:t>htjevi su dodijeljeni u rad Trećem odjelu Suda (pravilo 52 . st. 1. Poslovnika Suda). Dana 11. prosinca 2008</w:t>
      </w:r>
      <w:r>
        <w:rPr>
          <w:lang w:val="hr-HR"/>
        </w:rPr>
        <w:t>. predsjednik O</w:t>
      </w:r>
      <w:r w:rsidRPr="007E66EE">
        <w:rPr>
          <w:lang w:val="hr-HR"/>
        </w:rPr>
        <w:t xml:space="preserve">djela odlučio je </w:t>
      </w:r>
      <w:r w:rsidRPr="007E66EE">
        <w:rPr>
          <w:color w:val="000000"/>
          <w:lang w:val="hr-HR"/>
        </w:rPr>
        <w:t>obavijestiti Vladu o zahtjevima</w:t>
      </w:r>
      <w:r w:rsidRPr="007E66EE">
        <w:rPr>
          <w:lang w:val="hr-HR"/>
        </w:rPr>
        <w:t xml:space="preserve">. </w:t>
      </w:r>
      <w:r w:rsidRPr="007E66EE">
        <w:rPr>
          <w:color w:val="000000"/>
          <w:lang w:val="hr-HR"/>
        </w:rPr>
        <w:t>Također je odlučeno u isto vrijeme razmatrati dopuštenost i osnovanost zahtjeva</w:t>
      </w:r>
      <w:r w:rsidRPr="007E66EE">
        <w:rPr>
          <w:lang w:val="hr-HR"/>
        </w:rPr>
        <w:t xml:space="preserve"> prema tadašnjem</w:t>
      </w:r>
      <w:r>
        <w:rPr>
          <w:lang w:val="hr-HR"/>
        </w:rPr>
        <w:t xml:space="preserve"> članku 29. st. 3. (sada čl. 29.</w:t>
      </w:r>
      <w:r w:rsidRPr="007E66EE">
        <w:rPr>
          <w:lang w:val="hr-HR"/>
        </w:rPr>
        <w:t xml:space="preserve"> st. 1</w:t>
      </w:r>
      <w:r>
        <w:rPr>
          <w:lang w:val="hr-HR"/>
        </w:rPr>
        <w:t>.</w:t>
      </w:r>
      <w:r w:rsidRPr="007E66EE">
        <w:rPr>
          <w:lang w:val="hr-HR"/>
        </w:rPr>
        <w:t>) Konvencije i pravilu</w:t>
      </w:r>
      <w:r w:rsidRPr="007E66EE">
        <w:rPr>
          <w:lang w:val="hr-HR" w:eastAsia="en-US"/>
        </w:rPr>
        <w:t> 54A</w:t>
      </w:r>
      <w:r w:rsidRPr="007E66EE">
        <w:rPr>
          <w:lang w:val="hr-HR"/>
        </w:rPr>
        <w:t>.</w:t>
      </w:r>
    </w:p>
    <w:p w:rsidR="000610A7" w:rsidRPr="007E66EE" w:rsidRDefault="000610A7">
      <w:pPr>
        <w:pStyle w:val="JuPara"/>
        <w:rPr>
          <w:lang w:val="hr-HR"/>
        </w:rPr>
      </w:pPr>
      <w:r w:rsidRPr="007E66EE">
        <w:rPr>
          <w:lang w:val="hr-HR"/>
        </w:rPr>
        <w:fldChar w:fldCharType="begin"/>
      </w:r>
      <w:r w:rsidRPr="007E66EE">
        <w:rPr>
          <w:lang w:val="hr-HR"/>
        </w:rPr>
        <w:instrText xml:space="preserve"> SEQ level0 \*arabic </w:instrText>
      </w:r>
      <w:r w:rsidRPr="007E66EE">
        <w:rPr>
          <w:lang w:val="hr-HR"/>
        </w:rPr>
        <w:fldChar w:fldCharType="separate"/>
      </w:r>
      <w:r w:rsidRPr="007E66EE">
        <w:rPr>
          <w:noProof/>
          <w:lang w:val="hr-HR"/>
        </w:rPr>
        <w:t>5</w:t>
      </w:r>
      <w:r w:rsidRPr="007E66EE">
        <w:rPr>
          <w:lang w:val="hr-HR"/>
        </w:rPr>
        <w:fldChar w:fldCharType="end"/>
      </w:r>
      <w:r w:rsidRPr="007E66EE">
        <w:rPr>
          <w:lang w:val="hr-HR"/>
        </w:rPr>
        <w:t xml:space="preserve">.  Dana 17. studenog 2009. Vijeće </w:t>
      </w:r>
      <w:proofErr w:type="spellStart"/>
      <w:r w:rsidRPr="007E66EE">
        <w:rPr>
          <w:lang w:val="hr-HR"/>
        </w:rPr>
        <w:t>sasatavljeno</w:t>
      </w:r>
      <w:proofErr w:type="spellEnd"/>
      <w:r w:rsidRPr="007E66EE">
        <w:rPr>
          <w:lang w:val="hr-HR"/>
        </w:rPr>
        <w:t xml:space="preserve"> od:</w:t>
      </w:r>
      <w:r w:rsidRPr="007E66EE">
        <w:rPr>
          <w:rStyle w:val="JuJudgesChar"/>
          <w:lang w:val="hr-HR"/>
        </w:rPr>
        <w:t xml:space="preserve"> </w:t>
      </w:r>
      <w:proofErr w:type="spellStart"/>
      <w:r w:rsidRPr="007E66EE">
        <w:rPr>
          <w:rStyle w:val="JuJudgesChar"/>
          <w:lang w:val="hr-HR"/>
        </w:rPr>
        <w:t>Josep</w:t>
      </w:r>
      <w:proofErr w:type="spellEnd"/>
      <w:r w:rsidRPr="007E66EE">
        <w:rPr>
          <w:rStyle w:val="JuJudgesChar"/>
          <w:lang w:val="hr-HR"/>
        </w:rPr>
        <w:t xml:space="preserve"> </w:t>
      </w:r>
      <w:proofErr w:type="spellStart"/>
      <w:r w:rsidRPr="007E66EE">
        <w:rPr>
          <w:rStyle w:val="JuJudgesChar"/>
          <w:lang w:val="hr-HR"/>
        </w:rPr>
        <w:t>Casadevall</w:t>
      </w:r>
      <w:proofErr w:type="spellEnd"/>
      <w:r w:rsidRPr="007E66EE">
        <w:rPr>
          <w:rStyle w:val="JuJudgesChar"/>
          <w:lang w:val="hr-HR"/>
        </w:rPr>
        <w:t>,</w:t>
      </w:r>
      <w:r w:rsidRPr="007E66EE">
        <w:rPr>
          <w:rStyle w:val="JuJudgesChar"/>
          <w:i/>
          <w:lang w:val="hr-HR"/>
        </w:rPr>
        <w:t xml:space="preserve"> </w:t>
      </w:r>
      <w:r w:rsidRPr="007E66EE">
        <w:rPr>
          <w:rStyle w:val="JuJudgesChar"/>
          <w:lang w:val="hr-HR"/>
        </w:rPr>
        <w:t>predsjednik</w:t>
      </w:r>
      <w:r w:rsidRPr="007E66EE">
        <w:rPr>
          <w:rStyle w:val="JuJudgesChar"/>
          <w:i/>
          <w:lang w:val="hr-HR"/>
        </w:rPr>
        <w:t xml:space="preserve">, </w:t>
      </w:r>
      <w:proofErr w:type="spellStart"/>
      <w:r w:rsidRPr="007E66EE">
        <w:rPr>
          <w:rStyle w:val="JuJudgesChar"/>
          <w:lang w:val="hr-HR"/>
        </w:rPr>
        <w:t>Elisabet</w:t>
      </w:r>
      <w:proofErr w:type="spellEnd"/>
      <w:r w:rsidRPr="007E66EE">
        <w:rPr>
          <w:rStyle w:val="JuJudgesChar"/>
          <w:lang w:val="hr-HR"/>
        </w:rPr>
        <w:t xml:space="preserve"> Fura,</w:t>
      </w:r>
      <w:r w:rsidRPr="007E66EE">
        <w:rPr>
          <w:rStyle w:val="JuJudgesChar"/>
          <w:i/>
          <w:lang w:val="hr-HR"/>
        </w:rPr>
        <w:t xml:space="preserve"> </w:t>
      </w:r>
      <w:proofErr w:type="spellStart"/>
      <w:r w:rsidRPr="007E66EE">
        <w:rPr>
          <w:rStyle w:val="JuJudgesChar"/>
          <w:lang w:val="hr-HR"/>
        </w:rPr>
        <w:t>Corneliu</w:t>
      </w:r>
      <w:proofErr w:type="spellEnd"/>
      <w:r w:rsidRPr="007E66EE">
        <w:rPr>
          <w:rStyle w:val="JuJudgesChar"/>
          <w:lang w:val="hr-HR"/>
        </w:rPr>
        <w:t xml:space="preserve"> </w:t>
      </w:r>
      <w:proofErr w:type="spellStart"/>
      <w:r w:rsidRPr="007E66EE">
        <w:rPr>
          <w:rStyle w:val="JuJudgesChar"/>
          <w:lang w:val="hr-HR"/>
        </w:rPr>
        <w:t>Bîrsan</w:t>
      </w:r>
      <w:proofErr w:type="spellEnd"/>
      <w:r w:rsidRPr="007E66EE">
        <w:rPr>
          <w:rStyle w:val="JuJudgesChar"/>
          <w:lang w:val="hr-HR"/>
        </w:rPr>
        <w:t>,</w:t>
      </w:r>
      <w:r w:rsidRPr="007E66EE">
        <w:rPr>
          <w:rStyle w:val="JuJudgesChar"/>
          <w:i/>
          <w:lang w:val="hr-HR"/>
        </w:rPr>
        <w:t xml:space="preserve"> </w:t>
      </w:r>
      <w:proofErr w:type="spellStart"/>
      <w:r w:rsidRPr="007E66EE">
        <w:rPr>
          <w:rStyle w:val="JuJudgesChar"/>
          <w:lang w:val="hr-HR"/>
        </w:rPr>
        <w:t>Alvina</w:t>
      </w:r>
      <w:proofErr w:type="spellEnd"/>
      <w:r w:rsidRPr="007E66EE">
        <w:rPr>
          <w:rStyle w:val="JuJudgesChar"/>
          <w:lang w:val="hr-HR"/>
        </w:rPr>
        <w:t xml:space="preserve"> </w:t>
      </w:r>
      <w:proofErr w:type="spellStart"/>
      <w:r w:rsidRPr="007E66EE">
        <w:rPr>
          <w:rStyle w:val="JuJudgesChar"/>
          <w:lang w:val="hr-HR"/>
        </w:rPr>
        <w:t>Gyulumyan</w:t>
      </w:r>
      <w:proofErr w:type="spellEnd"/>
      <w:r w:rsidRPr="007E66EE">
        <w:rPr>
          <w:rStyle w:val="JuJudgesChar"/>
          <w:lang w:val="hr-HR"/>
        </w:rPr>
        <w:t>,</w:t>
      </w:r>
      <w:r w:rsidRPr="007E66EE">
        <w:rPr>
          <w:rStyle w:val="JuJudgesChar"/>
          <w:i/>
          <w:lang w:val="hr-HR"/>
        </w:rPr>
        <w:t xml:space="preserve"> </w:t>
      </w:r>
      <w:proofErr w:type="spellStart"/>
      <w:r w:rsidRPr="007E66EE">
        <w:rPr>
          <w:rStyle w:val="JuJudgesChar"/>
          <w:lang w:val="hr-HR"/>
        </w:rPr>
        <w:t>Egbert</w:t>
      </w:r>
      <w:proofErr w:type="spellEnd"/>
      <w:r w:rsidRPr="007E66EE">
        <w:rPr>
          <w:rStyle w:val="JuJudgesChar"/>
          <w:lang w:val="hr-HR"/>
        </w:rPr>
        <w:t xml:space="preserve"> </w:t>
      </w:r>
      <w:proofErr w:type="spellStart"/>
      <w:r w:rsidRPr="007E66EE">
        <w:rPr>
          <w:rStyle w:val="JuJudgesChar"/>
          <w:lang w:val="hr-HR"/>
        </w:rPr>
        <w:t>Myjer</w:t>
      </w:r>
      <w:proofErr w:type="spellEnd"/>
      <w:r w:rsidRPr="007E66EE">
        <w:rPr>
          <w:rStyle w:val="JuJudgesChar"/>
          <w:lang w:val="hr-HR"/>
        </w:rPr>
        <w:t>,</w:t>
      </w:r>
      <w:r w:rsidRPr="007E66EE">
        <w:rPr>
          <w:rStyle w:val="JuJudgesChar"/>
          <w:i/>
          <w:lang w:val="hr-HR"/>
        </w:rPr>
        <w:t xml:space="preserve"> </w:t>
      </w:r>
      <w:proofErr w:type="spellStart"/>
      <w:r w:rsidRPr="007E66EE">
        <w:rPr>
          <w:rStyle w:val="JuJudgesChar"/>
          <w:lang w:val="hr-HR"/>
        </w:rPr>
        <w:t>Luis</w:t>
      </w:r>
      <w:proofErr w:type="spellEnd"/>
      <w:r w:rsidRPr="007E66EE">
        <w:rPr>
          <w:rStyle w:val="JuJudgesChar"/>
          <w:lang w:val="hr-HR"/>
        </w:rPr>
        <w:t xml:space="preserve"> López </w:t>
      </w:r>
      <w:proofErr w:type="spellStart"/>
      <w:r w:rsidRPr="007E66EE">
        <w:rPr>
          <w:rStyle w:val="JuJudgesChar"/>
          <w:lang w:val="hr-HR"/>
        </w:rPr>
        <w:t>Guerra</w:t>
      </w:r>
      <w:proofErr w:type="spellEnd"/>
      <w:r w:rsidRPr="007E66EE">
        <w:rPr>
          <w:rStyle w:val="JuJudgesChar"/>
          <w:lang w:val="hr-HR"/>
        </w:rPr>
        <w:t xml:space="preserve"> i </w:t>
      </w:r>
      <w:proofErr w:type="spellStart"/>
      <w:r w:rsidRPr="007E66EE">
        <w:rPr>
          <w:rStyle w:val="JuJudgesChar"/>
          <w:lang w:val="hr-HR"/>
        </w:rPr>
        <w:t>Ann</w:t>
      </w:r>
      <w:proofErr w:type="spellEnd"/>
      <w:r w:rsidRPr="007E66EE">
        <w:rPr>
          <w:rStyle w:val="JuJudgesChar"/>
          <w:lang w:val="hr-HR"/>
        </w:rPr>
        <w:t xml:space="preserve"> Power,</w:t>
      </w:r>
      <w:r w:rsidRPr="007E66EE">
        <w:rPr>
          <w:rStyle w:val="JuJudgesChar"/>
          <w:i/>
          <w:lang w:val="hr-HR"/>
        </w:rPr>
        <w:t xml:space="preserve"> </w:t>
      </w:r>
      <w:r w:rsidRPr="007E66EE">
        <w:rPr>
          <w:rStyle w:val="JuJudgesChar"/>
          <w:lang w:val="hr-HR"/>
        </w:rPr>
        <w:t>suci</w:t>
      </w:r>
      <w:r w:rsidRPr="007E66EE">
        <w:rPr>
          <w:rStyle w:val="JuJudgesChar"/>
          <w:i/>
          <w:lang w:val="hr-HR"/>
        </w:rPr>
        <w:t xml:space="preserve">, </w:t>
      </w:r>
      <w:r w:rsidRPr="007E66EE">
        <w:rPr>
          <w:rStyle w:val="JuJudgesChar"/>
          <w:lang w:val="hr-HR"/>
        </w:rPr>
        <w:t xml:space="preserve">i </w:t>
      </w:r>
      <w:r w:rsidRPr="007E66EE">
        <w:rPr>
          <w:lang w:val="hr-HR"/>
        </w:rPr>
        <w:t xml:space="preserve">Santiago </w:t>
      </w:r>
      <w:proofErr w:type="spellStart"/>
      <w:r w:rsidRPr="007E66EE">
        <w:rPr>
          <w:lang w:val="hr-HR"/>
        </w:rPr>
        <w:t>Quesada</w:t>
      </w:r>
      <w:proofErr w:type="spellEnd"/>
      <w:r w:rsidRPr="007E66EE">
        <w:rPr>
          <w:rStyle w:val="JuJudgesChar"/>
          <w:lang w:val="hr-HR"/>
        </w:rPr>
        <w:t>, tajnik odjela</w:t>
      </w:r>
      <w:r w:rsidRPr="007E66EE">
        <w:rPr>
          <w:i/>
          <w:lang w:val="hr-HR"/>
        </w:rPr>
        <w:t xml:space="preserve">, </w:t>
      </w:r>
      <w:r w:rsidRPr="007E66EE">
        <w:rPr>
          <w:lang w:val="hr-HR"/>
        </w:rPr>
        <w:t>odlučilo je prema pravilu 42</w:t>
      </w:r>
      <w:r>
        <w:rPr>
          <w:lang w:val="hr-HR"/>
        </w:rPr>
        <w:t>.</w:t>
      </w:r>
      <w:r w:rsidRPr="007E66EE">
        <w:rPr>
          <w:lang w:val="hr-HR"/>
        </w:rPr>
        <w:t xml:space="preserve"> st. 1. ujediniti postupak u predmetima pokrenutim pod brojevima 28389/06, 28955/06, 28957/06, 28959/06, 28961/06 i 28964/06. Proglasilo je dopuštenima zahtjeve (br. 28955/06, 28957/06, 28959/06, 28964/06) podnesene od strane g. Juan </w:t>
      </w:r>
      <w:proofErr w:type="spellStart"/>
      <w:r w:rsidRPr="007E66EE">
        <w:rPr>
          <w:lang w:val="hr-HR"/>
        </w:rPr>
        <w:t>Manuel</w:t>
      </w:r>
      <w:proofErr w:type="spellEnd"/>
      <w:r w:rsidRPr="007E66EE">
        <w:rPr>
          <w:lang w:val="hr-HR"/>
        </w:rPr>
        <w:t xml:space="preserve"> Palomo </w:t>
      </w:r>
      <w:proofErr w:type="spellStart"/>
      <w:r w:rsidRPr="007E66EE">
        <w:rPr>
          <w:lang w:val="hr-HR"/>
        </w:rPr>
        <w:t>Sáncheza</w:t>
      </w:r>
      <w:proofErr w:type="spellEnd"/>
      <w:r w:rsidRPr="007E66EE">
        <w:rPr>
          <w:lang w:val="hr-HR"/>
        </w:rPr>
        <w:t xml:space="preserve">, g. Francisco Antonio </w:t>
      </w:r>
      <w:proofErr w:type="spellStart"/>
      <w:r w:rsidRPr="007E66EE">
        <w:rPr>
          <w:lang w:val="hr-HR"/>
        </w:rPr>
        <w:t>Fernández</w:t>
      </w:r>
      <w:proofErr w:type="spellEnd"/>
      <w:r w:rsidRPr="007E66EE">
        <w:rPr>
          <w:lang w:val="hr-HR"/>
        </w:rPr>
        <w:t xml:space="preserve"> </w:t>
      </w:r>
      <w:proofErr w:type="spellStart"/>
      <w:r w:rsidRPr="007E66EE">
        <w:rPr>
          <w:lang w:val="hr-HR"/>
        </w:rPr>
        <w:t>Olma</w:t>
      </w:r>
      <w:proofErr w:type="spellEnd"/>
      <w:r w:rsidRPr="007E66EE">
        <w:rPr>
          <w:lang w:val="hr-HR"/>
        </w:rPr>
        <w:t xml:space="preserve">, g. </w:t>
      </w:r>
      <w:proofErr w:type="spellStart"/>
      <w:r w:rsidRPr="007E66EE">
        <w:rPr>
          <w:lang w:val="hr-HR"/>
        </w:rPr>
        <w:t>Agustín</w:t>
      </w:r>
      <w:proofErr w:type="spellEnd"/>
      <w:r w:rsidRPr="007E66EE">
        <w:rPr>
          <w:lang w:val="hr-HR"/>
        </w:rPr>
        <w:t xml:space="preserve"> </w:t>
      </w:r>
      <w:proofErr w:type="spellStart"/>
      <w:r w:rsidRPr="007E66EE">
        <w:rPr>
          <w:lang w:val="hr-HR"/>
        </w:rPr>
        <w:t>Alvarez</w:t>
      </w:r>
      <w:proofErr w:type="spellEnd"/>
      <w:r w:rsidRPr="007E66EE">
        <w:rPr>
          <w:lang w:val="hr-HR"/>
        </w:rPr>
        <w:t xml:space="preserve"> </w:t>
      </w:r>
      <w:proofErr w:type="spellStart"/>
      <w:r w:rsidRPr="007E66EE">
        <w:rPr>
          <w:lang w:val="hr-HR"/>
        </w:rPr>
        <w:t>Leceguija</w:t>
      </w:r>
      <w:proofErr w:type="spellEnd"/>
      <w:r w:rsidRPr="007E66EE">
        <w:rPr>
          <w:lang w:val="hr-HR"/>
        </w:rPr>
        <w:t xml:space="preserve"> i g. Francisco José María </w:t>
      </w:r>
      <w:proofErr w:type="spellStart"/>
      <w:r w:rsidRPr="007E66EE">
        <w:rPr>
          <w:lang w:val="hr-HR"/>
        </w:rPr>
        <w:t>Blanco</w:t>
      </w:r>
      <w:proofErr w:type="spellEnd"/>
      <w:r w:rsidRPr="007E66EE">
        <w:rPr>
          <w:lang w:val="hr-HR"/>
        </w:rPr>
        <w:t xml:space="preserve"> </w:t>
      </w:r>
      <w:proofErr w:type="spellStart"/>
      <w:r w:rsidRPr="007E66EE">
        <w:rPr>
          <w:lang w:val="hr-HR"/>
        </w:rPr>
        <w:t>Balbasa</w:t>
      </w:r>
      <w:proofErr w:type="spellEnd"/>
      <w:r>
        <w:rPr>
          <w:lang w:val="hr-HR"/>
        </w:rPr>
        <w:t xml:space="preserve"> („</w:t>
      </w:r>
      <w:r w:rsidRPr="007E66EE">
        <w:rPr>
          <w:lang w:val="hr-HR"/>
        </w:rPr>
        <w:t>podnositelji zahtjeva”) i nedopuštenim (b</w:t>
      </w:r>
      <w:r>
        <w:rPr>
          <w:lang w:val="hr-HR"/>
        </w:rPr>
        <w:t>r</w:t>
      </w:r>
      <w:r w:rsidRPr="007E66EE">
        <w:rPr>
          <w:lang w:val="hr-HR"/>
        </w:rPr>
        <w:t xml:space="preserve">. 28389/06 </w:t>
      </w:r>
      <w:proofErr w:type="spellStart"/>
      <w:r w:rsidRPr="007E66EE">
        <w:rPr>
          <w:lang w:val="hr-HR"/>
        </w:rPr>
        <w:t>and</w:t>
      </w:r>
      <w:proofErr w:type="spellEnd"/>
      <w:r w:rsidRPr="007E66EE">
        <w:rPr>
          <w:lang w:val="hr-HR"/>
        </w:rPr>
        <w:t xml:space="preserve"> 28961/06) one podnesene od strane g. </w:t>
      </w:r>
      <w:proofErr w:type="spellStart"/>
      <w:r w:rsidRPr="007E66EE">
        <w:rPr>
          <w:lang w:val="hr-HR"/>
        </w:rPr>
        <w:t>Aguilera</w:t>
      </w:r>
      <w:proofErr w:type="spellEnd"/>
      <w:r w:rsidRPr="007E66EE">
        <w:rPr>
          <w:lang w:val="hr-HR"/>
        </w:rPr>
        <w:t xml:space="preserve"> </w:t>
      </w:r>
      <w:proofErr w:type="spellStart"/>
      <w:r w:rsidRPr="007E66EE">
        <w:rPr>
          <w:lang w:val="hr-HR"/>
        </w:rPr>
        <w:t>Jiméneza</w:t>
      </w:r>
      <w:proofErr w:type="spellEnd"/>
      <w:r w:rsidRPr="007E66EE">
        <w:rPr>
          <w:lang w:val="hr-HR"/>
        </w:rPr>
        <w:t xml:space="preserve"> i g. </w:t>
      </w:r>
      <w:proofErr w:type="spellStart"/>
      <w:r w:rsidRPr="007E66EE">
        <w:rPr>
          <w:lang w:val="hr-HR"/>
        </w:rPr>
        <w:t>Beltrán</w:t>
      </w:r>
      <w:proofErr w:type="spellEnd"/>
      <w:r w:rsidRPr="007E66EE">
        <w:rPr>
          <w:lang w:val="hr-HR"/>
        </w:rPr>
        <w:t xml:space="preserve"> </w:t>
      </w:r>
      <w:proofErr w:type="spellStart"/>
      <w:r w:rsidRPr="007E66EE">
        <w:rPr>
          <w:lang w:val="hr-HR"/>
        </w:rPr>
        <w:t>Lafulla</w:t>
      </w:r>
      <w:proofErr w:type="spellEnd"/>
      <w:r w:rsidRPr="007E66EE">
        <w:rPr>
          <w:lang w:val="hr-HR"/>
        </w:rPr>
        <w:t>. Dana 8. prosinca 2009. Vijeće je donijelo presudu (</w:t>
      </w:r>
      <w:proofErr w:type="spellStart"/>
      <w:r w:rsidRPr="007E66EE">
        <w:rPr>
          <w:i/>
          <w:lang w:val="hr-HR"/>
        </w:rPr>
        <w:t>Aguilera</w:t>
      </w:r>
      <w:proofErr w:type="spellEnd"/>
      <w:r w:rsidRPr="007E66EE">
        <w:rPr>
          <w:i/>
          <w:lang w:val="hr-HR"/>
        </w:rPr>
        <w:t xml:space="preserve"> </w:t>
      </w:r>
      <w:proofErr w:type="spellStart"/>
      <w:r w:rsidRPr="007E66EE">
        <w:rPr>
          <w:i/>
          <w:lang w:val="hr-HR"/>
        </w:rPr>
        <w:t>Jiménez</w:t>
      </w:r>
      <w:proofErr w:type="spellEnd"/>
      <w:r w:rsidRPr="007E66EE">
        <w:rPr>
          <w:i/>
          <w:lang w:val="hr-HR"/>
        </w:rPr>
        <w:t xml:space="preserve"> i ostali protiv Španjolske</w:t>
      </w:r>
      <w:r w:rsidRPr="007E66EE">
        <w:rPr>
          <w:lang w:val="hr-HR"/>
        </w:rPr>
        <w:t>) u kojoj je, sa šest glasova za i jednim protiv, našlo da nije došlo do povrede članka 10. Konvencije, te</w:t>
      </w:r>
      <w:r>
        <w:rPr>
          <w:lang w:val="hr-HR"/>
        </w:rPr>
        <w:t xml:space="preserve"> </w:t>
      </w:r>
      <w:r w:rsidRPr="007E66EE">
        <w:rPr>
          <w:lang w:val="hr-HR"/>
        </w:rPr>
        <w:t>da se nije postavljalo odvojeno pitanje pod člankom 11. Konvencije.</w:t>
      </w:r>
    </w:p>
    <w:p w:rsidR="000610A7" w:rsidRPr="007E66EE" w:rsidRDefault="000610A7">
      <w:pPr>
        <w:pStyle w:val="JuPara"/>
        <w:rPr>
          <w:lang w:val="hr-HR"/>
        </w:rPr>
      </w:pPr>
      <w:r w:rsidRPr="007E66EE">
        <w:rPr>
          <w:lang w:val="hr-HR"/>
        </w:rPr>
        <w:fldChar w:fldCharType="begin"/>
      </w:r>
      <w:r w:rsidRPr="007E66EE">
        <w:rPr>
          <w:lang w:val="hr-HR"/>
        </w:rPr>
        <w:instrText xml:space="preserve"> SEQ level0 \*arabic </w:instrText>
      </w:r>
      <w:r w:rsidRPr="007E66EE">
        <w:rPr>
          <w:lang w:val="hr-HR"/>
        </w:rPr>
        <w:fldChar w:fldCharType="separate"/>
      </w:r>
      <w:r w:rsidRPr="007E66EE">
        <w:rPr>
          <w:noProof/>
          <w:lang w:val="hr-HR"/>
        </w:rPr>
        <w:t>6</w:t>
      </w:r>
      <w:r w:rsidRPr="007E66EE">
        <w:rPr>
          <w:lang w:val="hr-HR"/>
        </w:rPr>
        <w:fldChar w:fldCharType="end"/>
      </w:r>
      <w:r w:rsidRPr="007E66EE">
        <w:rPr>
          <w:lang w:val="hr-HR"/>
        </w:rPr>
        <w:t xml:space="preserve">.  Dana 7. ožujka 2010., podnositelji zahtjeva tražili su </w:t>
      </w:r>
      <w:r w:rsidRPr="007E66EE">
        <w:rPr>
          <w:color w:val="000000"/>
          <w:lang w:val="hr-HR"/>
        </w:rPr>
        <w:t xml:space="preserve">da se predmet uputi Velikom </w:t>
      </w:r>
      <w:proofErr w:type="spellStart"/>
      <w:r w:rsidRPr="007E66EE">
        <w:rPr>
          <w:color w:val="000000"/>
          <w:lang w:val="hr-HR"/>
        </w:rPr>
        <w:t>vijeću</w:t>
      </w:r>
      <w:proofErr w:type="spellEnd"/>
      <w:r w:rsidRPr="007E66EE">
        <w:rPr>
          <w:color w:val="000000"/>
          <w:lang w:val="hr-HR"/>
        </w:rPr>
        <w:t xml:space="preserve">, u skladu s člankom 43. Konvencije i pravilom 73., navodeći da je došlo do povrede članaka 10. i 11. Odbor Velikog </w:t>
      </w:r>
      <w:proofErr w:type="spellStart"/>
      <w:r w:rsidRPr="007E66EE">
        <w:rPr>
          <w:color w:val="000000"/>
          <w:lang w:val="hr-HR"/>
        </w:rPr>
        <w:t>vijeća</w:t>
      </w:r>
      <w:proofErr w:type="spellEnd"/>
      <w:r w:rsidRPr="007E66EE">
        <w:rPr>
          <w:color w:val="000000"/>
          <w:lang w:val="hr-HR"/>
        </w:rPr>
        <w:t xml:space="preserve"> je 10. svibnja 2010. prihvatio taj zahtjev.</w:t>
      </w:r>
    </w:p>
    <w:p w:rsidR="000610A7" w:rsidRPr="007E66EE" w:rsidRDefault="000610A7">
      <w:pPr>
        <w:pStyle w:val="JuPara"/>
        <w:rPr>
          <w:lang w:val="hr-HR"/>
        </w:rPr>
      </w:pPr>
      <w:r w:rsidRPr="007E66EE">
        <w:rPr>
          <w:lang w:val="hr-HR"/>
        </w:rPr>
        <w:fldChar w:fldCharType="begin"/>
      </w:r>
      <w:r w:rsidRPr="007E66EE">
        <w:rPr>
          <w:lang w:val="hr-HR"/>
        </w:rPr>
        <w:instrText xml:space="preserve"> SEQ level0 \*arabic </w:instrText>
      </w:r>
      <w:r w:rsidRPr="007E66EE">
        <w:rPr>
          <w:lang w:val="hr-HR"/>
        </w:rPr>
        <w:fldChar w:fldCharType="separate"/>
      </w:r>
      <w:r w:rsidRPr="007E66EE">
        <w:rPr>
          <w:noProof/>
          <w:lang w:val="hr-HR"/>
        </w:rPr>
        <w:t>7</w:t>
      </w:r>
      <w:r w:rsidRPr="007E66EE">
        <w:rPr>
          <w:lang w:val="hr-HR"/>
        </w:rPr>
        <w:fldChar w:fldCharType="end"/>
      </w:r>
      <w:r w:rsidRPr="007E66EE">
        <w:rPr>
          <w:lang w:val="hr-HR"/>
        </w:rPr>
        <w:t>.  Sastav Velikog vijeća određen je sukladno odredbama članka 26. st. 4. i 5. Konvencije i pravilu 24.</w:t>
      </w:r>
    </w:p>
    <w:p w:rsidR="000610A7" w:rsidRPr="007E66EE" w:rsidRDefault="000610A7">
      <w:pPr>
        <w:pStyle w:val="JuPara"/>
        <w:rPr>
          <w:lang w:val="hr-HR"/>
        </w:rPr>
      </w:pPr>
      <w:r w:rsidRPr="007E66EE">
        <w:rPr>
          <w:lang w:val="hr-HR"/>
        </w:rPr>
        <w:fldChar w:fldCharType="begin"/>
      </w:r>
      <w:r w:rsidRPr="007E66EE">
        <w:rPr>
          <w:lang w:val="hr-HR"/>
        </w:rPr>
        <w:instrText xml:space="preserve"> SEQ level0 \*arabic </w:instrText>
      </w:r>
      <w:r w:rsidRPr="007E66EE">
        <w:rPr>
          <w:lang w:val="hr-HR"/>
        </w:rPr>
        <w:fldChar w:fldCharType="separate"/>
      </w:r>
      <w:r w:rsidRPr="007E66EE">
        <w:rPr>
          <w:noProof/>
          <w:lang w:val="hr-HR"/>
        </w:rPr>
        <w:t>8</w:t>
      </w:r>
      <w:r w:rsidRPr="007E66EE">
        <w:rPr>
          <w:lang w:val="hr-HR"/>
        </w:rPr>
        <w:fldChar w:fldCharType="end"/>
      </w:r>
      <w:r w:rsidRPr="007E66EE">
        <w:rPr>
          <w:lang w:val="hr-HR"/>
        </w:rPr>
        <w:t xml:space="preserve">.  Podnositelji zahtjeva i Vlada dostavili su </w:t>
      </w:r>
      <w:r>
        <w:rPr>
          <w:lang w:val="hr-HR"/>
        </w:rPr>
        <w:t>očitovanja</w:t>
      </w:r>
      <w:r w:rsidRPr="007E66EE">
        <w:rPr>
          <w:lang w:val="hr-HR"/>
        </w:rPr>
        <w:t xml:space="preserve"> Velikom vijeću.</w:t>
      </w:r>
    </w:p>
    <w:p w:rsidR="000610A7" w:rsidRPr="007E66EE" w:rsidRDefault="000610A7" w:rsidP="00BE276A">
      <w:pPr>
        <w:pStyle w:val="JuPara"/>
        <w:rPr>
          <w:lang w:val="hr-HR"/>
        </w:rPr>
      </w:pPr>
      <w:r w:rsidRPr="007E66EE">
        <w:rPr>
          <w:lang w:val="hr-HR"/>
        </w:rPr>
        <w:fldChar w:fldCharType="begin"/>
      </w:r>
      <w:r w:rsidRPr="007E66EE">
        <w:rPr>
          <w:lang w:val="hr-HR"/>
        </w:rPr>
        <w:instrText xml:space="preserve"> SEQ level0 \*arabic </w:instrText>
      </w:r>
      <w:r w:rsidRPr="007E66EE">
        <w:rPr>
          <w:lang w:val="hr-HR"/>
        </w:rPr>
        <w:fldChar w:fldCharType="separate"/>
      </w:r>
      <w:r w:rsidRPr="007E66EE">
        <w:rPr>
          <w:noProof/>
          <w:lang w:val="hr-HR"/>
        </w:rPr>
        <w:t>9</w:t>
      </w:r>
      <w:r w:rsidRPr="007E66EE">
        <w:rPr>
          <w:lang w:val="hr-HR"/>
        </w:rPr>
        <w:fldChar w:fldCharType="end"/>
      </w:r>
      <w:r w:rsidRPr="007E66EE">
        <w:rPr>
          <w:lang w:val="hr-HR"/>
        </w:rPr>
        <w:t xml:space="preserve">.  Glavna rasprava održana je u javnosti u Zgradi ljudskih prava u </w:t>
      </w:r>
      <w:proofErr w:type="spellStart"/>
      <w:r w:rsidRPr="007E66EE">
        <w:rPr>
          <w:lang w:val="hr-HR"/>
        </w:rPr>
        <w:t>Strasbourgu</w:t>
      </w:r>
      <w:proofErr w:type="spellEnd"/>
      <w:r w:rsidRPr="007E66EE">
        <w:rPr>
          <w:lang w:val="hr-HR"/>
        </w:rPr>
        <w:t xml:space="preserve"> dana 8. prosinca 2010. (pravilo 59. st. 3.).</w:t>
      </w:r>
    </w:p>
    <w:p w:rsidR="000610A7" w:rsidRPr="007E66EE" w:rsidRDefault="000610A7" w:rsidP="00BE276A">
      <w:pPr>
        <w:pStyle w:val="JuPara"/>
        <w:rPr>
          <w:lang w:val="hr-HR"/>
        </w:rPr>
      </w:pPr>
    </w:p>
    <w:p w:rsidR="000610A7" w:rsidRPr="007E66EE" w:rsidRDefault="000610A7" w:rsidP="00F92A55">
      <w:pPr>
        <w:pStyle w:val="JuPara"/>
        <w:keepNext/>
        <w:keepLines/>
        <w:rPr>
          <w:lang w:val="hr-HR"/>
        </w:rPr>
      </w:pPr>
      <w:r w:rsidRPr="007E66EE">
        <w:rPr>
          <w:lang w:val="hr-HR"/>
        </w:rPr>
        <w:t>Pred Sudom su se pojavili:</w:t>
      </w:r>
    </w:p>
    <w:p w:rsidR="000610A7" w:rsidRPr="007E66EE" w:rsidRDefault="000610A7" w:rsidP="00F92A55">
      <w:pPr>
        <w:pStyle w:val="JuCourt"/>
        <w:keepLines/>
        <w:rPr>
          <w:lang w:val="hr-HR"/>
        </w:rPr>
      </w:pPr>
      <w:r w:rsidRPr="007E66EE">
        <w:rPr>
          <w:lang w:val="hr-HR"/>
        </w:rPr>
        <w:t>(a)  </w:t>
      </w:r>
      <w:r w:rsidRPr="007E66EE">
        <w:rPr>
          <w:i/>
          <w:lang w:val="hr-HR"/>
        </w:rPr>
        <w:t>za Vladu</w:t>
      </w:r>
      <w:r w:rsidRPr="007E66EE">
        <w:rPr>
          <w:lang w:val="hr-HR"/>
        </w:rPr>
        <w:br/>
        <w:t>g</w:t>
      </w:r>
      <w:r w:rsidRPr="007E66EE">
        <w:rPr>
          <w:lang w:val="hr-HR"/>
        </w:rPr>
        <w:tab/>
      </w:r>
      <w:r w:rsidRPr="007E66EE">
        <w:rPr>
          <w:rStyle w:val="JuNames"/>
          <w:lang w:val="hr-HR"/>
        </w:rPr>
        <w:t xml:space="preserve">F. </w:t>
      </w:r>
      <w:proofErr w:type="spellStart"/>
      <w:r w:rsidRPr="007E66EE">
        <w:rPr>
          <w:rStyle w:val="JuNames"/>
          <w:lang w:val="hr-HR"/>
        </w:rPr>
        <w:t>Irurzun</w:t>
      </w:r>
      <w:proofErr w:type="spellEnd"/>
      <w:r w:rsidRPr="007E66EE">
        <w:rPr>
          <w:rStyle w:val="JuNames"/>
          <w:lang w:val="hr-HR"/>
        </w:rPr>
        <w:t xml:space="preserve"> </w:t>
      </w:r>
      <w:proofErr w:type="spellStart"/>
      <w:r w:rsidRPr="007E66EE">
        <w:rPr>
          <w:rStyle w:val="JuNames"/>
          <w:lang w:val="hr-HR"/>
        </w:rPr>
        <w:t>Montoro</w:t>
      </w:r>
      <w:proofErr w:type="spellEnd"/>
      <w:r w:rsidRPr="007E66EE">
        <w:rPr>
          <w:lang w:val="hr-HR"/>
        </w:rPr>
        <w:t>, državni savjetnik,</w:t>
      </w:r>
      <w:r w:rsidRPr="007E66EE">
        <w:rPr>
          <w:lang w:val="hr-HR"/>
        </w:rPr>
        <w:tab/>
      </w:r>
      <w:r w:rsidRPr="007E66EE">
        <w:rPr>
          <w:i/>
          <w:lang w:val="hr-HR"/>
        </w:rPr>
        <w:t>zastupnik</w:t>
      </w:r>
      <w:r w:rsidRPr="007E66EE">
        <w:rPr>
          <w:lang w:val="hr-HR"/>
        </w:rPr>
        <w:t>,</w:t>
      </w:r>
    </w:p>
    <w:p w:rsidR="000610A7" w:rsidRPr="007E66EE" w:rsidRDefault="000610A7" w:rsidP="00F92A55">
      <w:pPr>
        <w:pStyle w:val="JuCourt"/>
        <w:keepLines/>
        <w:rPr>
          <w:lang w:val="hr-HR"/>
        </w:rPr>
      </w:pPr>
      <w:r w:rsidRPr="007E66EE">
        <w:rPr>
          <w:lang w:val="hr-HR"/>
        </w:rPr>
        <w:t>(b)  </w:t>
      </w:r>
      <w:r w:rsidRPr="007E66EE">
        <w:rPr>
          <w:i/>
          <w:lang w:val="hr-HR"/>
        </w:rPr>
        <w:t>za podnositelje zahtjeva</w:t>
      </w:r>
      <w:r w:rsidRPr="007E66EE">
        <w:rPr>
          <w:lang w:val="hr-HR"/>
        </w:rPr>
        <w:br/>
        <w:t>g</w:t>
      </w:r>
      <w:r w:rsidRPr="007E66EE">
        <w:rPr>
          <w:lang w:val="hr-HR"/>
        </w:rPr>
        <w:tab/>
      </w:r>
      <w:r w:rsidRPr="007E66EE">
        <w:rPr>
          <w:rStyle w:val="JuNames"/>
          <w:lang w:val="hr-HR"/>
        </w:rPr>
        <w:t xml:space="preserve">L. Garcia </w:t>
      </w:r>
      <w:proofErr w:type="spellStart"/>
      <w:r w:rsidRPr="007E66EE">
        <w:rPr>
          <w:rStyle w:val="JuNames"/>
          <w:lang w:val="hr-HR"/>
        </w:rPr>
        <w:t>Quinteiro</w:t>
      </w:r>
      <w:proofErr w:type="spellEnd"/>
      <w:r w:rsidRPr="007E66EE">
        <w:rPr>
          <w:lang w:val="hr-HR"/>
        </w:rPr>
        <w:t>, odvjetnik,</w:t>
      </w:r>
      <w:r w:rsidRPr="007E66EE">
        <w:rPr>
          <w:lang w:val="hr-HR"/>
        </w:rPr>
        <w:tab/>
      </w:r>
      <w:r w:rsidRPr="007E66EE">
        <w:rPr>
          <w:i/>
          <w:lang w:val="hr-HR"/>
        </w:rPr>
        <w:t>odvjetnik</w:t>
      </w:r>
      <w:r w:rsidRPr="007E66EE">
        <w:rPr>
          <w:lang w:val="hr-HR"/>
        </w:rPr>
        <w:t>.</w:t>
      </w:r>
    </w:p>
    <w:p w:rsidR="000610A7" w:rsidRPr="007E66EE" w:rsidRDefault="000610A7">
      <w:pPr>
        <w:pStyle w:val="JuPara"/>
        <w:rPr>
          <w:lang w:val="hr-HR"/>
        </w:rPr>
      </w:pPr>
    </w:p>
    <w:p w:rsidR="000610A7" w:rsidRPr="007E66EE" w:rsidRDefault="000610A7">
      <w:pPr>
        <w:pStyle w:val="JuPara"/>
        <w:rPr>
          <w:lang w:val="hr-HR"/>
        </w:rPr>
      </w:pPr>
      <w:r w:rsidRPr="007E66EE">
        <w:rPr>
          <w:lang w:val="hr-HR"/>
        </w:rPr>
        <w:t>Sud je saslušao njihova obraćanja.</w:t>
      </w:r>
    </w:p>
    <w:p w:rsidR="000610A7" w:rsidRPr="007E66EE" w:rsidRDefault="000610A7" w:rsidP="00AF23DA">
      <w:pPr>
        <w:pStyle w:val="JuHHead"/>
        <w:rPr>
          <w:lang w:val="hr-HR"/>
        </w:rPr>
      </w:pPr>
      <w:r w:rsidRPr="007E66EE">
        <w:rPr>
          <w:lang w:val="hr-HR"/>
        </w:rPr>
        <w:lastRenderedPageBreak/>
        <w:t>ČINJENICE</w:t>
      </w:r>
    </w:p>
    <w:p w:rsidR="000610A7" w:rsidRPr="007E66EE" w:rsidRDefault="000610A7" w:rsidP="00AF23DA">
      <w:pPr>
        <w:pStyle w:val="JuHIRoman"/>
        <w:outlineLvl w:val="0"/>
        <w:rPr>
          <w:lang w:val="hr-HR"/>
        </w:rPr>
      </w:pPr>
      <w:r w:rsidRPr="007E66EE">
        <w:rPr>
          <w:lang w:val="hr-HR"/>
        </w:rPr>
        <w:t>I.  OKOLNOSTI PREDMETA</w:t>
      </w:r>
    </w:p>
    <w:p w:rsidR="000610A7" w:rsidRDefault="000610A7" w:rsidP="00F92A55">
      <w:pPr>
        <w:pStyle w:val="JuPara"/>
        <w:keepNext/>
        <w:keepLines/>
        <w:rPr>
          <w:lang w:val="hr-HR"/>
        </w:rPr>
      </w:pPr>
      <w:r w:rsidRPr="007E66EE">
        <w:rPr>
          <w:lang w:val="hr-HR"/>
        </w:rPr>
        <w:fldChar w:fldCharType="begin"/>
      </w:r>
      <w:r w:rsidRPr="007E66EE">
        <w:rPr>
          <w:lang w:val="hr-HR"/>
        </w:rPr>
        <w:instrText xml:space="preserve"> SEQ level0 \*arabic </w:instrText>
      </w:r>
      <w:r w:rsidRPr="007E66EE">
        <w:rPr>
          <w:lang w:val="hr-HR"/>
        </w:rPr>
        <w:fldChar w:fldCharType="separate"/>
      </w:r>
      <w:r w:rsidRPr="007E66EE">
        <w:rPr>
          <w:noProof/>
          <w:lang w:val="hr-HR"/>
        </w:rPr>
        <w:t>10</w:t>
      </w:r>
      <w:r w:rsidRPr="007E66EE">
        <w:rPr>
          <w:lang w:val="hr-HR"/>
        </w:rPr>
        <w:fldChar w:fldCharType="end"/>
      </w:r>
      <w:r w:rsidRPr="007E66EE">
        <w:rPr>
          <w:lang w:val="hr-HR"/>
        </w:rPr>
        <w:t>.  Podnositelji zahtjeva žive u Barceloni.</w:t>
      </w:r>
    </w:p>
    <w:p w:rsidR="000610A7" w:rsidRPr="007E66EE" w:rsidRDefault="000610A7">
      <w:pPr>
        <w:pStyle w:val="JuPara"/>
        <w:rPr>
          <w:lang w:val="hr-HR"/>
        </w:rPr>
      </w:pPr>
      <w:r w:rsidRPr="007E66EE">
        <w:rPr>
          <w:lang w:val="hr-HR"/>
        </w:rPr>
        <w:fldChar w:fldCharType="begin"/>
      </w:r>
      <w:r w:rsidRPr="007E66EE">
        <w:rPr>
          <w:lang w:val="hr-HR"/>
        </w:rPr>
        <w:instrText xml:space="preserve"> SEQ level0 \*arabic </w:instrText>
      </w:r>
      <w:r w:rsidRPr="007E66EE">
        <w:rPr>
          <w:lang w:val="hr-HR"/>
        </w:rPr>
        <w:fldChar w:fldCharType="separate"/>
      </w:r>
      <w:r w:rsidRPr="007E66EE">
        <w:rPr>
          <w:noProof/>
          <w:lang w:val="hr-HR"/>
        </w:rPr>
        <w:t>11</w:t>
      </w:r>
      <w:r w:rsidRPr="007E66EE">
        <w:rPr>
          <w:lang w:val="hr-HR"/>
        </w:rPr>
        <w:fldChar w:fldCharType="end"/>
      </w:r>
      <w:r w:rsidRPr="007E66EE">
        <w:rPr>
          <w:lang w:val="hr-HR"/>
        </w:rPr>
        <w:t xml:space="preserve">.  Bili su zaposleni kao dostavljači u društvu P., protiv kojeg su pokrenuli nekoliko sudskih postupaka pred radnim sudovima. Podnositelji su tražili priznavanje od strane poslodavca njihova posebnog statusa zaposlenika </w:t>
      </w:r>
      <w:r>
        <w:rPr>
          <w:lang w:val="hr-HR"/>
        </w:rPr>
        <w:t>koji primaju</w:t>
      </w:r>
      <w:r w:rsidRPr="007E66EE">
        <w:rPr>
          <w:lang w:val="hr-HR"/>
        </w:rPr>
        <w:t xml:space="preserve"> plać</w:t>
      </w:r>
      <w:r>
        <w:rPr>
          <w:lang w:val="hr-HR"/>
        </w:rPr>
        <w:t>u</w:t>
      </w:r>
      <w:r w:rsidRPr="007E66EE">
        <w:rPr>
          <w:lang w:val="hr-HR"/>
        </w:rPr>
        <w:t xml:space="preserve"> u svrhu uključivanja u odgovarajući sustav socijalnog osiguranja, kako je bilo potvrđeno presudama Visokog suda pravde Katalonije od 2. svibnja i 30. prosinca 1995. Predstavnici odbora dostavljača društva P. koji nisu </w:t>
      </w:r>
      <w:r>
        <w:rPr>
          <w:lang w:val="hr-HR"/>
        </w:rPr>
        <w:t>primali</w:t>
      </w:r>
      <w:r w:rsidRPr="007E66EE">
        <w:rPr>
          <w:lang w:val="hr-HR"/>
        </w:rPr>
        <w:t xml:space="preserve"> plać</w:t>
      </w:r>
      <w:r>
        <w:rPr>
          <w:lang w:val="hr-HR"/>
        </w:rPr>
        <w:t>u</w:t>
      </w:r>
      <w:r w:rsidRPr="007E66EE">
        <w:rPr>
          <w:lang w:val="hr-HR"/>
        </w:rPr>
        <w:t xml:space="preserve"> svjedočili su protiv njih u tom postupku</w:t>
      </w:r>
      <w:r w:rsidRPr="007E66EE">
        <w:rPr>
          <w:szCs w:val="24"/>
          <w:lang w:val="hr-HR" w:eastAsia="en-US"/>
        </w:rPr>
        <w:t>.</w:t>
      </w:r>
    </w:p>
    <w:p w:rsidR="000610A7" w:rsidRDefault="000610A7" w:rsidP="009603DB">
      <w:pPr>
        <w:pStyle w:val="JuPara"/>
        <w:rPr>
          <w:lang w:val="hr-HR"/>
        </w:rPr>
      </w:pPr>
      <w:r w:rsidRPr="007E66EE">
        <w:rPr>
          <w:lang w:val="hr-HR"/>
        </w:rPr>
        <w:fldChar w:fldCharType="begin"/>
      </w:r>
      <w:r w:rsidRPr="007E66EE">
        <w:rPr>
          <w:lang w:val="hr-HR"/>
        </w:rPr>
        <w:instrText xml:space="preserve"> SEQ level0 \*arabic </w:instrText>
      </w:r>
      <w:r w:rsidRPr="007E66EE">
        <w:rPr>
          <w:lang w:val="hr-HR"/>
        </w:rPr>
        <w:fldChar w:fldCharType="separate"/>
      </w:r>
      <w:r w:rsidRPr="007E66EE">
        <w:rPr>
          <w:noProof/>
          <w:lang w:val="hr-HR"/>
        </w:rPr>
        <w:t>12</w:t>
      </w:r>
      <w:r w:rsidRPr="007E66EE">
        <w:rPr>
          <w:lang w:val="hr-HR"/>
        </w:rPr>
        <w:fldChar w:fldCharType="end"/>
      </w:r>
      <w:r w:rsidRPr="007E66EE">
        <w:rPr>
          <w:lang w:val="hr-HR"/>
        </w:rPr>
        <w:t>.  Dana 21. svibnja 2001. podnositelji su osnovali sindikat N.A.A. (</w:t>
      </w:r>
      <w:proofErr w:type="spellStart"/>
      <w:r w:rsidRPr="007E66EE">
        <w:rPr>
          <w:i/>
          <w:lang w:val="hr-HR"/>
        </w:rPr>
        <w:t>Nueva</w:t>
      </w:r>
      <w:proofErr w:type="spellEnd"/>
      <w:r w:rsidRPr="007E66EE">
        <w:rPr>
          <w:i/>
          <w:lang w:val="hr-HR"/>
        </w:rPr>
        <w:t xml:space="preserve"> alternativa </w:t>
      </w:r>
      <w:proofErr w:type="spellStart"/>
      <w:r w:rsidRPr="007E66EE">
        <w:rPr>
          <w:i/>
          <w:lang w:val="hr-HR"/>
        </w:rPr>
        <w:t>asamblearia</w:t>
      </w:r>
      <w:proofErr w:type="spellEnd"/>
      <w:r w:rsidRPr="007E66EE">
        <w:rPr>
          <w:lang w:val="hr-HR"/>
        </w:rPr>
        <w:t>) s ciljem zastupanja njihovih interesa kao i svih ostalih zaposlenika koji su bili pod pritiskom od strane društv</w:t>
      </w:r>
      <w:r>
        <w:rPr>
          <w:lang w:val="hr-HR"/>
        </w:rPr>
        <w:t>a P. d</w:t>
      </w:r>
      <w:r w:rsidRPr="007E66EE">
        <w:rPr>
          <w:lang w:val="hr-HR"/>
        </w:rPr>
        <w:t xml:space="preserve">a odustanu od svojih zahtjeva glede statusa </w:t>
      </w:r>
      <w:r>
        <w:rPr>
          <w:lang w:val="hr-HR"/>
        </w:rPr>
        <w:t>primanja</w:t>
      </w:r>
      <w:r w:rsidRPr="007E66EE">
        <w:rPr>
          <w:lang w:val="hr-HR"/>
        </w:rPr>
        <w:t xml:space="preserve"> plać</w:t>
      </w:r>
      <w:r>
        <w:rPr>
          <w:lang w:val="hr-HR"/>
        </w:rPr>
        <w:t>e</w:t>
      </w:r>
      <w:r w:rsidRPr="007E66EE">
        <w:rPr>
          <w:lang w:val="hr-HR"/>
        </w:rPr>
        <w:t>. Podnositelji su se pridružili izvršnom odboru sindikata. Dana 3. kolovoza 2001</w:t>
      </w:r>
      <w:r>
        <w:rPr>
          <w:lang w:val="hr-HR"/>
        </w:rPr>
        <w:t>. p</w:t>
      </w:r>
      <w:r w:rsidRPr="007E66EE">
        <w:rPr>
          <w:lang w:val="hr-HR"/>
        </w:rPr>
        <w:t>odnositelji zahtjeva obavijestili su društvo P. o osnivanju ogranka sindikata unutar društva, kao i njegovom sasta</w:t>
      </w:r>
      <w:r>
        <w:rPr>
          <w:lang w:val="hr-HR"/>
        </w:rPr>
        <w:t>vu i njihovom</w:t>
      </w:r>
      <w:r w:rsidRPr="007E66EE">
        <w:rPr>
          <w:lang w:val="hr-HR"/>
        </w:rPr>
        <w:t xml:space="preserve"> imenovanju kao članova iz</w:t>
      </w:r>
      <w:r>
        <w:rPr>
          <w:lang w:val="hr-HR"/>
        </w:rPr>
        <w:t>vršnog odbora ogranka na tom ra</w:t>
      </w:r>
      <w:r w:rsidRPr="007E66EE">
        <w:rPr>
          <w:lang w:val="hr-HR"/>
        </w:rPr>
        <w:t>d</w:t>
      </w:r>
      <w:r>
        <w:rPr>
          <w:lang w:val="hr-HR"/>
        </w:rPr>
        <w:t>n</w:t>
      </w:r>
      <w:r w:rsidRPr="007E66EE">
        <w:rPr>
          <w:lang w:val="hr-HR"/>
        </w:rPr>
        <w:t xml:space="preserve">om mjestu. Juan </w:t>
      </w:r>
      <w:proofErr w:type="spellStart"/>
      <w:r w:rsidRPr="007E66EE">
        <w:rPr>
          <w:lang w:val="hr-HR"/>
        </w:rPr>
        <w:t>Manuel</w:t>
      </w:r>
      <w:proofErr w:type="spellEnd"/>
      <w:r w:rsidRPr="007E66EE">
        <w:rPr>
          <w:lang w:val="hr-HR"/>
        </w:rPr>
        <w:t xml:space="preserve"> Palomo </w:t>
      </w:r>
      <w:proofErr w:type="spellStart"/>
      <w:r w:rsidRPr="007E66EE">
        <w:rPr>
          <w:lang w:val="hr-HR"/>
        </w:rPr>
        <w:t>Sánchez</w:t>
      </w:r>
      <w:proofErr w:type="spellEnd"/>
      <w:r w:rsidRPr="007E66EE">
        <w:rPr>
          <w:lang w:val="hr-HR"/>
        </w:rPr>
        <w:t xml:space="preserve"> bio je sindikalni zastupnik, g. Francisco Antonio </w:t>
      </w:r>
      <w:proofErr w:type="spellStart"/>
      <w:r w:rsidRPr="007E66EE">
        <w:rPr>
          <w:lang w:val="hr-HR"/>
        </w:rPr>
        <w:t>Fernández</w:t>
      </w:r>
      <w:proofErr w:type="spellEnd"/>
      <w:r w:rsidRPr="007E66EE">
        <w:rPr>
          <w:lang w:val="hr-HR"/>
        </w:rPr>
        <w:t xml:space="preserve"> </w:t>
      </w:r>
      <w:proofErr w:type="spellStart"/>
      <w:r w:rsidRPr="007E66EE">
        <w:rPr>
          <w:lang w:val="hr-HR"/>
        </w:rPr>
        <w:t>Olmo</w:t>
      </w:r>
      <w:proofErr w:type="spellEnd"/>
      <w:r w:rsidRPr="007E66EE">
        <w:rPr>
          <w:lang w:val="hr-HR"/>
        </w:rPr>
        <w:t xml:space="preserve"> blagajnik, g. </w:t>
      </w:r>
      <w:proofErr w:type="spellStart"/>
      <w:r w:rsidRPr="007E66EE">
        <w:rPr>
          <w:lang w:val="hr-HR"/>
        </w:rPr>
        <w:t>Agustín</w:t>
      </w:r>
      <w:proofErr w:type="spellEnd"/>
      <w:r w:rsidRPr="007E66EE">
        <w:rPr>
          <w:lang w:val="hr-HR"/>
        </w:rPr>
        <w:t xml:space="preserve"> </w:t>
      </w:r>
      <w:proofErr w:type="spellStart"/>
      <w:r w:rsidRPr="007E66EE">
        <w:rPr>
          <w:lang w:val="hr-HR"/>
        </w:rPr>
        <w:t>Alvarez</w:t>
      </w:r>
      <w:proofErr w:type="spellEnd"/>
      <w:r w:rsidRPr="007E66EE">
        <w:rPr>
          <w:lang w:val="hr-HR"/>
        </w:rPr>
        <w:t xml:space="preserve"> </w:t>
      </w:r>
      <w:proofErr w:type="spellStart"/>
      <w:r w:rsidRPr="007E66EE">
        <w:rPr>
          <w:lang w:val="hr-HR"/>
        </w:rPr>
        <w:t>Lecegui</w:t>
      </w:r>
      <w:proofErr w:type="spellEnd"/>
      <w:r w:rsidRPr="007E66EE">
        <w:rPr>
          <w:lang w:val="hr-HR"/>
        </w:rPr>
        <w:t xml:space="preserve"> službenik za štampu i komunikacije</w:t>
      </w:r>
      <w:r>
        <w:rPr>
          <w:lang w:val="hr-HR"/>
        </w:rPr>
        <w:t>,</w:t>
      </w:r>
      <w:r w:rsidRPr="007E66EE">
        <w:rPr>
          <w:lang w:val="hr-HR"/>
        </w:rPr>
        <w:t xml:space="preserve"> a g. Francisco José María </w:t>
      </w:r>
      <w:proofErr w:type="spellStart"/>
      <w:r w:rsidRPr="007E66EE">
        <w:rPr>
          <w:lang w:val="hr-HR"/>
        </w:rPr>
        <w:t>Blanco</w:t>
      </w:r>
      <w:proofErr w:type="spellEnd"/>
      <w:r w:rsidRPr="007E66EE">
        <w:rPr>
          <w:lang w:val="hr-HR"/>
        </w:rPr>
        <w:t xml:space="preserve"> </w:t>
      </w:r>
      <w:proofErr w:type="spellStart"/>
      <w:r w:rsidRPr="007E66EE">
        <w:rPr>
          <w:lang w:val="hr-HR"/>
        </w:rPr>
        <w:t>Balbas</w:t>
      </w:r>
      <w:proofErr w:type="spellEnd"/>
      <w:r w:rsidRPr="007E66EE">
        <w:rPr>
          <w:lang w:val="hr-HR"/>
        </w:rPr>
        <w:t xml:space="preserve"> organizacijski službenik. Od ustanovljenja sindikata nije došlo do nikakvih promjena što se tiče imenovanja njegovih članova ili njihovih dužnosti.</w:t>
      </w:r>
    </w:p>
    <w:p w:rsidR="000610A7" w:rsidRPr="007E66EE" w:rsidRDefault="000610A7" w:rsidP="009603DB">
      <w:pPr>
        <w:pStyle w:val="JuPara"/>
        <w:rPr>
          <w:lang w:val="hr-HR"/>
        </w:rPr>
      </w:pPr>
      <w:r w:rsidRPr="007E66EE">
        <w:rPr>
          <w:lang w:val="hr-HR"/>
        </w:rPr>
        <w:fldChar w:fldCharType="begin"/>
      </w:r>
      <w:r w:rsidRPr="007E66EE">
        <w:rPr>
          <w:lang w:val="hr-HR"/>
        </w:rPr>
        <w:instrText xml:space="preserve"> SEQ level0 \*arabic </w:instrText>
      </w:r>
      <w:r w:rsidRPr="007E66EE">
        <w:rPr>
          <w:lang w:val="hr-HR"/>
        </w:rPr>
        <w:fldChar w:fldCharType="separate"/>
      </w:r>
      <w:r w:rsidRPr="007E66EE">
        <w:rPr>
          <w:noProof/>
          <w:lang w:val="hr-HR"/>
        </w:rPr>
        <w:t>13</w:t>
      </w:r>
      <w:r w:rsidRPr="007E66EE">
        <w:rPr>
          <w:lang w:val="hr-HR"/>
        </w:rPr>
        <w:fldChar w:fldCharType="end"/>
      </w:r>
      <w:r w:rsidRPr="007E66EE">
        <w:rPr>
          <w:lang w:val="hr-HR"/>
        </w:rPr>
        <w:t>.  Sindikat N.A.A. objavljivao je mjesečni bilten. Izdanje iz ožujka 2002. (</w:t>
      </w:r>
      <w:r w:rsidRPr="007E66EE">
        <w:rPr>
          <w:i/>
          <w:lang w:val="hr-HR"/>
        </w:rPr>
        <w:t>sic</w:t>
      </w:r>
      <w:r w:rsidRPr="007E66EE">
        <w:rPr>
          <w:lang w:val="hr-HR"/>
        </w:rPr>
        <w:t>) priopćilo je o presudi Radnog suda u Barceloni br. 13 od 2. travnja 2002, koja je djelomice odobrila potraživanja podnos</w:t>
      </w:r>
      <w:r>
        <w:rPr>
          <w:lang w:val="hr-HR"/>
        </w:rPr>
        <w:t>itelja te naredila društvu P. D</w:t>
      </w:r>
      <w:r w:rsidRPr="007E66EE">
        <w:rPr>
          <w:lang w:val="hr-HR"/>
        </w:rPr>
        <w:t>a</w:t>
      </w:r>
      <w:r>
        <w:rPr>
          <w:lang w:val="hr-HR"/>
        </w:rPr>
        <w:t xml:space="preserve"> </w:t>
      </w:r>
      <w:r w:rsidRPr="007E66EE">
        <w:rPr>
          <w:lang w:val="hr-HR"/>
        </w:rPr>
        <w:t>im plati određene iznose na ime plaća koje su</w:t>
      </w:r>
      <w:r>
        <w:rPr>
          <w:lang w:val="hr-HR"/>
        </w:rPr>
        <w:t xml:space="preserve"> </w:t>
      </w:r>
      <w:r w:rsidRPr="007E66EE">
        <w:rPr>
          <w:lang w:val="hr-HR"/>
        </w:rPr>
        <w:t>im dugovane.</w:t>
      </w:r>
    </w:p>
    <w:p w:rsidR="000610A7" w:rsidRDefault="000610A7" w:rsidP="009603DB">
      <w:pPr>
        <w:pStyle w:val="JuPara"/>
        <w:rPr>
          <w:lang w:val="hr-HR"/>
        </w:rPr>
      </w:pPr>
      <w:r w:rsidRPr="007E66EE">
        <w:rPr>
          <w:lang w:val="hr-HR"/>
        </w:rPr>
        <w:t>Na naslovnici biltena nalazila se karikatu</w:t>
      </w:r>
      <w:r>
        <w:rPr>
          <w:lang w:val="hr-HR"/>
        </w:rPr>
        <w:t>ra upravitelja kadrovske službe</w:t>
      </w:r>
      <w:r w:rsidRPr="007E66EE">
        <w:rPr>
          <w:lang w:val="hr-HR"/>
        </w:rPr>
        <w:t xml:space="preserve"> G., kako sjedi iza stola ispod kojeg se odostraga vidi osoba koja kleči na sve četiri, zajedno s još dvoje zaposlenika</w:t>
      </w:r>
      <w:r>
        <w:rPr>
          <w:lang w:val="hr-HR"/>
        </w:rPr>
        <w:t>, osobama A. i B. k</w:t>
      </w:r>
      <w:r w:rsidRPr="007E66EE">
        <w:rPr>
          <w:lang w:val="hr-HR"/>
        </w:rPr>
        <w:t xml:space="preserve">oji su također bili zastupnici odbora dostavljača koji nisu </w:t>
      </w:r>
      <w:r>
        <w:rPr>
          <w:lang w:val="hr-HR"/>
        </w:rPr>
        <w:t>primali</w:t>
      </w:r>
      <w:r w:rsidRPr="007E66EE">
        <w:rPr>
          <w:lang w:val="hr-HR"/>
        </w:rPr>
        <w:t xml:space="preserve"> plać</w:t>
      </w:r>
      <w:r>
        <w:rPr>
          <w:lang w:val="hr-HR"/>
        </w:rPr>
        <w:t>u</w:t>
      </w:r>
      <w:r w:rsidRPr="007E66EE">
        <w:rPr>
          <w:lang w:val="hr-HR"/>
        </w:rPr>
        <w:t xml:space="preserve"> i koji su promatrali scenu čekajući svoj red da zadovolje upravitelja. Unutar biltena nalazila su se dva članka koja su žestoko osudila činjenicu da</w:t>
      </w:r>
      <w:r>
        <w:rPr>
          <w:lang w:val="hr-HR"/>
        </w:rPr>
        <w:t xml:space="preserve"> </w:t>
      </w:r>
      <w:r w:rsidRPr="007E66EE">
        <w:rPr>
          <w:lang w:val="hr-HR"/>
        </w:rPr>
        <w:t>su ta dva pojedinca svjedočila u korist društva P. u postupku koji su podnositelji zahtjeva podnijeli protiv njihova poslodavca. Bilten je podijeljen među zaposlenicima i objavljen na oglasnoj ploči sindikata N.A.A. koja se nalazila u prostorijama društva.</w:t>
      </w:r>
    </w:p>
    <w:p w:rsidR="000610A7" w:rsidRDefault="000610A7" w:rsidP="009603DB">
      <w:pPr>
        <w:pStyle w:val="JuPara"/>
        <w:rPr>
          <w:lang w:val="hr-HR"/>
        </w:rPr>
      </w:pPr>
      <w:r w:rsidRPr="007E66EE">
        <w:rPr>
          <w:lang w:val="hr-HR"/>
        </w:rPr>
        <w:fldChar w:fldCharType="begin"/>
      </w:r>
      <w:r w:rsidRPr="007E66EE">
        <w:rPr>
          <w:lang w:val="hr-HR"/>
        </w:rPr>
        <w:instrText xml:space="preserve"> SEQ level0 \*arabic </w:instrText>
      </w:r>
      <w:r w:rsidRPr="007E66EE">
        <w:rPr>
          <w:lang w:val="hr-HR"/>
        </w:rPr>
        <w:fldChar w:fldCharType="separate"/>
      </w:r>
      <w:r w:rsidRPr="007E66EE">
        <w:rPr>
          <w:noProof/>
          <w:lang w:val="hr-HR"/>
        </w:rPr>
        <w:t>14</w:t>
      </w:r>
      <w:r w:rsidRPr="007E66EE">
        <w:rPr>
          <w:lang w:val="hr-HR"/>
        </w:rPr>
        <w:fldChar w:fldCharType="end"/>
      </w:r>
      <w:r w:rsidRPr="007E66EE">
        <w:rPr>
          <w:lang w:val="hr-HR"/>
        </w:rPr>
        <w:t>.  Dana 3. lipnja 2002</w:t>
      </w:r>
      <w:r>
        <w:rPr>
          <w:lang w:val="hr-HR"/>
        </w:rPr>
        <w:t>. d</w:t>
      </w:r>
      <w:r w:rsidRPr="007E66EE">
        <w:rPr>
          <w:lang w:val="hr-HR"/>
        </w:rPr>
        <w:t>ruštvo je obavijestilo podnositelje zahtjeva o njihovom otkazu iz razloga ozbiljnog nedoličnog ponašanje, naime ra</w:t>
      </w:r>
      <w:r>
        <w:rPr>
          <w:lang w:val="hr-HR"/>
        </w:rPr>
        <w:t>di povrede ugleda osoba G., A. i</w:t>
      </w:r>
      <w:r w:rsidRPr="007E66EE">
        <w:rPr>
          <w:lang w:val="hr-HR"/>
        </w:rPr>
        <w:t xml:space="preserve"> B. Prema članku 54. st. 1 i 2 (c) Uredbi o radu koje su predviđale otkaz ugovora o radu u sl</w:t>
      </w:r>
      <w:r>
        <w:rPr>
          <w:lang w:val="hr-HR"/>
        </w:rPr>
        <w:t>u</w:t>
      </w:r>
      <w:r w:rsidRPr="007E66EE">
        <w:rPr>
          <w:lang w:val="hr-HR"/>
        </w:rPr>
        <w:t xml:space="preserve">čaju kad zaposlenik </w:t>
      </w:r>
      <w:r>
        <w:rPr>
          <w:lang w:val="hr-HR"/>
        </w:rPr>
        <w:t>s</w:t>
      </w:r>
      <w:r w:rsidRPr="007E66EE">
        <w:rPr>
          <w:lang w:val="hr-HR"/>
        </w:rPr>
        <w:t>kriv</w:t>
      </w:r>
      <w:r>
        <w:rPr>
          <w:lang w:val="hr-HR"/>
        </w:rPr>
        <w:t>i</w:t>
      </w:r>
      <w:r w:rsidRPr="007E66EE">
        <w:rPr>
          <w:lang w:val="hr-HR"/>
        </w:rPr>
        <w:t xml:space="preserve"> ozbiljno i nemarno neispunjenje svojih ugovornih obveza.</w:t>
      </w:r>
    </w:p>
    <w:p w:rsidR="000610A7" w:rsidRPr="007E66EE" w:rsidRDefault="000610A7" w:rsidP="009603DB">
      <w:pPr>
        <w:pStyle w:val="JuPara"/>
        <w:rPr>
          <w:lang w:val="hr-HR"/>
        </w:rPr>
      </w:pPr>
      <w:r w:rsidRPr="007E66EE">
        <w:rPr>
          <w:lang w:val="hr-HR"/>
        </w:rPr>
        <w:lastRenderedPageBreak/>
        <w:fldChar w:fldCharType="begin"/>
      </w:r>
      <w:r w:rsidRPr="007E66EE">
        <w:rPr>
          <w:lang w:val="hr-HR"/>
        </w:rPr>
        <w:instrText xml:space="preserve"> SEQ level0 \*arabic </w:instrText>
      </w:r>
      <w:r w:rsidRPr="007E66EE">
        <w:rPr>
          <w:lang w:val="hr-HR"/>
        </w:rPr>
        <w:fldChar w:fldCharType="separate"/>
      </w:r>
      <w:r w:rsidRPr="007E66EE">
        <w:rPr>
          <w:noProof/>
          <w:lang w:val="hr-HR"/>
        </w:rPr>
        <w:t>15</w:t>
      </w:r>
      <w:r w:rsidRPr="007E66EE">
        <w:rPr>
          <w:lang w:val="hr-HR"/>
        </w:rPr>
        <w:fldChar w:fldCharType="end"/>
      </w:r>
      <w:r w:rsidRPr="007E66EE">
        <w:rPr>
          <w:lang w:val="hr-HR"/>
        </w:rPr>
        <w:t>.  Podnositelji su se žalili protiv te odluke pred Radnim sudom u Barceloni br. 17, koji je svojom presudom od 8. studenog 2002. odbio njihovu žalbu našavši da</w:t>
      </w:r>
      <w:r>
        <w:rPr>
          <w:lang w:val="hr-HR"/>
        </w:rPr>
        <w:t xml:space="preserve"> </w:t>
      </w:r>
      <w:r w:rsidRPr="007E66EE">
        <w:rPr>
          <w:lang w:val="hr-HR"/>
        </w:rPr>
        <w:t xml:space="preserve">su njihovi otkazi bili opravdani u skladu s člankom 54. st. 1 i 2 (c) Uredbi o radu. Sud je </w:t>
      </w:r>
      <w:r>
        <w:rPr>
          <w:lang w:val="hr-HR"/>
        </w:rPr>
        <w:t>zaključio</w:t>
      </w:r>
      <w:r w:rsidRPr="007E66EE">
        <w:rPr>
          <w:lang w:val="hr-HR"/>
        </w:rPr>
        <w:t xml:space="preserve"> da se odluka društva o otkazu podnositelja zahtjeva temeljila na istinskom i ozbiljnom </w:t>
      </w:r>
      <w:r>
        <w:rPr>
          <w:lang w:val="hr-HR"/>
        </w:rPr>
        <w:t>razlogu</w:t>
      </w:r>
      <w:r w:rsidRPr="007E66EE">
        <w:rPr>
          <w:lang w:val="hr-HR"/>
        </w:rPr>
        <w:t xml:space="preserve">, naime objavljivanju i prikazivanju na oglasnoj ploči društva karikature i dvaju članaka koji su bili uvredljivi i štetni za dostojanstvo dotičnih osoba. </w:t>
      </w:r>
      <w:r>
        <w:rPr>
          <w:lang w:val="hr-HR"/>
        </w:rPr>
        <w:t>Prvi članak pod naslovom „Čiji svjedoci?</w:t>
      </w:r>
      <w:r w:rsidRPr="007E66EE">
        <w:rPr>
          <w:lang w:val="hr-HR"/>
        </w:rPr>
        <w:t xml:space="preserve"> Njihovi, naravno” sadržavao je karikature na kojem su osoba A. i B. </w:t>
      </w:r>
      <w:r>
        <w:rPr>
          <w:lang w:val="hr-HR"/>
        </w:rPr>
        <w:t>i</w:t>
      </w:r>
      <w:r w:rsidRPr="007E66EE">
        <w:rPr>
          <w:lang w:val="hr-HR"/>
        </w:rPr>
        <w:t>male usta začepljena rupčićem zavezanim oko njihovih glava, a ispod koje je bio idući tekst:</w:t>
      </w:r>
    </w:p>
    <w:p w:rsidR="000610A7" w:rsidRPr="007E66EE" w:rsidRDefault="000610A7" w:rsidP="009603DB">
      <w:pPr>
        <w:pStyle w:val="JuQuot"/>
        <w:rPr>
          <w:lang w:val="hr-HR"/>
        </w:rPr>
      </w:pPr>
      <w:r w:rsidRPr="007E66EE">
        <w:rPr>
          <w:lang w:val="hr-HR"/>
        </w:rPr>
        <w:t>“Znali smo tko su oni i kako su se ponašali, ali nismo znali koliko su daleko bili spremni ići kako bi zadržali svoje fotelje i ugodne poslove na kojima ne rade ništa.</w:t>
      </w:r>
    </w:p>
    <w:p w:rsidR="000610A7" w:rsidRDefault="000610A7" w:rsidP="009603DB">
      <w:pPr>
        <w:pStyle w:val="JuQuot"/>
        <w:rPr>
          <w:lang w:val="hr-HR"/>
        </w:rPr>
      </w:pPr>
      <w:r w:rsidRPr="007E66EE">
        <w:rPr>
          <w:lang w:val="hr-HR"/>
        </w:rPr>
        <w:t>Kao zaposlenici društva P. mi zarađujemo za život pro</w:t>
      </w:r>
      <w:r>
        <w:rPr>
          <w:lang w:val="hr-HR"/>
        </w:rPr>
        <w:t>dajući dobra na ulici. A. i B. z</w:t>
      </w:r>
      <w:r w:rsidRPr="007E66EE">
        <w:rPr>
          <w:lang w:val="hr-HR"/>
        </w:rPr>
        <w:t>arađuju prodajući radnike pred sudovima. Budući da nisu bili zadovoljni samo potpisivanjem ugovora koji su se protivili kolektivnim interesima, sada su otišli korak dalje – pljačkaju i kradu uz potpunu nekažnjivost, usred bijela dan</w:t>
      </w:r>
      <w:r>
        <w:rPr>
          <w:lang w:val="hr-HR"/>
        </w:rPr>
        <w:t>a, sa smjelošću ljudi koji se os</w:t>
      </w:r>
      <w:r w:rsidRPr="007E66EE">
        <w:rPr>
          <w:lang w:val="hr-HR"/>
        </w:rPr>
        <w:t>jećaju potpuno nedodirljivima. Igraju se bogova.</w:t>
      </w:r>
    </w:p>
    <w:p w:rsidR="000610A7" w:rsidRPr="007E66EE" w:rsidRDefault="000610A7" w:rsidP="009603DB">
      <w:pPr>
        <w:pStyle w:val="JuQuot"/>
        <w:rPr>
          <w:lang w:val="hr-HR"/>
        </w:rPr>
      </w:pPr>
      <w:r w:rsidRPr="007E66EE">
        <w:rPr>
          <w:lang w:val="hr-HR"/>
        </w:rPr>
        <w:t>...ali oni, predsjednik i tajnik zastupnika zaposlenija, poput pasa čuvara pristali su se prevrnuti i veseliti samo kako bi ih njihov gospodar potapšao po leđima. ...”</w:t>
      </w:r>
    </w:p>
    <w:p w:rsidR="000610A7" w:rsidRDefault="000610A7" w:rsidP="009603DB">
      <w:pPr>
        <w:pStyle w:val="JuPara"/>
        <w:rPr>
          <w:lang w:val="hr-HR"/>
        </w:rPr>
      </w:pPr>
      <w:r w:rsidRPr="007E66EE">
        <w:rPr>
          <w:lang w:val="hr-HR"/>
        </w:rPr>
        <w:t>Sud je primijetio da je tekst bio odgovor na događanja tijekom postupka koji su podnositelji zahtjeva vodili pred Radnim sudom u Barceloni</w:t>
      </w:r>
      <w:r>
        <w:rPr>
          <w:lang w:val="hr-HR"/>
        </w:rPr>
        <w:t xml:space="preserve"> br. 13, u kojem su se A. i B. p</w:t>
      </w:r>
      <w:r w:rsidRPr="007E66EE">
        <w:rPr>
          <w:lang w:val="hr-HR"/>
        </w:rPr>
        <w:t>ojavili kao svjedoci na strani njihova poslodavca</w:t>
      </w:r>
      <w:r>
        <w:rPr>
          <w:lang w:val="hr-HR"/>
        </w:rPr>
        <w:t>,</w:t>
      </w:r>
      <w:r w:rsidRPr="007E66EE">
        <w:rPr>
          <w:lang w:val="hr-HR"/>
        </w:rPr>
        <w:t xml:space="preserve"> a protiv interesa podnositelja</w:t>
      </w:r>
      <w:r>
        <w:rPr>
          <w:lang w:val="hr-HR"/>
        </w:rPr>
        <w:t xml:space="preserve"> zahtjeva</w:t>
      </w:r>
      <w:r w:rsidRPr="007E66EE">
        <w:rPr>
          <w:lang w:val="hr-HR"/>
        </w:rPr>
        <w:t>.</w:t>
      </w:r>
    </w:p>
    <w:p w:rsidR="000610A7" w:rsidRPr="007E66EE" w:rsidRDefault="000610A7" w:rsidP="009603DB">
      <w:pPr>
        <w:pStyle w:val="JuPara"/>
        <w:rPr>
          <w:lang w:val="hr-HR"/>
        </w:rPr>
      </w:pPr>
      <w:r>
        <w:rPr>
          <w:lang w:val="hr-HR"/>
        </w:rPr>
        <w:t>Članak pod nazivom „</w:t>
      </w:r>
      <w:r w:rsidRPr="007E66EE">
        <w:rPr>
          <w:lang w:val="hr-HR"/>
        </w:rPr>
        <w:t>Ako iznajmiš svoju guzicu, ne možeš srati kad god poželiš” glasio je kako slijedi:</w:t>
      </w:r>
    </w:p>
    <w:p w:rsidR="000610A7" w:rsidRDefault="000610A7" w:rsidP="009603DB">
      <w:pPr>
        <w:pStyle w:val="JuQuot"/>
        <w:rPr>
          <w:lang w:val="hr-HR"/>
        </w:rPr>
      </w:pPr>
      <w:r w:rsidRPr="007E66EE">
        <w:rPr>
          <w:lang w:val="hr-HR"/>
        </w:rPr>
        <w:t xml:space="preserve">“Ukoliko pripadaš radničkom vijeću i moraš potpisati ugovore sa svojim poslodavcem koji se nikad neće </w:t>
      </w:r>
      <w:proofErr w:type="spellStart"/>
      <w:r w:rsidRPr="007E66EE">
        <w:rPr>
          <w:lang w:val="hr-HR"/>
        </w:rPr>
        <w:t>ispoštovati</w:t>
      </w:r>
      <w:proofErr w:type="spellEnd"/>
      <w:r w:rsidRPr="007E66EE">
        <w:rPr>
          <w:lang w:val="hr-HR"/>
        </w:rPr>
        <w:t>, samo kako bi šutio i pristao na promjene koje koriste jedino njima, rezanjima plaća i raznoraznim grafikonima rada, onda si svoje dostojanstvo zamijenio za fotelju [i] imaš upitnu zaslugu postizanja iste razine zloglasnosti kao političari ili policajci. Vidiš, šutiš i lukavo pristaješ na svakojake podvale. Ako iznajmiš svoju guzicu, ne možeš srati kad god poželiš. Ako si prijezirni “profesionalni sindikalist” i prodao si svoju dušu sindikatu, nikad n</w:t>
      </w:r>
      <w:r>
        <w:rPr>
          <w:lang w:val="hr-HR"/>
        </w:rPr>
        <w:t>e</w:t>
      </w:r>
      <w:r w:rsidRPr="007E66EE">
        <w:rPr>
          <w:lang w:val="hr-HR"/>
        </w:rPr>
        <w:t>ćeš u sebi imati val iskrenosti jer bi time tvoj status bio ugrožen. Kažeš što ti sindikat naloži, a budući da su sindikati “prezervativi” za slobodu, tvoja su usta zapečaćena baš poput tvog analnog sfinktera budući da si iznajmio svoju guzicu i ne možeš srati kad god poželiš.</w:t>
      </w:r>
    </w:p>
    <w:p w:rsidR="000610A7" w:rsidRPr="007E66EE" w:rsidRDefault="000610A7" w:rsidP="009603DB">
      <w:pPr>
        <w:pStyle w:val="JuQuot"/>
        <w:rPr>
          <w:lang w:val="hr-HR"/>
        </w:rPr>
      </w:pPr>
      <w:r w:rsidRPr="007E66EE">
        <w:rPr>
          <w:lang w:val="hr-HR"/>
        </w:rPr>
        <w:t>Vidiš nepravde izvršene nad tvojim kolegama, potpuno neracionalno rješavanje njihovi</w:t>
      </w:r>
      <w:r>
        <w:rPr>
          <w:lang w:val="hr-HR"/>
        </w:rPr>
        <w:t>h</w:t>
      </w:r>
      <w:r w:rsidRPr="007E66EE">
        <w:rPr>
          <w:lang w:val="hr-HR"/>
        </w:rPr>
        <w:t xml:space="preserve"> problema i konstantan progon kojem su izloženi, ali ništa ne govoriš iz straha da ćeš privući pažnju na sebe. Nekad davno, u dobrim starim vremenima, bio si pobunjenik koji je kritizirao sustav – proklinjao si </w:t>
      </w:r>
      <w:proofErr w:type="spellStart"/>
      <w:r w:rsidRPr="007E66EE">
        <w:rPr>
          <w:lang w:val="hr-HR"/>
        </w:rPr>
        <w:t>konvencionalizam</w:t>
      </w:r>
      <w:proofErr w:type="spellEnd"/>
      <w:r w:rsidRPr="007E66EE">
        <w:rPr>
          <w:lang w:val="hr-HR"/>
        </w:rPr>
        <w:t xml:space="preserve"> i bunio se protiv pravila i uredbi. Bio si jedak, dinamičan, odrješit, impulzivan, veseo. Ali nekoliko usluga koje si primio postepen</w:t>
      </w:r>
      <w:r>
        <w:rPr>
          <w:lang w:val="hr-HR"/>
        </w:rPr>
        <w:t>o</w:t>
      </w:r>
      <w:r w:rsidRPr="007E66EE">
        <w:rPr>
          <w:lang w:val="hr-HR"/>
        </w:rPr>
        <w:t xml:space="preserve"> su ohladile tvoju vatrenu narav, podgrijali tvoje samopouzdanje i stavili prigušivače ne tvoje osjećaje. S vremena na vrijeme uhvati te nostalgija i poželiš prdnuti, ali tvoj je sfinkter zapečaćen budući da si iznajmio svoju guzicu i ne možeš srati kad god poželiš.</w:t>
      </w:r>
    </w:p>
    <w:p w:rsidR="000610A7" w:rsidRPr="007E66EE" w:rsidRDefault="000610A7" w:rsidP="009603DB">
      <w:pPr>
        <w:pStyle w:val="JuQuot"/>
        <w:rPr>
          <w:lang w:val="hr-HR"/>
        </w:rPr>
      </w:pPr>
      <w:r w:rsidRPr="007E66EE">
        <w:rPr>
          <w:lang w:val="hr-HR"/>
        </w:rPr>
        <w:t>Dosta ti je tvog posla, ljut si, tjeskoban, pod stresom i u očaju zbog duljeg radnog vremena i odgovornosti, pr</w:t>
      </w:r>
      <w:r>
        <w:rPr>
          <w:lang w:val="hr-HR"/>
        </w:rPr>
        <w:t>o</w:t>
      </w:r>
      <w:r w:rsidRPr="007E66EE">
        <w:rPr>
          <w:lang w:val="hr-HR"/>
        </w:rPr>
        <w:t xml:space="preserve">izvoda, promidžbi i pritisaka. Mogao bi raditi bilo gdje i </w:t>
      </w:r>
      <w:r w:rsidRPr="007E66EE">
        <w:rPr>
          <w:lang w:val="hr-HR"/>
        </w:rPr>
        <w:lastRenderedPageBreak/>
        <w:t>bilo što bez da se moraš probuditi kad ostali idu u krevet. Sve bi mogao prekinuti, poderati u komadiće, slomiti i srušiti ... ali ruke su ti svezane kreditima, posudbama i dugovima. Slomljen si novim džipom, izvanškolskim aktivnostima svoje djece i kreditom na kuću od dvadeset pet godina. I puštaš da te ponižavaju, progutaš svoj ponos, začepiš usta i prihvati</w:t>
      </w:r>
      <w:r>
        <w:rPr>
          <w:lang w:val="hr-HR"/>
        </w:rPr>
        <w:t>š</w:t>
      </w:r>
      <w:r w:rsidRPr="007E66EE">
        <w:rPr>
          <w:lang w:val="hr-HR"/>
        </w:rPr>
        <w:t>, budući da si iznajmio svoju guzicu i ne možeš srati kad god poželiš.”</w:t>
      </w:r>
    </w:p>
    <w:p w:rsidR="000610A7" w:rsidRDefault="000610A7" w:rsidP="009603DB">
      <w:pPr>
        <w:pStyle w:val="JuPara"/>
        <w:rPr>
          <w:lang w:val="hr-HR"/>
        </w:rPr>
      </w:pPr>
      <w:r w:rsidRPr="007E66EE">
        <w:rPr>
          <w:lang w:val="hr-HR"/>
        </w:rPr>
        <w:t>Bilten je bio podijeljen zaposlenicima i objavljen na oglasnoj ploči sindikata u prostorijama društva.</w:t>
      </w:r>
    </w:p>
    <w:p w:rsidR="000610A7" w:rsidRDefault="000610A7" w:rsidP="009603DB">
      <w:pPr>
        <w:pStyle w:val="JuPara"/>
        <w:rPr>
          <w:lang w:val="hr-HR"/>
        </w:rPr>
      </w:pPr>
      <w:r w:rsidRPr="007E66EE">
        <w:rPr>
          <w:lang w:val="hr-HR"/>
        </w:rPr>
        <w:t xml:space="preserve">Radni sud prvo je primijetio da je uzrok otkaza bio sadržaj biltena, a ne članstvo podnositelja zahtjeva u sindikatu. Zatim se u svojoj presudi pozvao na svoju praksu glede prava na slobodu izražavanja u kontekstu </w:t>
      </w:r>
      <w:proofErr w:type="spellStart"/>
      <w:r w:rsidRPr="007E66EE">
        <w:rPr>
          <w:lang w:val="hr-HR"/>
        </w:rPr>
        <w:t>radnopravnih</w:t>
      </w:r>
      <w:proofErr w:type="spellEnd"/>
      <w:r w:rsidRPr="007E66EE">
        <w:rPr>
          <w:lang w:val="hr-HR"/>
        </w:rPr>
        <w:t xml:space="preserve"> odnosa i</w:t>
      </w:r>
      <w:r>
        <w:rPr>
          <w:lang w:val="hr-HR"/>
        </w:rPr>
        <w:t xml:space="preserve"> </w:t>
      </w:r>
      <w:r w:rsidRPr="007E66EE">
        <w:rPr>
          <w:lang w:val="hr-HR"/>
        </w:rPr>
        <w:t xml:space="preserve">na činjenicu da ona nije neograničena. Smatrao je da se granice tog prava moraju tumačiti u skladu s načelom dobre vjere koja je u </w:t>
      </w:r>
      <w:proofErr w:type="spellStart"/>
      <w:r w:rsidRPr="007E66EE">
        <w:rPr>
          <w:lang w:val="hr-HR"/>
        </w:rPr>
        <w:t>radnopravim</w:t>
      </w:r>
      <w:proofErr w:type="spellEnd"/>
      <w:r w:rsidRPr="007E66EE">
        <w:rPr>
          <w:lang w:val="hr-HR"/>
        </w:rPr>
        <w:t xml:space="preserve"> odnosima nužno uključivala poštivanje interesa poslodavca i minimalne zahtjeve suživota u profesionalnoj okolini. Presuda je ponovila praksu Ustavnog suda koja je određivala da je pravo na slobodu izražavanja bilo podložno ograničenjima koja su proizlazila iz radnih odnosa, budući da je ugovor o radu stvarao niz prava i uzajamnih obveza koja su ograničavala pravo na slobodu izražavanja. Iz tog razloga neke manifestacije ovog prava koje bi mogle biti opravdane u određenom kontekstu nisu bile opravdane u kontekstu radnih odnosa, iako zahtjev postupanja u dobroj vjeri nije uvijek implicirao i dužnost lojalnosti do te mjere da bi se zaposlenik podvrgao interesima poslodavca.</w:t>
      </w:r>
    </w:p>
    <w:p w:rsidR="000610A7" w:rsidRDefault="000610A7" w:rsidP="009603DB">
      <w:pPr>
        <w:pStyle w:val="JuPara"/>
        <w:rPr>
          <w:lang w:val="hr-HR"/>
        </w:rPr>
      </w:pPr>
      <w:r w:rsidRPr="007E66EE">
        <w:rPr>
          <w:lang w:val="hr-HR"/>
        </w:rPr>
        <w:t>Što se tiče sadržaja biltena, sud je zauzeo stav da su karikatura na naslovnici, zajedno sa člancima unutra bili uvredljivi i</w:t>
      </w:r>
      <w:r>
        <w:rPr>
          <w:lang w:val="hr-HR"/>
        </w:rPr>
        <w:t xml:space="preserve"> </w:t>
      </w:r>
      <w:r w:rsidRPr="007E66EE">
        <w:rPr>
          <w:lang w:val="hr-HR"/>
        </w:rPr>
        <w:t>da su pr</w:t>
      </w:r>
      <w:r>
        <w:rPr>
          <w:lang w:val="hr-HR"/>
        </w:rPr>
        <w:t>emašil</w:t>
      </w:r>
      <w:r w:rsidRPr="007E66EE">
        <w:rPr>
          <w:lang w:val="hr-HR"/>
        </w:rPr>
        <w:t>i granice slobode izražavanja i informiranja, te da su povrijedil</w:t>
      </w:r>
      <w:r>
        <w:rPr>
          <w:lang w:val="hr-HR"/>
        </w:rPr>
        <w:t>i</w:t>
      </w:r>
      <w:r w:rsidRPr="007E66EE">
        <w:rPr>
          <w:lang w:val="hr-HR"/>
        </w:rPr>
        <w:t xml:space="preserve"> čast i dostojanstvo upravitelja kadrovske službe i </w:t>
      </w:r>
      <w:r>
        <w:rPr>
          <w:lang w:val="hr-HR"/>
        </w:rPr>
        <w:t>dostavljač</w:t>
      </w:r>
      <w:r w:rsidRPr="007E66EE">
        <w:rPr>
          <w:lang w:val="hr-HR"/>
        </w:rPr>
        <w:t>a A. i B., kao i da su naštetili ugledu društva P. Konačno, sud je objasnio kako otkazi nisu</w:t>
      </w:r>
      <w:r>
        <w:rPr>
          <w:lang w:val="hr-HR"/>
        </w:rPr>
        <w:t xml:space="preserve"> </w:t>
      </w:r>
      <w:r w:rsidRPr="007E66EE">
        <w:rPr>
          <w:lang w:val="hr-HR"/>
        </w:rPr>
        <w:t>mogli biti poništeni budući da</w:t>
      </w:r>
      <w:r>
        <w:rPr>
          <w:lang w:val="hr-HR"/>
        </w:rPr>
        <w:t xml:space="preserve"> </w:t>
      </w:r>
      <w:r w:rsidRPr="007E66EE">
        <w:rPr>
          <w:lang w:val="hr-HR"/>
        </w:rPr>
        <w:t>su se temeljili na ozbiljno nedoličnom ponašanju u smislu zakona, te je zaključio da nije došlo do povrede temeljnih prava podnositelja zahtjeva.</w:t>
      </w:r>
    </w:p>
    <w:p w:rsidR="000610A7" w:rsidRDefault="000610A7" w:rsidP="009603DB">
      <w:pPr>
        <w:pStyle w:val="JuPara"/>
        <w:rPr>
          <w:lang w:val="hr-HR"/>
        </w:rPr>
      </w:pPr>
      <w:r w:rsidRPr="007E66EE">
        <w:rPr>
          <w:lang w:val="hr-HR"/>
        </w:rPr>
        <w:fldChar w:fldCharType="begin"/>
      </w:r>
      <w:r w:rsidRPr="007E66EE">
        <w:rPr>
          <w:lang w:val="hr-HR"/>
        </w:rPr>
        <w:instrText xml:space="preserve"> SEQ level0 \*arabic </w:instrText>
      </w:r>
      <w:r w:rsidRPr="007E66EE">
        <w:rPr>
          <w:lang w:val="hr-HR"/>
        </w:rPr>
        <w:fldChar w:fldCharType="separate"/>
      </w:r>
      <w:r w:rsidRPr="007E66EE">
        <w:rPr>
          <w:noProof/>
          <w:lang w:val="hr-HR"/>
        </w:rPr>
        <w:t>16</w:t>
      </w:r>
      <w:r w:rsidRPr="007E66EE">
        <w:rPr>
          <w:lang w:val="hr-HR"/>
        </w:rPr>
        <w:fldChar w:fldCharType="end"/>
      </w:r>
      <w:r w:rsidRPr="007E66EE">
        <w:rPr>
          <w:lang w:val="hr-HR"/>
        </w:rPr>
        <w:t>.  Podnositelji zahtjeva podnijeli su žalbu. Presudom Visokog suda pravde Katalonije od 7. svibnja 2003</w:t>
      </w:r>
      <w:r>
        <w:rPr>
          <w:lang w:val="hr-HR"/>
        </w:rPr>
        <w:t>. p</w:t>
      </w:r>
      <w:r w:rsidRPr="007E66EE">
        <w:rPr>
          <w:lang w:val="hr-HR"/>
        </w:rPr>
        <w:t>otvrđena je prvostupanjska presuda.</w:t>
      </w:r>
    </w:p>
    <w:p w:rsidR="000610A7" w:rsidRDefault="000610A7" w:rsidP="009603DB">
      <w:pPr>
        <w:pStyle w:val="JuPara"/>
        <w:rPr>
          <w:lang w:val="hr-HR"/>
        </w:rPr>
      </w:pPr>
      <w:r w:rsidRPr="007E66EE">
        <w:rPr>
          <w:lang w:val="hr-HR"/>
        </w:rPr>
        <w:t xml:space="preserve">Sud se između ostalog pozvao na granice koje postavlja načelo dobre vjere među strankama ugovora o radu i na nužnu ravnotežu između ugovornih obveza zaposlenika i </w:t>
      </w:r>
      <w:r>
        <w:rPr>
          <w:lang w:val="hr-HR"/>
        </w:rPr>
        <w:t>njihove</w:t>
      </w:r>
      <w:r w:rsidRPr="007E66EE">
        <w:rPr>
          <w:lang w:val="hr-HR"/>
        </w:rPr>
        <w:t xml:space="preserve"> slobode izražavanja, koju je sudska odluka trebala postići. Ovakvo vaganje interesa moralo je omogućiti </w:t>
      </w:r>
      <w:r>
        <w:rPr>
          <w:lang w:val="hr-HR"/>
        </w:rPr>
        <w:t xml:space="preserve">ocjenu </w:t>
      </w:r>
      <w:r w:rsidRPr="007E66EE">
        <w:rPr>
          <w:lang w:val="hr-HR"/>
        </w:rPr>
        <w:t>da li je reakcija društva u vidu otkaza zaposlenika bila opravdana. Za sud, objavljivanje uvredljivog crteža i članaka nesumnjivo je bilo štetno za dostojanstvo dotičnih osoba i prekoračilo je granice dopuštene kritike, budući da sloboda izražavanja nije opravdavala vrijeđanje, uvredljive ili uznemirujuće izraze koji su pre</w:t>
      </w:r>
      <w:r>
        <w:rPr>
          <w:lang w:val="hr-HR"/>
        </w:rPr>
        <w:t>mašival</w:t>
      </w:r>
      <w:r w:rsidRPr="007E66EE">
        <w:rPr>
          <w:lang w:val="hr-HR"/>
        </w:rPr>
        <w:t xml:space="preserve">i opravdano </w:t>
      </w:r>
      <w:proofErr w:type="spellStart"/>
      <w:r w:rsidRPr="007E66EE">
        <w:rPr>
          <w:lang w:val="hr-HR"/>
        </w:rPr>
        <w:t>ispoljavanje</w:t>
      </w:r>
      <w:proofErr w:type="spellEnd"/>
      <w:r w:rsidRPr="007E66EE">
        <w:rPr>
          <w:lang w:val="hr-HR"/>
        </w:rPr>
        <w:t xml:space="preserve"> prava na krit</w:t>
      </w:r>
      <w:r>
        <w:rPr>
          <w:lang w:val="hr-HR"/>
        </w:rPr>
        <w:t>i</w:t>
      </w:r>
      <w:r w:rsidRPr="007E66EE">
        <w:rPr>
          <w:lang w:val="hr-HR"/>
        </w:rPr>
        <w:t>ziranje i koji su jasno vrijeđali ugled dotičnih osoba. Društvo P. je također jasno pokazalo da otkazi podnositelja zahtjeva nisu bili rezultat kazne niti odmazde, nego da su se temeljili na iskrenim, ozbiljnim i dostatnim razlozima za odlučivanje da se otkažu njihovi ugovori o radu.</w:t>
      </w:r>
    </w:p>
    <w:p w:rsidR="000610A7" w:rsidRPr="007E66EE" w:rsidRDefault="000610A7" w:rsidP="009603DB">
      <w:pPr>
        <w:pStyle w:val="JuPara"/>
        <w:rPr>
          <w:lang w:val="hr-HR"/>
        </w:rPr>
      </w:pPr>
      <w:r w:rsidRPr="007E66EE">
        <w:rPr>
          <w:lang w:val="hr-HR"/>
        </w:rPr>
        <w:lastRenderedPageBreak/>
        <w:fldChar w:fldCharType="begin"/>
      </w:r>
      <w:r w:rsidRPr="007E66EE">
        <w:rPr>
          <w:lang w:val="hr-HR"/>
        </w:rPr>
        <w:instrText xml:space="preserve"> SEQ level0 \*arabic </w:instrText>
      </w:r>
      <w:r w:rsidRPr="007E66EE">
        <w:rPr>
          <w:lang w:val="hr-HR"/>
        </w:rPr>
        <w:fldChar w:fldCharType="separate"/>
      </w:r>
      <w:r w:rsidRPr="007E66EE">
        <w:rPr>
          <w:noProof/>
          <w:lang w:val="hr-HR"/>
        </w:rPr>
        <w:t>17</w:t>
      </w:r>
      <w:r w:rsidRPr="007E66EE">
        <w:rPr>
          <w:lang w:val="hr-HR"/>
        </w:rPr>
        <w:fldChar w:fldCharType="end"/>
      </w:r>
      <w:r w:rsidRPr="007E66EE">
        <w:rPr>
          <w:lang w:val="hr-HR"/>
        </w:rPr>
        <w:t xml:space="preserve">.  Podnositelji zahtjeva podnijeli su reviziju, zahtijevajući </w:t>
      </w:r>
      <w:r>
        <w:rPr>
          <w:lang w:val="hr-HR"/>
        </w:rPr>
        <w:t>usklađivanje</w:t>
      </w:r>
      <w:r w:rsidRPr="007E66EE">
        <w:rPr>
          <w:lang w:val="hr-HR"/>
        </w:rPr>
        <w:t xml:space="preserve"> sudske prakse. U svojoj odluci od 11. ožujka 2004. Vrhovni sud odbio je njihovu reviziju budući da odluka koju su podnijeli kao usporednik, naime presuda Visokog suda pravde u Madridu od 31. srpnja 1992., nije bila </w:t>
      </w:r>
      <w:r>
        <w:rPr>
          <w:lang w:val="hr-HR"/>
        </w:rPr>
        <w:t>primjerena</w:t>
      </w:r>
      <w:r w:rsidRPr="007E66EE">
        <w:rPr>
          <w:lang w:val="hr-HR"/>
        </w:rPr>
        <w:t>.</w:t>
      </w:r>
    </w:p>
    <w:p w:rsidR="000610A7" w:rsidRPr="007E66EE" w:rsidRDefault="000610A7" w:rsidP="009603DB">
      <w:pPr>
        <w:pStyle w:val="JuPara"/>
        <w:rPr>
          <w:lang w:val="hr-HR"/>
        </w:rPr>
      </w:pPr>
      <w:r w:rsidRPr="007E66EE">
        <w:rPr>
          <w:lang w:val="hr-HR"/>
        </w:rPr>
        <w:fldChar w:fldCharType="begin"/>
      </w:r>
      <w:r w:rsidRPr="007E66EE">
        <w:rPr>
          <w:lang w:val="hr-HR"/>
        </w:rPr>
        <w:instrText xml:space="preserve"> SEQ level0 \*arabic </w:instrText>
      </w:r>
      <w:r w:rsidRPr="007E66EE">
        <w:rPr>
          <w:lang w:val="hr-HR"/>
        </w:rPr>
        <w:fldChar w:fldCharType="separate"/>
      </w:r>
      <w:r w:rsidRPr="007E66EE">
        <w:rPr>
          <w:noProof/>
          <w:lang w:val="hr-HR"/>
        </w:rPr>
        <w:t>18</w:t>
      </w:r>
      <w:r w:rsidRPr="007E66EE">
        <w:rPr>
          <w:lang w:val="hr-HR"/>
        </w:rPr>
        <w:fldChar w:fldCharType="end"/>
      </w:r>
      <w:r w:rsidRPr="007E66EE">
        <w:rPr>
          <w:lang w:val="hr-HR"/>
        </w:rPr>
        <w:t>.  Pozivajući se na članak 24. (pravo na pravično suđenje) Ustava i</w:t>
      </w:r>
      <w:r>
        <w:rPr>
          <w:lang w:val="hr-HR"/>
        </w:rPr>
        <w:t xml:space="preserve"> </w:t>
      </w:r>
      <w:r w:rsidRPr="007E66EE">
        <w:rPr>
          <w:lang w:val="hr-HR"/>
        </w:rPr>
        <w:t xml:space="preserve">na članke 20. i 28. čitane zajedno (sloboda izražavanja i udruživanja), podnositelji zahtjeva podnijeli su žalbu </w:t>
      </w:r>
      <w:proofErr w:type="spellStart"/>
      <w:r w:rsidRPr="007E66EE">
        <w:rPr>
          <w:i/>
          <w:lang w:val="hr-HR"/>
        </w:rPr>
        <w:t>amparo</w:t>
      </w:r>
      <w:proofErr w:type="spellEnd"/>
      <w:r w:rsidRPr="007E66EE">
        <w:rPr>
          <w:lang w:val="hr-HR"/>
        </w:rPr>
        <w:t xml:space="preserve"> Ustavnom sudu. U svojoj odluci od 11. siječnja 2006., dostavljenoj 13. siječnja 2006., sud je žalbu proglasio nedopuštenom iz razloga što nije imala ustavni sadržaj. Odluka je glasila kako slijedi:</w:t>
      </w:r>
    </w:p>
    <w:p w:rsidR="000610A7" w:rsidRPr="007E66EE" w:rsidRDefault="000610A7" w:rsidP="005227A1">
      <w:pPr>
        <w:pStyle w:val="JuQuot"/>
        <w:rPr>
          <w:lang w:val="hr-HR"/>
        </w:rPr>
      </w:pPr>
      <w:r w:rsidRPr="007E66EE">
        <w:rPr>
          <w:lang w:val="hr-HR"/>
        </w:rPr>
        <w:t>“... Kao prvo ... nema dovoljno dokaza koji bi ukazivali da je otkaz [žalitelja] bio čin odmazde od strane tuženog društva radi sudskog postupka koji su oni pokrenuli protiv njega radi ostvarenja svojih prava ... Kao drugo, što se tiče [navod</w:t>
      </w:r>
      <w:r>
        <w:rPr>
          <w:lang w:val="hr-HR"/>
        </w:rPr>
        <w:t>n</w:t>
      </w:r>
      <w:r w:rsidRPr="007E66EE">
        <w:rPr>
          <w:lang w:val="hr-HR"/>
        </w:rPr>
        <w:t xml:space="preserve">og] miješanja sa slobodom sindikata zajamčenom člankom 28. Ustava (ova pritužba sadržavala je i onu žalitelja pod člankom 14. </w:t>
      </w:r>
      <w:r>
        <w:rPr>
          <w:lang w:val="hr-HR"/>
        </w:rPr>
        <w:t>u</w:t>
      </w:r>
      <w:r w:rsidRPr="007E66EE">
        <w:rPr>
          <w:lang w:val="hr-HR"/>
        </w:rPr>
        <w:t xml:space="preserve"> mjeri u kojoj su se pozivali na diskriminaciju iz razloga pripadnosti sindikatu), ovo je nedopušteno budući da [žalitelji] nisu ponudili dovoljno dokaza kojima bi pokazali da su odluke društva bile usmjerene ka ograničenju, onemogućavanju ili sprječavanju njihov</w:t>
      </w:r>
      <w:r>
        <w:rPr>
          <w:lang w:val="hr-HR"/>
        </w:rPr>
        <w:t>og</w:t>
      </w:r>
      <w:r w:rsidRPr="007E66EE">
        <w:rPr>
          <w:lang w:val="hr-HR"/>
        </w:rPr>
        <w:t xml:space="preserve"> prava na slobodu udruživanja, iz razloga njihove pripadnosti ili aktivnosti u sindikatu. U skladu s onime što je ovaj sud opetovano izjavio, takvi se dokazi ne mogu sastojati samo u navodima povrede ustavnih prava već moraju biti dostatni kako bi se moglo zaključiti da je moglo doći do povrede prava ... što nije slučaj ovdje budući da navodne okolnosti ne stvaraju sumnju u potencijalne povrede na koje se poziva. U njihovim navodima, žalitelji su jednostavno iskazali neslaganje s odlukama </w:t>
      </w:r>
      <w:proofErr w:type="spellStart"/>
      <w:r w:rsidRPr="007E66EE">
        <w:rPr>
          <w:lang w:val="hr-HR"/>
        </w:rPr>
        <w:t>donijetim</w:t>
      </w:r>
      <w:proofErr w:type="spellEnd"/>
      <w:r w:rsidRPr="007E66EE">
        <w:rPr>
          <w:lang w:val="hr-HR"/>
        </w:rPr>
        <w:t xml:space="preserve"> od strane nižih sudova, koji su u svojim obrazloženim i ne očigledno neopravdanim odlukama zaključili da su podnositelji počinili djela za koja ih je društvo optu</w:t>
      </w:r>
      <w:r>
        <w:rPr>
          <w:lang w:val="hr-HR"/>
        </w:rPr>
        <w:t>ž</w:t>
      </w:r>
      <w:r w:rsidRPr="007E66EE">
        <w:rPr>
          <w:lang w:val="hr-HR"/>
        </w:rPr>
        <w:t>ilo u njihovim dopisima o otkazu.</w:t>
      </w:r>
    </w:p>
    <w:p w:rsidR="000610A7" w:rsidRPr="007E66EE" w:rsidRDefault="000610A7" w:rsidP="0091614D">
      <w:pPr>
        <w:pStyle w:val="JuQuot"/>
        <w:rPr>
          <w:lang w:val="hr-HR"/>
        </w:rPr>
      </w:pPr>
      <w:r w:rsidRPr="007E66EE">
        <w:rPr>
          <w:lang w:val="hr-HR"/>
        </w:rPr>
        <w:t xml:space="preserve">Kao treće, nije došlo do povrede članka 28. </w:t>
      </w:r>
      <w:r>
        <w:rPr>
          <w:lang w:val="hr-HR"/>
        </w:rPr>
        <w:t>s</w:t>
      </w:r>
      <w:r w:rsidRPr="007E66EE">
        <w:rPr>
          <w:lang w:val="hr-HR"/>
        </w:rPr>
        <w:t xml:space="preserve">t. 1 Ustava u svezi s člankom 20. </w:t>
      </w:r>
      <w:r>
        <w:rPr>
          <w:lang w:val="hr-HR"/>
        </w:rPr>
        <w:t>s</w:t>
      </w:r>
      <w:r w:rsidRPr="007E66EE">
        <w:rPr>
          <w:lang w:val="hr-HR"/>
        </w:rPr>
        <w:t xml:space="preserve">t. 1 (a), u obliku povrede prava na slobodu izražavanja žalitelja u kontekstu njihove sindikalne aktivnosti, budući da ovo temeljno pravo ne obuhvaća pravo na vrijeđanje drugih. Kao što je sud nedavno zaključio u presudi br. 39/2005 od 28. veljače (pravni </w:t>
      </w:r>
      <w:proofErr w:type="spellStart"/>
      <w:r w:rsidRPr="007E66EE">
        <w:rPr>
          <w:lang w:val="hr-HR"/>
        </w:rPr>
        <w:t>osnov</w:t>
      </w:r>
      <w:proofErr w:type="spellEnd"/>
      <w:r w:rsidRPr="007E66EE">
        <w:rPr>
          <w:lang w:val="hr-HR"/>
        </w:rPr>
        <w:t xml:space="preserve"> 4), ponavljajući svoju </w:t>
      </w:r>
      <w:proofErr w:type="spellStart"/>
      <w:r w:rsidRPr="007E66EE">
        <w:rPr>
          <w:lang w:val="hr-HR"/>
        </w:rPr>
        <w:t>jurisprudenciju</w:t>
      </w:r>
      <w:proofErr w:type="spellEnd"/>
      <w:r w:rsidRPr="007E66EE">
        <w:rPr>
          <w:lang w:val="hr-HR"/>
        </w:rPr>
        <w:t>, iako Ustav ne brani uporabu bolnih, neugodnih ili pogrdnih izraza u svim okolnostima, ustavna</w:t>
      </w:r>
      <w:r>
        <w:rPr>
          <w:lang w:val="hr-HR"/>
        </w:rPr>
        <w:t xml:space="preserve"> zaštita zajamčena člankom 20. s</w:t>
      </w:r>
      <w:r w:rsidRPr="007E66EE">
        <w:rPr>
          <w:lang w:val="hr-HR"/>
        </w:rPr>
        <w:t>t. 1 (a) Ustava se ne proteže i</w:t>
      </w:r>
      <w:r>
        <w:rPr>
          <w:lang w:val="hr-HR"/>
        </w:rPr>
        <w:t xml:space="preserve"> </w:t>
      </w:r>
      <w:r w:rsidRPr="007E66EE">
        <w:rPr>
          <w:lang w:val="hr-HR"/>
        </w:rPr>
        <w:t>na potpuno uzn</w:t>
      </w:r>
      <w:r>
        <w:rPr>
          <w:lang w:val="hr-HR"/>
        </w:rPr>
        <w:t>e</w:t>
      </w:r>
      <w:r w:rsidRPr="007E66EE">
        <w:rPr>
          <w:lang w:val="hr-HR"/>
        </w:rPr>
        <w:t>mirujuće izraze koji su, imajući na umu posebne okolnosti slučaja i bez obzira na njihovu istinitost, vrijeđajući ili klevetnički te nisu nužni za prenošenje mišljenja ili informacija. Primjena te prakse u ovom predmetu dovodi sud do zaključka da pravo žalitelja na slobodu izražavanja nije bilo povrijeđeno, budući da</w:t>
      </w:r>
      <w:r>
        <w:rPr>
          <w:lang w:val="hr-HR"/>
        </w:rPr>
        <w:t xml:space="preserve"> </w:t>
      </w:r>
      <w:r w:rsidRPr="007E66EE">
        <w:rPr>
          <w:lang w:val="hr-HR"/>
        </w:rPr>
        <w:t>su isto koristili na prekomjeran način kroz vrijednosne sudove izražene putem karikatura i komentara koji su bili uvredljivi i ponižavajući za dotične osobe i koje su povrijedile njihovu čast i ugled. [Te karikature i komentari] nisu bi nužni kako bi drugi stvorili mišljenje o činjenicama na koje su se žalitelji žalili te su zbog toga bili bespotrebni za slobodu izražavanja u sindikalnom kontekstu.”</w:t>
      </w:r>
    </w:p>
    <w:p w:rsidR="000610A7" w:rsidRPr="007E66EE" w:rsidRDefault="000610A7" w:rsidP="009603DB">
      <w:pPr>
        <w:pStyle w:val="JuHIRoman"/>
        <w:outlineLvl w:val="0"/>
        <w:rPr>
          <w:lang w:val="hr-HR"/>
        </w:rPr>
      </w:pPr>
      <w:r w:rsidRPr="007E66EE">
        <w:rPr>
          <w:lang w:val="hr-HR"/>
        </w:rPr>
        <w:t>II.  MJERODAVNO DOMAĆE PRAVO</w:t>
      </w:r>
    </w:p>
    <w:p w:rsidR="000610A7" w:rsidRPr="007E66EE" w:rsidRDefault="000610A7" w:rsidP="009603DB">
      <w:pPr>
        <w:pStyle w:val="JuPara"/>
        <w:rPr>
          <w:u w:val="single"/>
          <w:lang w:val="hr-HR"/>
        </w:rPr>
      </w:pPr>
      <w:r w:rsidRPr="007E66EE">
        <w:rPr>
          <w:lang w:val="hr-HR"/>
        </w:rPr>
        <w:fldChar w:fldCharType="begin"/>
      </w:r>
      <w:r w:rsidRPr="007E66EE">
        <w:rPr>
          <w:lang w:val="hr-HR"/>
        </w:rPr>
        <w:instrText xml:space="preserve"> SEQ level0 \*arabic </w:instrText>
      </w:r>
      <w:r w:rsidRPr="007E66EE">
        <w:rPr>
          <w:lang w:val="hr-HR"/>
        </w:rPr>
        <w:fldChar w:fldCharType="separate"/>
      </w:r>
      <w:r w:rsidRPr="007E66EE">
        <w:rPr>
          <w:noProof/>
          <w:lang w:val="hr-HR"/>
        </w:rPr>
        <w:t>19</w:t>
      </w:r>
      <w:r w:rsidRPr="007E66EE">
        <w:rPr>
          <w:lang w:val="hr-HR"/>
        </w:rPr>
        <w:fldChar w:fldCharType="end"/>
      </w:r>
      <w:r w:rsidRPr="007E66EE">
        <w:rPr>
          <w:lang w:val="hr-HR"/>
        </w:rPr>
        <w:t>.  Mjerodavne odredba Ustava glase kako slijedi:</w:t>
      </w:r>
    </w:p>
    <w:p w:rsidR="000610A7" w:rsidRPr="007E66EE" w:rsidRDefault="000610A7" w:rsidP="009603DB">
      <w:pPr>
        <w:pStyle w:val="JuHArticle"/>
        <w:rPr>
          <w:lang w:val="hr-HR"/>
        </w:rPr>
      </w:pPr>
      <w:r w:rsidRPr="007E66EE">
        <w:rPr>
          <w:lang w:val="hr-HR"/>
        </w:rPr>
        <w:lastRenderedPageBreak/>
        <w:t>Članak 20.</w:t>
      </w:r>
    </w:p>
    <w:p w:rsidR="000610A7" w:rsidRPr="007E66EE" w:rsidRDefault="000610A7" w:rsidP="009603DB">
      <w:pPr>
        <w:pStyle w:val="JuQuot"/>
        <w:rPr>
          <w:lang w:val="hr-HR"/>
        </w:rPr>
      </w:pPr>
      <w:r w:rsidRPr="007E66EE">
        <w:rPr>
          <w:lang w:val="hr-HR"/>
        </w:rPr>
        <w:t>“1. Slijedeća prava su priznata i zaštićena:</w:t>
      </w:r>
    </w:p>
    <w:p w:rsidR="000610A7" w:rsidRPr="007E66EE" w:rsidRDefault="000610A7" w:rsidP="009603DB">
      <w:pPr>
        <w:pStyle w:val="JuQuot"/>
        <w:rPr>
          <w:lang w:val="hr-HR"/>
        </w:rPr>
      </w:pPr>
      <w:r w:rsidRPr="007E66EE">
        <w:rPr>
          <w:lang w:val="hr-HR"/>
        </w:rPr>
        <w:t>(a) pravo slobodno izraziti i podijeliti misli, ideje i mišljenja usmeno, pismeno ili na bilo koji drugi način;</w:t>
      </w:r>
    </w:p>
    <w:p w:rsidR="000610A7" w:rsidRPr="007E66EE" w:rsidRDefault="000610A7" w:rsidP="009603DB">
      <w:pPr>
        <w:pStyle w:val="JuQuot"/>
        <w:rPr>
          <w:lang w:val="hr-HR"/>
        </w:rPr>
      </w:pPr>
      <w:r w:rsidRPr="007E66EE">
        <w:rPr>
          <w:lang w:val="hr-HR"/>
        </w:rPr>
        <w:t>...</w:t>
      </w:r>
    </w:p>
    <w:p w:rsidR="000610A7" w:rsidRPr="007E66EE" w:rsidRDefault="000610A7" w:rsidP="009603DB">
      <w:pPr>
        <w:pStyle w:val="JuQuot"/>
        <w:rPr>
          <w:lang w:val="hr-HR"/>
        </w:rPr>
      </w:pPr>
      <w:r w:rsidRPr="007E66EE">
        <w:rPr>
          <w:lang w:val="hr-HR"/>
        </w:rPr>
        <w:t>(d) pravo na primanje i širenje istinitih informacija na bilo koji način. ...</w:t>
      </w:r>
    </w:p>
    <w:p w:rsidR="000610A7" w:rsidRPr="007E66EE" w:rsidRDefault="000610A7" w:rsidP="009603DB">
      <w:pPr>
        <w:pStyle w:val="JuQuot"/>
        <w:rPr>
          <w:lang w:val="hr-HR"/>
        </w:rPr>
      </w:pPr>
      <w:r w:rsidRPr="007E66EE">
        <w:rPr>
          <w:lang w:val="hr-HR"/>
        </w:rPr>
        <w:t>2. Ostvarivanje ovih prava ne smije se ograničavati bilo kakvom prethodnom cenzurom.</w:t>
      </w:r>
    </w:p>
    <w:p w:rsidR="000610A7" w:rsidRPr="007E66EE" w:rsidRDefault="000610A7" w:rsidP="009603DB">
      <w:pPr>
        <w:pStyle w:val="JuQuot"/>
        <w:rPr>
          <w:lang w:val="hr-HR"/>
        </w:rPr>
      </w:pPr>
      <w:r w:rsidRPr="007E66EE">
        <w:rPr>
          <w:lang w:val="hr-HR"/>
        </w:rPr>
        <w:t>...</w:t>
      </w:r>
    </w:p>
    <w:p w:rsidR="000610A7" w:rsidRPr="007E66EE" w:rsidRDefault="000610A7" w:rsidP="009603DB">
      <w:pPr>
        <w:pStyle w:val="JuQuot"/>
        <w:rPr>
          <w:lang w:val="hr-HR"/>
        </w:rPr>
      </w:pPr>
      <w:r w:rsidRPr="007E66EE">
        <w:rPr>
          <w:lang w:val="hr-HR"/>
        </w:rPr>
        <w:t>4. Ove slobode ograničene su poštivanjem prava zajamčenih ovim dijelom, odredbama provedbenih zakona i posebice pravom na čast i privatni život kao i</w:t>
      </w:r>
      <w:r>
        <w:rPr>
          <w:lang w:val="hr-HR"/>
        </w:rPr>
        <w:t xml:space="preserve"> </w:t>
      </w:r>
      <w:r w:rsidRPr="007E66EE">
        <w:rPr>
          <w:lang w:val="hr-HR"/>
        </w:rPr>
        <w:t>na kontrolu korištenja sličnosti i zaštitu mladeži i djece.”</w:t>
      </w:r>
    </w:p>
    <w:p w:rsidR="000610A7" w:rsidRPr="007E66EE" w:rsidRDefault="000610A7" w:rsidP="009603DB">
      <w:pPr>
        <w:pStyle w:val="JuHArticle"/>
        <w:rPr>
          <w:lang w:val="hr-HR"/>
        </w:rPr>
      </w:pPr>
      <w:r w:rsidRPr="007E66EE">
        <w:rPr>
          <w:lang w:val="hr-HR"/>
        </w:rPr>
        <w:t>Članak 28.</w:t>
      </w:r>
    </w:p>
    <w:p w:rsidR="000610A7" w:rsidRDefault="000610A7" w:rsidP="009603DB">
      <w:pPr>
        <w:pStyle w:val="JuQuot"/>
        <w:rPr>
          <w:lang w:val="hr-HR"/>
        </w:rPr>
      </w:pPr>
      <w:r w:rsidRPr="007E66EE">
        <w:rPr>
          <w:lang w:val="hr-HR"/>
        </w:rPr>
        <w:t>“1.  Svatko ima pravo slobodnog udruživanja ... Sloboda udruživanja uključuje pravo ustanovljavanja sindikata ili pridruživanja sindikatu po izboru pojedinca, kao i pravo sindikata na ustanovljavanje konfederacija i osnivanje ili pridruživanje međunarodnim sindikalnim organizacijama. Nitko se ne smije prisiliti na sindikalno udruživanje.</w:t>
      </w:r>
    </w:p>
    <w:p w:rsidR="000610A7" w:rsidRPr="007E66EE" w:rsidRDefault="000610A7" w:rsidP="009603DB">
      <w:pPr>
        <w:pStyle w:val="JuQuot"/>
        <w:rPr>
          <w:lang w:val="hr-HR"/>
        </w:rPr>
      </w:pPr>
      <w:r w:rsidRPr="007E66EE">
        <w:rPr>
          <w:lang w:val="hr-HR"/>
        </w:rPr>
        <w:t>...”</w:t>
      </w:r>
    </w:p>
    <w:p w:rsidR="000610A7" w:rsidRPr="007E66EE" w:rsidRDefault="000610A7" w:rsidP="009603DB">
      <w:pPr>
        <w:pStyle w:val="JuHArticle"/>
        <w:ind w:firstLine="284"/>
        <w:jc w:val="both"/>
        <w:rPr>
          <w:rStyle w:val="JuParaCar"/>
          <w:b w:val="0"/>
          <w:lang w:val="hr-HR"/>
        </w:rPr>
      </w:pPr>
      <w:r w:rsidRPr="007E66EE">
        <w:rPr>
          <w:rStyle w:val="JuParaCar"/>
          <w:b w:val="0"/>
          <w:lang w:val="hr-HR"/>
        </w:rPr>
        <w:fldChar w:fldCharType="begin"/>
      </w:r>
      <w:r w:rsidRPr="007E66EE">
        <w:rPr>
          <w:rStyle w:val="JuParaCar"/>
          <w:b w:val="0"/>
          <w:lang w:val="hr-HR"/>
        </w:rPr>
        <w:instrText xml:space="preserve"> SEQ level0 \*arabic </w:instrText>
      </w:r>
      <w:r w:rsidRPr="007E66EE">
        <w:rPr>
          <w:rStyle w:val="JuParaCar"/>
          <w:b w:val="0"/>
          <w:lang w:val="hr-HR"/>
        </w:rPr>
        <w:fldChar w:fldCharType="separate"/>
      </w:r>
      <w:r w:rsidRPr="007E66EE">
        <w:rPr>
          <w:rStyle w:val="JuParaCar"/>
          <w:b w:val="0"/>
          <w:noProof/>
          <w:lang w:val="hr-HR"/>
        </w:rPr>
        <w:t>20</w:t>
      </w:r>
      <w:r w:rsidRPr="007E66EE">
        <w:rPr>
          <w:rStyle w:val="JuParaCar"/>
          <w:b w:val="0"/>
          <w:lang w:val="hr-HR"/>
        </w:rPr>
        <w:fldChar w:fldCharType="end"/>
      </w:r>
      <w:r w:rsidRPr="007E66EE">
        <w:rPr>
          <w:rStyle w:val="JuParaCar"/>
          <w:b w:val="0"/>
          <w:lang w:val="hr-HR"/>
        </w:rPr>
        <w:t>.  Mjerodavne od</w:t>
      </w:r>
      <w:r>
        <w:rPr>
          <w:rStyle w:val="JuParaCar"/>
          <w:b w:val="0"/>
          <w:lang w:val="hr-HR"/>
        </w:rPr>
        <w:t>redbe Uredbi o radu (odobrenih K</w:t>
      </w:r>
      <w:r w:rsidRPr="007E66EE">
        <w:rPr>
          <w:rStyle w:val="JuParaCar"/>
          <w:b w:val="0"/>
          <w:lang w:val="hr-HR"/>
        </w:rPr>
        <w:t>raljevskim zakonskim dekretom br. 1/1995 od 24. ožujka 1995.) glase kako slijedi:</w:t>
      </w:r>
    </w:p>
    <w:p w:rsidR="000610A7" w:rsidRDefault="000610A7" w:rsidP="009603DB">
      <w:pPr>
        <w:pStyle w:val="JuHArticle"/>
        <w:rPr>
          <w:lang w:val="hr-HR"/>
        </w:rPr>
      </w:pPr>
      <w:r w:rsidRPr="007E66EE">
        <w:rPr>
          <w:lang w:val="hr-HR"/>
        </w:rPr>
        <w:t>Članak 54 – Otkaz iz disciplinskih razloga</w:t>
      </w:r>
    </w:p>
    <w:p w:rsidR="000610A7" w:rsidRPr="007E66EE" w:rsidRDefault="000610A7" w:rsidP="009603DB">
      <w:pPr>
        <w:pStyle w:val="JuQuot"/>
        <w:rPr>
          <w:lang w:val="hr-HR"/>
        </w:rPr>
      </w:pPr>
      <w:r w:rsidRPr="007E66EE">
        <w:rPr>
          <w:lang w:val="hr-HR"/>
        </w:rPr>
        <w:t>“1. Poslodavac može otkazati ugovor o radu zaposlenika zbog ozbiljno</w:t>
      </w:r>
      <w:r>
        <w:rPr>
          <w:lang w:val="hr-HR"/>
        </w:rPr>
        <w:t>g</w:t>
      </w:r>
      <w:r w:rsidRPr="007E66EE">
        <w:rPr>
          <w:lang w:val="hr-HR"/>
        </w:rPr>
        <w:t xml:space="preserve"> i nemarnog neispunjenja njegovih obveza.</w:t>
      </w:r>
    </w:p>
    <w:p w:rsidR="000610A7" w:rsidRPr="007E66EE" w:rsidRDefault="000610A7" w:rsidP="009603DB">
      <w:pPr>
        <w:pStyle w:val="JuQuot"/>
        <w:rPr>
          <w:lang w:val="hr-HR"/>
        </w:rPr>
      </w:pPr>
      <w:r w:rsidRPr="007E66EE">
        <w:rPr>
          <w:lang w:val="hr-HR"/>
        </w:rPr>
        <w:t>2. Nepoštivanje ugovornih obveza uključuje:</w:t>
      </w:r>
    </w:p>
    <w:p w:rsidR="000610A7" w:rsidRPr="007E66EE" w:rsidRDefault="000610A7" w:rsidP="009603DB">
      <w:pPr>
        <w:pStyle w:val="JuQuot"/>
        <w:rPr>
          <w:lang w:val="hr-HR"/>
        </w:rPr>
      </w:pPr>
      <w:r w:rsidRPr="007E66EE">
        <w:rPr>
          <w:lang w:val="hr-HR"/>
        </w:rPr>
        <w:t>...</w:t>
      </w:r>
    </w:p>
    <w:p w:rsidR="000610A7" w:rsidRPr="007E66EE" w:rsidRDefault="000610A7" w:rsidP="009603DB">
      <w:pPr>
        <w:pStyle w:val="JuQuot"/>
        <w:rPr>
          <w:lang w:val="hr-HR"/>
        </w:rPr>
      </w:pPr>
      <w:r w:rsidRPr="007E66EE">
        <w:rPr>
          <w:lang w:val="hr-HR"/>
        </w:rPr>
        <w:t xml:space="preserve">(c) Verbalni ili fizički napad na poslodavca ili osobe koje rade u društvu ili na </w:t>
      </w:r>
      <w:r w:rsidRPr="00016C3B">
        <w:rPr>
          <w:lang w:val="hr-HR"/>
        </w:rPr>
        <w:t>članove</w:t>
      </w:r>
      <w:r w:rsidRPr="007E66EE">
        <w:rPr>
          <w:lang w:val="hr-HR"/>
        </w:rPr>
        <w:t xml:space="preserve"> njihove obitelji koji žive s njima.”</w:t>
      </w:r>
    </w:p>
    <w:p w:rsidR="000610A7" w:rsidRPr="007E66EE" w:rsidRDefault="000610A7" w:rsidP="009603DB">
      <w:pPr>
        <w:pStyle w:val="JuHArticle"/>
        <w:rPr>
          <w:lang w:val="hr-HR"/>
        </w:rPr>
      </w:pPr>
      <w:r w:rsidRPr="007E66EE">
        <w:rPr>
          <w:lang w:val="hr-HR"/>
        </w:rPr>
        <w:t>Članak 55 § 7</w:t>
      </w:r>
    </w:p>
    <w:p w:rsidR="000610A7" w:rsidRPr="007E66EE" w:rsidRDefault="000610A7" w:rsidP="009603DB">
      <w:pPr>
        <w:pStyle w:val="JuQuot"/>
        <w:rPr>
          <w:lang w:val="hr-HR"/>
        </w:rPr>
      </w:pPr>
      <w:r w:rsidRPr="007E66EE">
        <w:rPr>
          <w:lang w:val="hr-HR"/>
        </w:rPr>
        <w:t>“Opravdani otkaz uključivat će raskid ugovora bez ikakvog prava na naknadu...”</w:t>
      </w:r>
    </w:p>
    <w:p w:rsidR="000610A7" w:rsidRDefault="000610A7" w:rsidP="00AF23DA">
      <w:pPr>
        <w:pStyle w:val="JuHIRoman"/>
        <w:outlineLvl w:val="0"/>
        <w:rPr>
          <w:lang w:val="hr-HR"/>
        </w:rPr>
      </w:pPr>
      <w:r w:rsidRPr="007E66EE">
        <w:rPr>
          <w:lang w:val="hr-HR"/>
        </w:rPr>
        <w:t>III.  MJERODAVNI MEĐUNARODNI INSTRUMENTI I PRAKSA</w:t>
      </w:r>
    </w:p>
    <w:p w:rsidR="000610A7" w:rsidRPr="007E66EE" w:rsidRDefault="000610A7" w:rsidP="009603DB">
      <w:pPr>
        <w:pStyle w:val="JuHA"/>
        <w:outlineLvl w:val="0"/>
        <w:rPr>
          <w:lang w:val="hr-HR"/>
        </w:rPr>
      </w:pPr>
      <w:r w:rsidRPr="007E66EE">
        <w:rPr>
          <w:lang w:val="hr-HR"/>
        </w:rPr>
        <w:t>A.  Međunarodna organizacija rada</w:t>
      </w:r>
    </w:p>
    <w:p w:rsidR="000610A7" w:rsidRPr="007E66EE" w:rsidRDefault="000610A7" w:rsidP="009603DB">
      <w:pPr>
        <w:pStyle w:val="JuPara"/>
        <w:rPr>
          <w:lang w:val="hr-HR" w:eastAsia="en-US"/>
        </w:rPr>
      </w:pPr>
      <w:r w:rsidRPr="007E66EE">
        <w:rPr>
          <w:lang w:val="hr-HR"/>
        </w:rPr>
        <w:fldChar w:fldCharType="begin"/>
      </w:r>
      <w:r w:rsidRPr="007E66EE">
        <w:rPr>
          <w:lang w:val="hr-HR"/>
        </w:rPr>
        <w:instrText xml:space="preserve"> SEQ level0 \*arabic </w:instrText>
      </w:r>
      <w:r w:rsidRPr="007E66EE">
        <w:rPr>
          <w:lang w:val="hr-HR"/>
        </w:rPr>
        <w:fldChar w:fldCharType="separate"/>
      </w:r>
      <w:r w:rsidRPr="007E66EE">
        <w:rPr>
          <w:noProof/>
          <w:lang w:val="hr-HR"/>
        </w:rPr>
        <w:t>21</w:t>
      </w:r>
      <w:r w:rsidRPr="007E66EE">
        <w:rPr>
          <w:lang w:val="hr-HR"/>
        </w:rPr>
        <w:fldChar w:fldCharType="end"/>
      </w:r>
      <w:r w:rsidRPr="007E66EE">
        <w:rPr>
          <w:lang w:val="hr-HR"/>
        </w:rPr>
        <w:t xml:space="preserve">.  Dana </w:t>
      </w:r>
      <w:r w:rsidRPr="007E66EE">
        <w:rPr>
          <w:lang w:val="hr-HR" w:eastAsia="en-US"/>
        </w:rPr>
        <w:t>23. lipnja 1971. Opća konferencija Međunarodne organizacije rada (MOR) usvojila je Preporuku br. 143 koja se bavi predstavnicima radnika, i čija točka 15 glasi kako slijedi:</w:t>
      </w:r>
    </w:p>
    <w:p w:rsidR="000610A7" w:rsidRPr="007E66EE" w:rsidRDefault="000610A7" w:rsidP="005227A1">
      <w:pPr>
        <w:pStyle w:val="JuQuot"/>
        <w:rPr>
          <w:lang w:val="hr-HR" w:eastAsia="en-GB"/>
        </w:rPr>
      </w:pPr>
      <w:r w:rsidRPr="007E66EE">
        <w:rPr>
          <w:lang w:val="hr-HR" w:eastAsia="en-GB"/>
        </w:rPr>
        <w:lastRenderedPageBreak/>
        <w:t>“(1) Zastupnici radnika koji nastupaju u im</w:t>
      </w:r>
      <w:r>
        <w:rPr>
          <w:lang w:val="hr-HR" w:eastAsia="en-GB"/>
        </w:rPr>
        <w:t>e</w:t>
      </w:r>
      <w:r w:rsidRPr="007E66EE">
        <w:rPr>
          <w:lang w:val="hr-HR" w:eastAsia="en-GB"/>
        </w:rPr>
        <w:t xml:space="preserve"> sindikata trebali bi biti u mogućnosti postavljati obavijesti sindikata u prostorijama poduzeća na mjestu ili mjestima koji su dogovoreni s upravom i do kojih radnici imaju lagan pristup.</w:t>
      </w:r>
    </w:p>
    <w:p w:rsidR="000610A7" w:rsidRDefault="000610A7" w:rsidP="005227A1">
      <w:pPr>
        <w:pStyle w:val="JuQuot"/>
        <w:rPr>
          <w:lang w:val="hr-HR" w:eastAsia="en-GB"/>
        </w:rPr>
      </w:pPr>
      <w:r w:rsidRPr="007E66EE">
        <w:rPr>
          <w:lang w:val="hr-HR" w:eastAsia="en-GB"/>
        </w:rPr>
        <w:t>(2) Uprava bi trebala dozvoliti zastupnicima radnika koji nastupaju u ime sindikata da dijele novosti, pamflete, publikacije i ostale dokumente sindikata među radnicima poduzeća.</w:t>
      </w:r>
    </w:p>
    <w:p w:rsidR="000610A7" w:rsidRPr="007E66EE" w:rsidRDefault="000610A7" w:rsidP="005227A1">
      <w:pPr>
        <w:pStyle w:val="JuQuot"/>
        <w:rPr>
          <w:lang w:val="hr-HR" w:eastAsia="en-GB"/>
        </w:rPr>
      </w:pPr>
      <w:r w:rsidRPr="007E66EE">
        <w:rPr>
          <w:lang w:val="hr-HR" w:eastAsia="en-GB"/>
        </w:rPr>
        <w:t>(3) Obavijesti i dokumenti sindikata koji se spominju u ovom članku moraju se odnositi na uobičajene aktivnosti sindikata, a njihovo postavljanje i dijeljenje ne smije utjecati na uredan rad i čistoću poduzeća.”</w:t>
      </w:r>
    </w:p>
    <w:p w:rsidR="000610A7" w:rsidRPr="007E66EE" w:rsidRDefault="000610A7" w:rsidP="009603DB">
      <w:pPr>
        <w:pStyle w:val="JuPara"/>
        <w:rPr>
          <w:lang w:val="hr-HR" w:eastAsia="en-US"/>
        </w:rPr>
      </w:pPr>
      <w:r w:rsidRPr="007E66EE">
        <w:rPr>
          <w:lang w:val="hr-HR" w:eastAsia="en-US"/>
        </w:rPr>
        <w:fldChar w:fldCharType="begin"/>
      </w:r>
      <w:r w:rsidRPr="007E66EE">
        <w:rPr>
          <w:lang w:val="hr-HR" w:eastAsia="en-US"/>
        </w:rPr>
        <w:instrText xml:space="preserve"> SEQ level0 \*arabic </w:instrText>
      </w:r>
      <w:r w:rsidRPr="007E66EE">
        <w:rPr>
          <w:lang w:val="hr-HR" w:eastAsia="en-US"/>
        </w:rPr>
        <w:fldChar w:fldCharType="separate"/>
      </w:r>
      <w:r w:rsidRPr="007E66EE">
        <w:rPr>
          <w:noProof/>
          <w:lang w:val="hr-HR" w:eastAsia="en-US"/>
        </w:rPr>
        <w:t>22</w:t>
      </w:r>
      <w:r w:rsidRPr="007E66EE">
        <w:rPr>
          <w:lang w:val="hr-HR" w:eastAsia="en-US"/>
        </w:rPr>
        <w:fldChar w:fldCharType="end"/>
      </w:r>
      <w:r w:rsidRPr="007E66EE">
        <w:rPr>
          <w:lang w:val="hr-HR" w:eastAsia="en-US"/>
        </w:rPr>
        <w:t>.  Na svojoj 55.-toj sjednici u lipnju 1970., Međunarodna k</w:t>
      </w:r>
      <w:r>
        <w:rPr>
          <w:lang w:val="hr-HR" w:eastAsia="en-US"/>
        </w:rPr>
        <w:t>onferencija rada usvojila je rez</w:t>
      </w:r>
      <w:r w:rsidRPr="007E66EE">
        <w:rPr>
          <w:lang w:val="hr-HR" w:eastAsia="en-US"/>
        </w:rPr>
        <w:t>oluciju koja se odnosila na prava sindikata i njihov odnos prema građanskim slobodama. Konferencija je izričito navela temeljna prava nužna za ostvarivanje prava na slobodu udruživanja, a posebice</w:t>
      </w:r>
      <w:r w:rsidRPr="007E66EE">
        <w:rPr>
          <w:lang w:val="hr-HR" w:eastAsia="en-GB"/>
        </w:rPr>
        <w:t>: (a) pravo na slobodu i sigurnost osobe i slobodu od proizvoljnog uhićenja i pritvora; (b) slobod</w:t>
      </w:r>
      <w:r>
        <w:rPr>
          <w:lang w:val="hr-HR" w:eastAsia="en-GB"/>
        </w:rPr>
        <w:t>u</w:t>
      </w:r>
      <w:r w:rsidRPr="007E66EE">
        <w:rPr>
          <w:lang w:val="hr-HR" w:eastAsia="en-GB"/>
        </w:rPr>
        <w:t xml:space="preserve"> mišljenja i izražavanja, prvenstveno slobod</w:t>
      </w:r>
      <w:r>
        <w:rPr>
          <w:lang w:val="hr-HR" w:eastAsia="en-GB"/>
        </w:rPr>
        <w:t>u</w:t>
      </w:r>
      <w:r w:rsidRPr="007E66EE">
        <w:rPr>
          <w:lang w:val="hr-HR" w:eastAsia="en-GB"/>
        </w:rPr>
        <w:t xml:space="preserve"> držanja mišljenja bez miješanja i traženja, primanja i slanja informacija i ideja kroz bilo koje medije i bez obzira na granice; (c) slobod</w:t>
      </w:r>
      <w:r>
        <w:rPr>
          <w:lang w:val="hr-HR" w:eastAsia="en-GB"/>
        </w:rPr>
        <w:t>u</w:t>
      </w:r>
      <w:r w:rsidRPr="007E66EE">
        <w:rPr>
          <w:lang w:val="hr-HR" w:eastAsia="en-GB"/>
        </w:rPr>
        <w:t xml:space="preserve"> okupljanja; (d) pravo na pravično suđenje od strane nezavisnog i nepristranog tribunala; i (e) pravo zaštite imovine sindikata</w:t>
      </w:r>
      <w:r w:rsidRPr="007E66EE">
        <w:rPr>
          <w:lang w:val="hr-HR" w:eastAsia="en-US"/>
        </w:rPr>
        <w:t>.</w:t>
      </w:r>
    </w:p>
    <w:p w:rsidR="000610A7" w:rsidRPr="007E66EE" w:rsidRDefault="000610A7" w:rsidP="005227A1">
      <w:pPr>
        <w:pStyle w:val="JuPara"/>
        <w:ind w:right="-13"/>
        <w:rPr>
          <w:lang w:val="hr-HR"/>
        </w:rPr>
      </w:pPr>
      <w:r w:rsidRPr="007E66EE">
        <w:rPr>
          <w:lang w:val="hr-HR" w:eastAsia="en-US"/>
        </w:rPr>
        <w:fldChar w:fldCharType="begin"/>
      </w:r>
      <w:r w:rsidRPr="007E66EE">
        <w:rPr>
          <w:lang w:val="hr-HR" w:eastAsia="en-US"/>
        </w:rPr>
        <w:instrText xml:space="preserve"> SEQ level0 \*arabic </w:instrText>
      </w:r>
      <w:r w:rsidRPr="007E66EE">
        <w:rPr>
          <w:lang w:val="hr-HR" w:eastAsia="en-US"/>
        </w:rPr>
        <w:fldChar w:fldCharType="separate"/>
      </w:r>
      <w:r w:rsidRPr="007E66EE">
        <w:rPr>
          <w:noProof/>
          <w:lang w:val="hr-HR" w:eastAsia="en-US"/>
        </w:rPr>
        <w:t>23</w:t>
      </w:r>
      <w:r w:rsidRPr="007E66EE">
        <w:rPr>
          <w:lang w:val="hr-HR" w:eastAsia="en-US"/>
        </w:rPr>
        <w:fldChar w:fldCharType="end"/>
      </w:r>
      <w:r w:rsidRPr="007E66EE">
        <w:rPr>
          <w:lang w:val="hr-HR" w:eastAsia="en-US"/>
        </w:rPr>
        <w:t xml:space="preserve">.  Godine 1994. MOR je objavio izvještaj pod nazivom </w:t>
      </w:r>
      <w:r>
        <w:rPr>
          <w:lang w:val="hr-HR" w:eastAsia="en-US"/>
        </w:rPr>
        <w:t>„</w:t>
      </w:r>
      <w:r w:rsidRPr="007E66EE">
        <w:rPr>
          <w:lang w:val="hr-HR" w:eastAsia="en-US"/>
        </w:rPr>
        <w:t>Sloboda udruživanja i kolektivnog pregovaranja</w:t>
      </w:r>
      <w:r w:rsidRPr="007E66EE">
        <w:rPr>
          <w:lang w:val="hr-HR"/>
        </w:rPr>
        <w:t xml:space="preserve">: prava i građanske slobode sindikata”. </w:t>
      </w:r>
      <w:r>
        <w:rPr>
          <w:lang w:val="hr-HR"/>
        </w:rPr>
        <w:t>Bitni dijelovi tog izvješ</w:t>
      </w:r>
      <w:r w:rsidRPr="007E66EE">
        <w:rPr>
          <w:lang w:val="hr-HR"/>
        </w:rPr>
        <w:t>taja glase kako slijedi:</w:t>
      </w:r>
    </w:p>
    <w:p w:rsidR="000610A7" w:rsidRPr="007E66EE" w:rsidRDefault="000610A7" w:rsidP="005227A1">
      <w:pPr>
        <w:pStyle w:val="JuQuot"/>
        <w:rPr>
          <w:lang w:val="hr-HR" w:eastAsia="en-GB"/>
        </w:rPr>
      </w:pPr>
      <w:r w:rsidRPr="007E66EE">
        <w:rPr>
          <w:lang w:val="hr-HR" w:eastAsia="en-GB"/>
        </w:rPr>
        <w:t>“</w:t>
      </w:r>
      <w:r w:rsidRPr="007E66EE">
        <w:rPr>
          <w:b/>
          <w:lang w:val="hr-HR" w:eastAsia="en-GB"/>
        </w:rPr>
        <w:t>Dio I. Sloboda udruživanja i zaštita prava na organizaciju</w:t>
      </w:r>
    </w:p>
    <w:p w:rsidR="000610A7" w:rsidRPr="007E66EE" w:rsidRDefault="000610A7" w:rsidP="005227A1">
      <w:pPr>
        <w:pStyle w:val="JuQuot"/>
        <w:rPr>
          <w:lang w:val="hr-HR" w:eastAsia="en-GB"/>
        </w:rPr>
      </w:pPr>
      <w:r w:rsidRPr="007E66EE">
        <w:rPr>
          <w:lang w:val="hr-HR" w:eastAsia="en-GB"/>
        </w:rPr>
        <w:t>Glava II. Prava i građanske slobode sindikata</w:t>
      </w:r>
    </w:p>
    <w:p w:rsidR="000610A7" w:rsidRPr="007E66EE" w:rsidRDefault="000610A7" w:rsidP="005227A1">
      <w:pPr>
        <w:pStyle w:val="JuQuot"/>
        <w:rPr>
          <w:u w:val="single"/>
          <w:lang w:val="hr-HR" w:eastAsia="en-GB"/>
        </w:rPr>
      </w:pPr>
      <w:r w:rsidRPr="007E66EE">
        <w:rPr>
          <w:u w:val="single"/>
          <w:lang w:val="hr-HR" w:eastAsia="en-GB"/>
        </w:rPr>
        <w:t>Uvod</w:t>
      </w:r>
    </w:p>
    <w:p w:rsidR="000610A7" w:rsidRPr="007E66EE" w:rsidRDefault="000610A7" w:rsidP="005227A1">
      <w:pPr>
        <w:pStyle w:val="JuQuot"/>
        <w:rPr>
          <w:lang w:val="hr-HR" w:eastAsia="en-GB"/>
        </w:rPr>
      </w:pPr>
      <w:r w:rsidRPr="007E66EE">
        <w:rPr>
          <w:lang w:val="hr-HR" w:eastAsia="en-GB"/>
        </w:rPr>
        <w:t>...</w:t>
      </w:r>
    </w:p>
    <w:p w:rsidR="000610A7" w:rsidRDefault="000610A7" w:rsidP="005227A1">
      <w:pPr>
        <w:pStyle w:val="JuQuot"/>
        <w:rPr>
          <w:lang w:val="hr-HR" w:eastAsia="en-GB"/>
        </w:rPr>
      </w:pPr>
      <w:r w:rsidRPr="007E66EE">
        <w:rPr>
          <w:lang w:val="hr-HR" w:eastAsia="en-GB"/>
        </w:rPr>
        <w:t xml:space="preserve">24. </w:t>
      </w:r>
      <w:proofErr w:type="spellStart"/>
      <w:r w:rsidRPr="007E66EE">
        <w:rPr>
          <w:lang w:val="hr-HR" w:eastAsia="en-GB"/>
        </w:rPr>
        <w:t>Philadelphijska</w:t>
      </w:r>
      <w:proofErr w:type="spellEnd"/>
      <w:r w:rsidRPr="007E66EE">
        <w:rPr>
          <w:lang w:val="hr-HR" w:eastAsia="en-GB"/>
        </w:rPr>
        <w:t xml:space="preserve"> deklaracija ... službeno je priznala odnos između građanskih sloboda i prava sindikata progla</w:t>
      </w:r>
      <w:r>
        <w:rPr>
          <w:lang w:val="hr-HR" w:eastAsia="en-GB"/>
        </w:rPr>
        <w:t>šavaju</w:t>
      </w:r>
      <w:r w:rsidRPr="007E66EE">
        <w:rPr>
          <w:lang w:val="hr-HR" w:eastAsia="en-GB"/>
        </w:rPr>
        <w:t>ći u članku I</w:t>
      </w:r>
      <w:r>
        <w:rPr>
          <w:lang w:val="hr-HR" w:eastAsia="en-GB"/>
        </w:rPr>
        <w:t xml:space="preserve"> </w:t>
      </w:r>
      <w:r w:rsidRPr="007E66EE">
        <w:rPr>
          <w:lang w:val="hr-HR" w:eastAsia="en-GB"/>
        </w:rPr>
        <w:t>(b) da</w:t>
      </w:r>
      <w:r>
        <w:rPr>
          <w:lang w:val="hr-HR" w:eastAsia="en-GB"/>
        </w:rPr>
        <w:t xml:space="preserve"> </w:t>
      </w:r>
      <w:r w:rsidRPr="007E66EE">
        <w:rPr>
          <w:lang w:val="hr-HR" w:eastAsia="en-GB"/>
        </w:rPr>
        <w:t>su sloboda izražavanja i udruživanja neophodne za održivi napredak te pozivajući se u članku II</w:t>
      </w:r>
      <w:r>
        <w:rPr>
          <w:lang w:val="hr-HR" w:eastAsia="en-GB"/>
        </w:rPr>
        <w:t xml:space="preserve"> </w:t>
      </w:r>
      <w:r w:rsidRPr="007E66EE">
        <w:rPr>
          <w:lang w:val="hr-HR" w:eastAsia="en-GB"/>
        </w:rPr>
        <w:t xml:space="preserve">(a) na temeljna prava koja su </w:t>
      </w:r>
      <w:r>
        <w:rPr>
          <w:lang w:val="hr-HR" w:eastAsia="en-GB"/>
        </w:rPr>
        <w:t>neodvojiv dio ljudskog dostojan</w:t>
      </w:r>
      <w:r w:rsidRPr="007E66EE">
        <w:rPr>
          <w:lang w:val="hr-HR" w:eastAsia="en-GB"/>
        </w:rPr>
        <w:t>stva. Otada je ovaj odnos opetovano potvrđen i naglašen od strane nadzornih tijela MOR-a, kao i konvencija, preporuka i rezolucija usvojenih od strane Međunarodne konferencije rada.</w:t>
      </w:r>
    </w:p>
    <w:p w:rsidR="000610A7" w:rsidRPr="007E66EE" w:rsidRDefault="000610A7" w:rsidP="005227A1">
      <w:pPr>
        <w:pStyle w:val="JuQuot"/>
        <w:rPr>
          <w:lang w:val="hr-HR" w:eastAsia="en-GB"/>
        </w:rPr>
      </w:pPr>
      <w:r w:rsidRPr="007E66EE">
        <w:rPr>
          <w:lang w:val="hr-HR" w:eastAsia="en-GB"/>
        </w:rPr>
        <w:t>...</w:t>
      </w:r>
    </w:p>
    <w:p w:rsidR="000610A7" w:rsidRPr="007E66EE" w:rsidRDefault="000610A7" w:rsidP="005227A1">
      <w:pPr>
        <w:pStyle w:val="JuQuot"/>
        <w:rPr>
          <w:lang w:val="hr-HR" w:eastAsia="en-GB"/>
        </w:rPr>
      </w:pPr>
      <w:r w:rsidRPr="007E66EE">
        <w:rPr>
          <w:lang w:val="hr-HR" w:eastAsia="en-GB"/>
        </w:rPr>
        <w:t>27. Dostupni podaci, prvenstveno oni koji se odnose na narav pritužbi podnesenih Odboru slobode udruživanja, pokazuju da se glavne poteškoće na koje nailaze sindikalne organizacije, njihova vodstva i članovi odnose na osnovna prava, u prvom redu pravo na osobnu sigurnost, slobodu okupljanja, slobodu misli i izražavanja, kao i</w:t>
      </w:r>
      <w:r>
        <w:rPr>
          <w:lang w:val="hr-HR" w:eastAsia="en-GB"/>
        </w:rPr>
        <w:t xml:space="preserve"> </w:t>
      </w:r>
      <w:r w:rsidRPr="007E66EE">
        <w:rPr>
          <w:lang w:val="hr-HR" w:eastAsia="en-GB"/>
        </w:rPr>
        <w:t>na pravo zaštite imovine i prostorija sindikata.</w:t>
      </w:r>
    </w:p>
    <w:p w:rsidR="000610A7" w:rsidRPr="007E66EE" w:rsidRDefault="000610A7" w:rsidP="005227A1">
      <w:pPr>
        <w:pStyle w:val="JuQuot"/>
        <w:rPr>
          <w:lang w:val="hr-HR" w:eastAsia="en-GB"/>
        </w:rPr>
      </w:pPr>
      <w:r w:rsidRPr="007E66EE">
        <w:rPr>
          <w:lang w:val="hr-HR" w:eastAsia="en-GB"/>
        </w:rPr>
        <w:t>...</w:t>
      </w:r>
    </w:p>
    <w:p w:rsidR="000610A7" w:rsidRPr="007E66EE" w:rsidRDefault="000610A7" w:rsidP="005227A1">
      <w:pPr>
        <w:pStyle w:val="JuQuot"/>
        <w:rPr>
          <w:u w:val="single"/>
          <w:lang w:val="hr-HR" w:eastAsia="en-GB"/>
        </w:rPr>
      </w:pPr>
      <w:r w:rsidRPr="007E66EE">
        <w:rPr>
          <w:u w:val="single"/>
          <w:lang w:val="hr-HR" w:eastAsia="en-GB"/>
        </w:rPr>
        <w:t>Sloboda misli i izražavanja</w:t>
      </w:r>
    </w:p>
    <w:p w:rsidR="000610A7" w:rsidRDefault="000610A7" w:rsidP="005227A1">
      <w:pPr>
        <w:pStyle w:val="JuQuot"/>
        <w:rPr>
          <w:lang w:val="hr-HR" w:eastAsia="en-GB"/>
        </w:rPr>
      </w:pPr>
      <w:r w:rsidRPr="007E66EE">
        <w:rPr>
          <w:lang w:val="hr-HR" w:eastAsia="en-GB"/>
        </w:rPr>
        <w:t>38. Još jedan neophodan aspe</w:t>
      </w:r>
      <w:r>
        <w:rPr>
          <w:lang w:val="hr-HR" w:eastAsia="en-GB"/>
        </w:rPr>
        <w:t>k</w:t>
      </w:r>
      <w:r w:rsidRPr="007E66EE">
        <w:rPr>
          <w:lang w:val="hr-HR" w:eastAsia="en-GB"/>
        </w:rPr>
        <w:t xml:space="preserve">t prava sindikata čini i pravo izražavanja mišljenja putem tiska ili na drugi način. Puno ostvarenje prava sindikata zahtijeva slobodan tijek informacija, mišljenja i ideja, a radnici, poslodavci i njihove organizacije trebale bi uživati slobodu misli i izražavanja na svojim sastancima, u njihovim publikacijama te </w:t>
      </w:r>
      <w:r w:rsidRPr="007E66EE">
        <w:rPr>
          <w:lang w:val="hr-HR" w:eastAsia="en-GB"/>
        </w:rPr>
        <w:lastRenderedPageBreak/>
        <w:t>tijekom ostalih aktivnosti. U slučajevima u kojima se postavlja pitanje davanja licence za publikacije sindikata, obvezna licence ne bi trebala biti prep</w:t>
      </w:r>
      <w:r>
        <w:rPr>
          <w:lang w:val="hr-HR" w:eastAsia="en-GB"/>
        </w:rPr>
        <w:t>uštena diskreciji vlasti koje ju</w:t>
      </w:r>
      <w:r w:rsidRPr="007E66EE">
        <w:rPr>
          <w:lang w:val="hr-HR" w:eastAsia="en-GB"/>
        </w:rPr>
        <w:t xml:space="preserve"> </w:t>
      </w:r>
      <w:r>
        <w:rPr>
          <w:lang w:val="hr-HR" w:eastAsia="en-GB"/>
        </w:rPr>
        <w:t>iz</w:t>
      </w:r>
      <w:r w:rsidRPr="007E66EE">
        <w:rPr>
          <w:lang w:val="hr-HR" w:eastAsia="en-GB"/>
        </w:rPr>
        <w:t>daju, niti bi se trebala koristiti kao sredstvo nametanja prethodne cenzure sadržaja publikacija; nad</w:t>
      </w:r>
      <w:r>
        <w:rPr>
          <w:lang w:val="hr-HR" w:eastAsia="en-GB"/>
        </w:rPr>
        <w:t>alje, svaki bi se zahtjev za izdavanje takve licence trebao r</w:t>
      </w:r>
      <w:r w:rsidRPr="007E66EE">
        <w:rPr>
          <w:lang w:val="hr-HR" w:eastAsia="en-GB"/>
        </w:rPr>
        <w:t>ješavati bez odlaganja. ... Mjere upravne kontrole – primjerice, povlačenje licence dane novinama sindikata, kontrola prostorija i opreme za tisak ili kontrola snabd</w:t>
      </w:r>
      <w:r>
        <w:rPr>
          <w:lang w:val="hr-HR" w:eastAsia="en-GB"/>
        </w:rPr>
        <w:t>i</w:t>
      </w:r>
      <w:r w:rsidRPr="007E66EE">
        <w:rPr>
          <w:lang w:val="hr-HR" w:eastAsia="en-GB"/>
        </w:rPr>
        <w:t>jevanja papirom – tre</w:t>
      </w:r>
      <w:r>
        <w:rPr>
          <w:lang w:val="hr-HR" w:eastAsia="en-GB"/>
        </w:rPr>
        <w:t>bale bi biti predmetom neodložne</w:t>
      </w:r>
      <w:r w:rsidRPr="007E66EE">
        <w:rPr>
          <w:lang w:val="hr-HR" w:eastAsia="en-GB"/>
        </w:rPr>
        <w:t xml:space="preserve"> i nezavisne sudske kontrole.</w:t>
      </w:r>
    </w:p>
    <w:p w:rsidR="000610A7" w:rsidRPr="007E66EE" w:rsidRDefault="000610A7" w:rsidP="005227A1">
      <w:pPr>
        <w:pStyle w:val="JuQuot"/>
        <w:rPr>
          <w:lang w:val="hr-HR" w:eastAsia="en-GB"/>
        </w:rPr>
      </w:pPr>
      <w:r w:rsidRPr="007E66EE">
        <w:rPr>
          <w:lang w:val="hr-HR" w:eastAsia="en-GB"/>
        </w:rPr>
        <w:t>39. Važan vid slobode izražavanja jest sloboda govora poslanika na sastancima, konferencijama i okupljanjima udruženja radnika, te posebice na Međunarodnoj konferenciji rada.</w:t>
      </w:r>
    </w:p>
    <w:p w:rsidR="000610A7" w:rsidRPr="007E66EE" w:rsidRDefault="000610A7" w:rsidP="005227A1">
      <w:pPr>
        <w:pStyle w:val="JuQuot"/>
        <w:rPr>
          <w:lang w:val="hr-HR" w:eastAsia="en-GB"/>
        </w:rPr>
      </w:pPr>
      <w:r w:rsidRPr="007E66EE">
        <w:rPr>
          <w:lang w:val="hr-HR" w:eastAsia="en-GB"/>
        </w:rPr>
        <w:t>...</w:t>
      </w:r>
    </w:p>
    <w:p w:rsidR="000610A7" w:rsidRPr="007E66EE" w:rsidRDefault="000610A7" w:rsidP="005227A1">
      <w:pPr>
        <w:pStyle w:val="JuQuot"/>
        <w:rPr>
          <w:lang w:val="hr-HR" w:eastAsia="en-US"/>
        </w:rPr>
      </w:pPr>
      <w:r w:rsidRPr="007E66EE">
        <w:rPr>
          <w:lang w:val="hr-HR" w:eastAsia="en-GB"/>
        </w:rPr>
        <w:t>43. Odbor smatra da jamstva sadržana u međunarodnim konvencijama rada, posebice ona koja se odnose na slobodu udruživanja, mogu biti učinkovita jedino ako su zaista priznata i poštivana gr</w:t>
      </w:r>
      <w:r>
        <w:rPr>
          <w:lang w:val="hr-HR" w:eastAsia="en-GB"/>
        </w:rPr>
        <w:t>a</w:t>
      </w:r>
      <w:r w:rsidRPr="007E66EE">
        <w:rPr>
          <w:lang w:val="hr-HR" w:eastAsia="en-GB"/>
        </w:rPr>
        <w:t xml:space="preserve">đanska i politička prava sadržana u Univerzalnoj deklaraciji o ljudskim pravima i drugim međunarodnim instrumentima, osobito u Paktu o građanskim i političkim pravima. Ova nematerijalna i opća načela, čiju važnost Odbor želi posebno naglasiti na ovu 75.-tu godišnjicu osnivanja MOR-a i 50-tu godišnjicu </w:t>
      </w:r>
      <w:proofErr w:type="spellStart"/>
      <w:r w:rsidRPr="007E66EE">
        <w:rPr>
          <w:lang w:val="hr-HR" w:eastAsia="en-GB"/>
        </w:rPr>
        <w:t>Philadelphijske</w:t>
      </w:r>
      <w:proofErr w:type="spellEnd"/>
      <w:r w:rsidRPr="007E66EE">
        <w:rPr>
          <w:lang w:val="hr-HR" w:eastAsia="en-GB"/>
        </w:rPr>
        <w:t xml:space="preserve"> deklaracije, trebala bi tvoriti zajedničke ideale koji</w:t>
      </w:r>
      <w:r>
        <w:rPr>
          <w:lang w:val="hr-HR" w:eastAsia="en-GB"/>
        </w:rPr>
        <w:t>ma bi težili svi ljudi i nacije</w:t>
      </w:r>
      <w:r w:rsidRPr="007E66EE">
        <w:rPr>
          <w:lang w:val="hr-HR" w:eastAsia="en-GB"/>
        </w:rPr>
        <w:t>.”</w:t>
      </w:r>
    </w:p>
    <w:p w:rsidR="000610A7" w:rsidRPr="007E66EE" w:rsidRDefault="000610A7" w:rsidP="00E726F2">
      <w:pPr>
        <w:pStyle w:val="JuPara"/>
        <w:ind w:right="-13"/>
        <w:rPr>
          <w:bCs/>
          <w:color w:val="231F20"/>
          <w:szCs w:val="24"/>
          <w:lang w:val="hr-HR"/>
        </w:rPr>
      </w:pPr>
      <w:r w:rsidRPr="007E66EE">
        <w:rPr>
          <w:lang w:val="hr-HR" w:eastAsia="en-US"/>
        </w:rPr>
        <w:fldChar w:fldCharType="begin"/>
      </w:r>
      <w:r w:rsidRPr="007E66EE">
        <w:rPr>
          <w:lang w:val="hr-HR" w:eastAsia="en-US"/>
        </w:rPr>
        <w:instrText xml:space="preserve"> SEQ level0 \*arabic </w:instrText>
      </w:r>
      <w:r w:rsidRPr="007E66EE">
        <w:rPr>
          <w:lang w:val="hr-HR" w:eastAsia="en-US"/>
        </w:rPr>
        <w:fldChar w:fldCharType="separate"/>
      </w:r>
      <w:r w:rsidRPr="007E66EE">
        <w:rPr>
          <w:noProof/>
          <w:lang w:val="hr-HR" w:eastAsia="en-US"/>
        </w:rPr>
        <w:t>24</w:t>
      </w:r>
      <w:r w:rsidRPr="007E66EE">
        <w:rPr>
          <w:lang w:val="hr-HR" w:eastAsia="en-US"/>
        </w:rPr>
        <w:fldChar w:fldCharType="end"/>
      </w:r>
      <w:r w:rsidRPr="007E66EE">
        <w:rPr>
          <w:lang w:val="hr-HR" w:eastAsia="en-US"/>
        </w:rPr>
        <w:t>.  Peto (</w:t>
      </w:r>
      <w:r>
        <w:rPr>
          <w:lang w:val="hr-HR" w:eastAsia="en-US"/>
        </w:rPr>
        <w:t>izmijenjeno</w:t>
      </w:r>
      <w:r w:rsidRPr="007E66EE">
        <w:rPr>
          <w:lang w:val="hr-HR" w:eastAsia="en-US"/>
        </w:rPr>
        <w:t>) izdanje Pregleda odluka i načela Odbora za slobodu udruživanja upravnih tijela Međunarodne organizacije rada objavljeno u 2006</w:t>
      </w:r>
      <w:r>
        <w:rPr>
          <w:lang w:val="hr-HR" w:eastAsia="en-US"/>
        </w:rPr>
        <w:t>.</w:t>
      </w:r>
      <w:r w:rsidRPr="007E66EE">
        <w:rPr>
          <w:lang w:val="hr-HR" w:eastAsia="en-US"/>
        </w:rPr>
        <w:t>, sadrži</w:t>
      </w:r>
      <w:r>
        <w:rPr>
          <w:lang w:val="hr-HR" w:eastAsia="en-US"/>
        </w:rPr>
        <w:t xml:space="preserve"> sažetak načela i</w:t>
      </w:r>
      <w:r w:rsidRPr="007E66EE">
        <w:rPr>
          <w:lang w:val="hr-HR" w:eastAsia="en-US"/>
        </w:rPr>
        <w:t>zraženih od strane tog Odbora u kontekstu pojedinačnih ili skupni</w:t>
      </w:r>
      <w:r>
        <w:rPr>
          <w:lang w:val="hr-HR" w:eastAsia="en-US"/>
        </w:rPr>
        <w:t>h</w:t>
      </w:r>
      <w:r w:rsidRPr="007E66EE">
        <w:rPr>
          <w:lang w:val="hr-HR" w:eastAsia="en-US"/>
        </w:rPr>
        <w:t xml:space="preserve"> pritužbi glede navodnih povreda sindikalnih prava. Opća načela koja se odnose na slobodu misli i izražavanja uključuju iduća:</w:t>
      </w:r>
    </w:p>
    <w:p w:rsidR="000610A7" w:rsidRPr="007E66EE" w:rsidRDefault="000610A7" w:rsidP="00E726F2">
      <w:pPr>
        <w:pStyle w:val="JuQuot"/>
        <w:rPr>
          <w:lang w:val="hr-HR" w:eastAsia="en-GB"/>
        </w:rPr>
      </w:pPr>
      <w:r w:rsidRPr="007E66EE">
        <w:rPr>
          <w:lang w:val="hr-HR" w:eastAsia="en-GB"/>
        </w:rPr>
        <w:t>“154. Puno ostvarivanje sindikalnih prava zahtijeva slobodan protok informacija, mišljenje i ideja, te bi u tom smislu radnici, poslodavci i njihove organizacije trebali uživati slobodu mišljenja i izražavanja na njihovim sastancima, u publikacijama te u čitavom tijeku njihovih sindikalnih aktivnosti. Unatoč tome, u izražavanju svojih mišljenja, sindikalne organizacije moraju poštivati granice pristojnosti te se moraju suzdržati od korištenja uvredljivog jezika. (vidi Pregled iz 1996., st.. 152; 304.-i Izvještaj, predmet br. 1850, st. 210.; 306.-i Izvještaj, predmet br. 1885, st. 140.; 309.-i Izvještaj, predmet br. 1945, st. 67.; 324.-i izvještaj, predmet br. 2014, st. 925.; i 336.-i izvještaj, predmet br. 2340, st. 652.)</w:t>
      </w:r>
    </w:p>
    <w:p w:rsidR="000610A7" w:rsidRPr="007E66EE" w:rsidRDefault="000610A7" w:rsidP="00E726F2">
      <w:pPr>
        <w:pStyle w:val="JuQuot"/>
        <w:rPr>
          <w:lang w:val="hr-HR" w:eastAsia="en-GB"/>
        </w:rPr>
      </w:pPr>
      <w:r w:rsidRPr="007E66EE">
        <w:rPr>
          <w:lang w:val="hr-HR" w:eastAsia="en-GB"/>
        </w:rPr>
        <w:t>155. Pravo izražavanja mišljenja putem tiska ili na drugi način temeljni je aspekt prava sindikata. (vidi Pregled iz 1996., st. 153.; 299.-i Izvještaj, predmet br. 1640/1646, st. 150.; 302.-i Izvještaj, predmet br. 1817, st. 324.; 324.-i Izvještaj, predmet br. 2065, st. 131.; 327.-i Izvještaj, predmet br. 2147, st. 865.; 328.-i Izvještaj, predmet br. 1961, st. 42.; 332.-i Izvještaj, predmet br. 2090, st. 354.; i 333.-i Izvještaj, predmet br. 2272, st. 539.)</w:t>
      </w:r>
    </w:p>
    <w:p w:rsidR="000610A7" w:rsidRPr="007E66EE" w:rsidRDefault="000610A7" w:rsidP="00E726F2">
      <w:pPr>
        <w:pStyle w:val="JuQuot"/>
        <w:rPr>
          <w:lang w:val="hr-HR" w:eastAsia="en-GB"/>
        </w:rPr>
      </w:pPr>
      <w:r w:rsidRPr="007E66EE">
        <w:rPr>
          <w:lang w:val="hr-HR" w:eastAsia="en-GB"/>
        </w:rPr>
        <w:t>156. Pravo izraziti mišljenje kroz tisak bez prethodnog odobrenja jedno je od temeljnih elemenata prava radnih organizacija. (vidi Pregled iz 1996. st. 154.)</w:t>
      </w:r>
    </w:p>
    <w:p w:rsidR="000610A7" w:rsidRPr="007E66EE" w:rsidRDefault="000610A7" w:rsidP="00E726F2">
      <w:pPr>
        <w:pStyle w:val="JuQuot"/>
        <w:rPr>
          <w:lang w:val="hr-HR" w:eastAsia="en-GB"/>
        </w:rPr>
      </w:pPr>
      <w:r w:rsidRPr="007E66EE">
        <w:rPr>
          <w:lang w:val="hr-HR" w:eastAsia="en-GB"/>
        </w:rPr>
        <w:t>157. Sloboda izražavanja koju bi trebali uživati sin</w:t>
      </w:r>
      <w:r>
        <w:rPr>
          <w:lang w:val="hr-HR" w:eastAsia="en-GB"/>
        </w:rPr>
        <w:t>d</w:t>
      </w:r>
      <w:r w:rsidRPr="007E66EE">
        <w:rPr>
          <w:lang w:val="hr-HR" w:eastAsia="en-GB"/>
        </w:rPr>
        <w:t>ikati i njihovi vođe također bi trebala biti zajamčena kad žele kritizirati gospodarsku i socijalnu politiku Vlade. (vidi Pregled iz 1996. st. 155.)</w:t>
      </w:r>
    </w:p>
    <w:p w:rsidR="000610A7" w:rsidRPr="007E66EE" w:rsidRDefault="000610A7" w:rsidP="00E726F2">
      <w:pPr>
        <w:pStyle w:val="JuQuot"/>
        <w:rPr>
          <w:lang w:val="hr-HR" w:eastAsia="en-GB"/>
        </w:rPr>
      </w:pPr>
      <w:r w:rsidRPr="007E66EE">
        <w:rPr>
          <w:lang w:val="hr-HR" w:eastAsia="en-GB"/>
        </w:rPr>
        <w:t>...</w:t>
      </w:r>
    </w:p>
    <w:p w:rsidR="000610A7" w:rsidRPr="007E66EE" w:rsidRDefault="000610A7" w:rsidP="00E726F2">
      <w:pPr>
        <w:pStyle w:val="JuQuot"/>
        <w:rPr>
          <w:lang w:val="hr-HR" w:eastAsia="en-GB"/>
        </w:rPr>
      </w:pPr>
      <w:r w:rsidRPr="007E66EE">
        <w:rPr>
          <w:lang w:val="hr-HR" w:eastAsia="en-GB"/>
        </w:rPr>
        <w:lastRenderedPageBreak/>
        <w:t xml:space="preserve">163. Zabrana postavljanja </w:t>
      </w:r>
      <w:proofErr w:type="spellStart"/>
      <w:r w:rsidRPr="007E66EE">
        <w:rPr>
          <w:lang w:val="hr-HR" w:eastAsia="en-GB"/>
        </w:rPr>
        <w:t>postera</w:t>
      </w:r>
      <w:proofErr w:type="spellEnd"/>
      <w:r w:rsidRPr="007E66EE">
        <w:rPr>
          <w:lang w:val="hr-HR" w:eastAsia="en-GB"/>
        </w:rPr>
        <w:t xml:space="preserve"> koji sadrže stav središnje sindikalne organizacije neprihvatljivo je ograničenje sindikalne aktivnost. (vidi Pregled iz 1996. st. 467.)</w:t>
      </w:r>
    </w:p>
    <w:p w:rsidR="000610A7" w:rsidRPr="007E66EE" w:rsidRDefault="000610A7" w:rsidP="00E726F2">
      <w:pPr>
        <w:pStyle w:val="JuQuot"/>
        <w:rPr>
          <w:lang w:val="hr-HR" w:eastAsia="en-GB"/>
        </w:rPr>
      </w:pPr>
      <w:r w:rsidRPr="007E66EE">
        <w:rPr>
          <w:lang w:val="hr-HR" w:eastAsia="en-GB"/>
        </w:rPr>
        <w:t>...</w:t>
      </w:r>
    </w:p>
    <w:p w:rsidR="000610A7" w:rsidRPr="007E66EE" w:rsidRDefault="000610A7" w:rsidP="00E726F2">
      <w:pPr>
        <w:pStyle w:val="JuQuot"/>
        <w:rPr>
          <w:lang w:val="hr-HR" w:eastAsia="en-GB"/>
        </w:rPr>
      </w:pPr>
      <w:r w:rsidRPr="007E66EE">
        <w:rPr>
          <w:lang w:val="hr-HR" w:eastAsia="en-GB"/>
        </w:rPr>
        <w:t>166. Objavljivanje i dijeljenje novosti i informacija od općeg ili posebnog interesa sindikatima i njihovim članovima predstavlja legitimnu aktivnost sindikata, a primjena bilo kakve mjere namijenjene kontroli publikacija ili sredstava priopćavanja može uključivati ozbiljno uplitanje od strane upravnih vlasti. U takvim slučajevima izvršavanje uprav</w:t>
      </w:r>
      <w:r>
        <w:rPr>
          <w:lang w:val="hr-HR" w:eastAsia="en-GB"/>
        </w:rPr>
        <w:t>ne vlasti mora š</w:t>
      </w:r>
      <w:r w:rsidRPr="007E66EE">
        <w:rPr>
          <w:lang w:val="hr-HR" w:eastAsia="en-GB"/>
        </w:rPr>
        <w:t>to je ranije moguće biti podvrgnuto sudskoj kontroli. (vidi Pregled iz 1996., st. 161; 320.-i Izvještaj, predmet br. 2031, st. 172.; i 327.-i Izvještaj, predmet br. 1787, st. 341.)</w:t>
      </w:r>
    </w:p>
    <w:p w:rsidR="000610A7" w:rsidRPr="007E66EE" w:rsidRDefault="000610A7" w:rsidP="00E726F2">
      <w:pPr>
        <w:pStyle w:val="JuQuot"/>
        <w:rPr>
          <w:lang w:val="hr-HR" w:eastAsia="en-GB"/>
        </w:rPr>
      </w:pPr>
      <w:r w:rsidRPr="007E66EE">
        <w:rPr>
          <w:lang w:val="hr-HR" w:eastAsia="en-GB"/>
        </w:rPr>
        <w:t>...</w:t>
      </w:r>
    </w:p>
    <w:p w:rsidR="000610A7" w:rsidRPr="007E66EE" w:rsidRDefault="000610A7" w:rsidP="00E726F2">
      <w:pPr>
        <w:pStyle w:val="JuQuot"/>
        <w:rPr>
          <w:lang w:val="hr-HR" w:eastAsia="en-GB"/>
        </w:rPr>
      </w:pPr>
      <w:r w:rsidRPr="007E66EE">
        <w:rPr>
          <w:lang w:val="hr-HR" w:eastAsia="en-GB"/>
        </w:rPr>
        <w:t>168. Iako se nametanje opće cenzure prvenstveno odnosi na građanske slobode, a ne na prava si</w:t>
      </w:r>
      <w:r>
        <w:rPr>
          <w:lang w:val="hr-HR" w:eastAsia="en-GB"/>
        </w:rPr>
        <w:t>n</w:t>
      </w:r>
      <w:r w:rsidRPr="007E66EE">
        <w:rPr>
          <w:lang w:val="hr-HR" w:eastAsia="en-GB"/>
        </w:rPr>
        <w:t>dikata, cenzura tiska tijekom industrijskog spora može biti od direktnog utjecaja na provođenje spora te može utjecati na stranke na način da ne dopusti da se saznaju istinite činjenice oko tog spora. (vidi Pregled iz 1996., st. 163.)</w:t>
      </w:r>
    </w:p>
    <w:p w:rsidR="000610A7" w:rsidRPr="007E66EE" w:rsidRDefault="000610A7" w:rsidP="00E726F2">
      <w:pPr>
        <w:pStyle w:val="JuQuot"/>
        <w:rPr>
          <w:lang w:val="hr-HR" w:eastAsia="en-GB"/>
        </w:rPr>
      </w:pPr>
      <w:r w:rsidRPr="007E66EE">
        <w:rPr>
          <w:lang w:val="hr-HR" w:eastAsia="en-GB"/>
        </w:rPr>
        <w:t xml:space="preserve">169. </w:t>
      </w:r>
      <w:r>
        <w:rPr>
          <w:lang w:val="hr-HR" w:eastAsia="en-GB"/>
        </w:rPr>
        <w:t>Prilikom izdavanja svojih publikacija</w:t>
      </w:r>
      <w:r w:rsidRPr="007E66EE">
        <w:rPr>
          <w:lang w:val="hr-HR" w:eastAsia="en-GB"/>
        </w:rPr>
        <w:t xml:space="preserve"> sindikalne organizacije moraju, u interesu razvoja sindikalnih pokreta, voditi računa o načelima proglašenim od strane Međunarodne konferencije rada na svojoj 35.-oj sjednici (1952) za zaštitu slobode i nezavisnosti sindikalnih pokreta i njihove osnovne zadaće koja se sastoji u osiguravanja socijalne i ekonomske dobrobiti svih radnika. (vidi Pregled iz 1996., st. 165.)</w:t>
      </w:r>
    </w:p>
    <w:p w:rsidR="000610A7" w:rsidRPr="007E66EE" w:rsidRDefault="000610A7" w:rsidP="00E726F2">
      <w:pPr>
        <w:pStyle w:val="JuQuot"/>
        <w:rPr>
          <w:lang w:val="hr-HR" w:eastAsia="en-GB"/>
        </w:rPr>
      </w:pPr>
      <w:r w:rsidRPr="007E66EE">
        <w:rPr>
          <w:lang w:val="hr-HR" w:eastAsia="en-GB"/>
        </w:rPr>
        <w:t>170. U slučaju da sindikalni bilten u svojim aluzijama i optužbama protiv Vlade prijeđe dopustive granice polemike, Odbor je istaknuo da bi se sindikalne publikacije trebale suzdržati od ekstravagantnog jezika. Primarna uloga takvih publikacija trebala bi biti obrada pitanja koja se odnose na zaštitu i promicanje interesa članova sin</w:t>
      </w:r>
      <w:r>
        <w:rPr>
          <w:lang w:val="hr-HR" w:eastAsia="en-GB"/>
        </w:rPr>
        <w:t xml:space="preserve">dikata posebice u svezi s </w:t>
      </w:r>
      <w:proofErr w:type="spellStart"/>
      <w:r>
        <w:rPr>
          <w:lang w:val="hr-HR" w:eastAsia="en-GB"/>
        </w:rPr>
        <w:t>radno</w:t>
      </w:r>
      <w:r w:rsidRPr="007E66EE">
        <w:rPr>
          <w:lang w:val="hr-HR" w:eastAsia="en-GB"/>
        </w:rPr>
        <w:t>pravnim</w:t>
      </w:r>
      <w:proofErr w:type="spellEnd"/>
      <w:r w:rsidRPr="007E66EE">
        <w:rPr>
          <w:lang w:val="hr-HR" w:eastAsia="en-GB"/>
        </w:rPr>
        <w:t xml:space="preserve"> odnosima općenito. Unatoč tome, Odbor je priznao da je teško povući jasnu granicu između političkog i strogo sindikalnog pitanja. Istaknuo je da se ova dva pojma preklapaju te da je neizbježno i ponekad normalno da sindikati izraze svoje stajalište o pitanjima politike kao i o pitanjima strogo ekonomske ili socijalne naravi. </w:t>
      </w:r>
      <w:r w:rsidRPr="007E66EE">
        <w:rPr>
          <w:lang w:val="hr-HR"/>
        </w:rPr>
        <w:t>(</w:t>
      </w:r>
      <w:r w:rsidRPr="007E66EE">
        <w:rPr>
          <w:lang w:val="hr-HR" w:eastAsia="en-GB"/>
        </w:rPr>
        <w:t>vidi Pregled iz 1996., st.</w:t>
      </w:r>
      <w:r w:rsidRPr="007E66EE">
        <w:rPr>
          <w:lang w:val="hr-HR"/>
        </w:rPr>
        <w:t xml:space="preserve"> 166.)”</w:t>
      </w:r>
    </w:p>
    <w:p w:rsidR="000610A7" w:rsidRPr="007E66EE" w:rsidRDefault="000610A7" w:rsidP="00E726F2">
      <w:pPr>
        <w:pStyle w:val="JuHA"/>
        <w:outlineLvl w:val="0"/>
        <w:rPr>
          <w:lang w:val="hr-HR"/>
        </w:rPr>
      </w:pPr>
      <w:r w:rsidRPr="007E66EE">
        <w:rPr>
          <w:lang w:val="hr-HR"/>
        </w:rPr>
        <w:t>B.  Inter-američki sud za ljudska prava</w:t>
      </w:r>
    </w:p>
    <w:p w:rsidR="000610A7" w:rsidRPr="007E66EE" w:rsidRDefault="000610A7" w:rsidP="00E726F2">
      <w:pPr>
        <w:pStyle w:val="JuPara"/>
        <w:rPr>
          <w:lang w:val="hr-HR"/>
        </w:rPr>
      </w:pPr>
      <w:r w:rsidRPr="007E66EE">
        <w:rPr>
          <w:lang w:val="hr-HR"/>
        </w:rPr>
        <w:fldChar w:fldCharType="begin"/>
      </w:r>
      <w:r w:rsidRPr="007E66EE">
        <w:rPr>
          <w:lang w:val="hr-HR"/>
        </w:rPr>
        <w:instrText xml:space="preserve"> SEQ level0 \*arabic </w:instrText>
      </w:r>
      <w:r w:rsidRPr="007E66EE">
        <w:rPr>
          <w:lang w:val="hr-HR"/>
        </w:rPr>
        <w:fldChar w:fldCharType="separate"/>
      </w:r>
      <w:r w:rsidRPr="007E66EE">
        <w:rPr>
          <w:noProof/>
          <w:lang w:val="hr-HR"/>
        </w:rPr>
        <w:t>25</w:t>
      </w:r>
      <w:r w:rsidRPr="007E66EE">
        <w:rPr>
          <w:lang w:val="hr-HR"/>
        </w:rPr>
        <w:fldChar w:fldCharType="end"/>
      </w:r>
      <w:r w:rsidRPr="007E66EE">
        <w:rPr>
          <w:lang w:val="hr-HR"/>
        </w:rPr>
        <w:t>.  Američka konvencija sadrži poseban dodatni proto</w:t>
      </w:r>
      <w:r>
        <w:rPr>
          <w:lang w:val="hr-HR"/>
        </w:rPr>
        <w:t>k</w:t>
      </w:r>
      <w:r w:rsidRPr="007E66EE">
        <w:rPr>
          <w:lang w:val="hr-HR"/>
        </w:rPr>
        <w:t>ol koji se odnosi na ekonomska, socijalna i kulturna prava, tzv. “San Salvado</w:t>
      </w:r>
      <w:r>
        <w:rPr>
          <w:lang w:val="hr-HR"/>
        </w:rPr>
        <w:t>r</w:t>
      </w:r>
      <w:r w:rsidRPr="007E66EE">
        <w:rPr>
          <w:lang w:val="hr-HR"/>
        </w:rPr>
        <w:t>ski Protokol”. Usvoje</w:t>
      </w:r>
      <w:r>
        <w:rPr>
          <w:lang w:val="hr-HR"/>
        </w:rPr>
        <w:t>n</w:t>
      </w:r>
      <w:r w:rsidRPr="007E66EE">
        <w:rPr>
          <w:lang w:val="hr-HR"/>
        </w:rPr>
        <w:t xml:space="preserve"> i otvoren za potpisivanje 17</w:t>
      </w:r>
      <w:r>
        <w:rPr>
          <w:lang w:val="hr-HR"/>
        </w:rPr>
        <w:t>. studeno</w:t>
      </w:r>
      <w:r w:rsidRPr="007E66EE">
        <w:rPr>
          <w:lang w:val="hr-HR"/>
        </w:rPr>
        <w:t xml:space="preserve">g 1988. , na snagu je stupio 16. studenog 1999. </w:t>
      </w:r>
      <w:r>
        <w:rPr>
          <w:lang w:val="hr-HR"/>
        </w:rPr>
        <w:t>Članak 8. t</w:t>
      </w:r>
      <w:r w:rsidRPr="007E66EE">
        <w:rPr>
          <w:lang w:val="hr-HR"/>
        </w:rPr>
        <w:t>og Protokola, pod nazivom “Prava sindikata” glasi kako slijedi:</w:t>
      </w:r>
    </w:p>
    <w:p w:rsidR="000610A7" w:rsidRPr="007E66EE" w:rsidRDefault="000610A7" w:rsidP="00E726F2">
      <w:pPr>
        <w:pStyle w:val="JuQuot"/>
        <w:rPr>
          <w:szCs w:val="24"/>
          <w:lang w:val="hr-HR" w:eastAsia="en-GB"/>
        </w:rPr>
      </w:pPr>
      <w:r w:rsidRPr="007E66EE">
        <w:rPr>
          <w:lang w:val="hr-HR" w:eastAsia="en-GB"/>
        </w:rPr>
        <w:t>“1. Države stranke će osigurati:</w:t>
      </w:r>
    </w:p>
    <w:p w:rsidR="000610A7" w:rsidRPr="007E66EE" w:rsidRDefault="000610A7" w:rsidP="00E726F2">
      <w:pPr>
        <w:pStyle w:val="JuQuot"/>
        <w:rPr>
          <w:szCs w:val="24"/>
          <w:lang w:val="hr-HR" w:eastAsia="en-GB"/>
        </w:rPr>
      </w:pPr>
      <w:r w:rsidRPr="007E66EE">
        <w:rPr>
          <w:lang w:val="hr-HR" w:eastAsia="en-GB"/>
        </w:rPr>
        <w:t>a. Pravo radnika da osnuju sindikate i</w:t>
      </w:r>
      <w:r>
        <w:rPr>
          <w:lang w:val="hr-HR" w:eastAsia="en-GB"/>
        </w:rPr>
        <w:t xml:space="preserve"> </w:t>
      </w:r>
      <w:r w:rsidRPr="007E66EE">
        <w:rPr>
          <w:lang w:val="hr-HR" w:eastAsia="en-GB"/>
        </w:rPr>
        <w:t xml:space="preserve">da se učlane u sindikat po njihovom izboru u svrhu zaštite i promicanja njihovih interesa. Nastavno na to pravo, države stranke će dozvoliti sindikatima da osnuju nacionalne federacije </w:t>
      </w:r>
      <w:r>
        <w:rPr>
          <w:lang w:val="hr-HR" w:eastAsia="en-GB"/>
        </w:rPr>
        <w:t>ili konfederacije, ili da se pri</w:t>
      </w:r>
      <w:r w:rsidRPr="007E66EE">
        <w:rPr>
          <w:lang w:val="hr-HR" w:eastAsia="en-GB"/>
        </w:rPr>
        <w:t>druže onim već postojećima, kao i da osnivaju međunarodne organizacije sindikata i</w:t>
      </w:r>
      <w:r>
        <w:rPr>
          <w:lang w:val="hr-HR" w:eastAsia="en-GB"/>
        </w:rPr>
        <w:t xml:space="preserve"> </w:t>
      </w:r>
      <w:r w:rsidRPr="007E66EE">
        <w:rPr>
          <w:lang w:val="hr-HR" w:eastAsia="en-GB"/>
        </w:rPr>
        <w:t>da se pridruže onima svog izbora.</w:t>
      </w:r>
      <w:r>
        <w:rPr>
          <w:lang w:val="hr-HR" w:eastAsia="en-GB"/>
        </w:rPr>
        <w:t xml:space="preserve"> </w:t>
      </w:r>
      <w:r w:rsidRPr="007E66EE">
        <w:rPr>
          <w:lang w:val="hr-HR" w:eastAsia="en-GB"/>
        </w:rPr>
        <w:t>Države stranke također će dozvoliti slobodno djelovanje sindikata, federacija i konfederacija;</w:t>
      </w:r>
    </w:p>
    <w:p w:rsidR="000610A7" w:rsidRPr="007E66EE" w:rsidRDefault="000610A7" w:rsidP="00E726F2">
      <w:pPr>
        <w:pStyle w:val="JuQuot"/>
        <w:rPr>
          <w:szCs w:val="24"/>
          <w:lang w:val="hr-HR" w:eastAsia="en-GB"/>
        </w:rPr>
      </w:pPr>
      <w:r w:rsidRPr="007E66EE">
        <w:rPr>
          <w:lang w:val="hr-HR" w:eastAsia="en-GB"/>
        </w:rPr>
        <w:t>b. Pravo na štrajk.</w:t>
      </w:r>
    </w:p>
    <w:p w:rsidR="000610A7" w:rsidRDefault="000610A7" w:rsidP="00E726F2">
      <w:pPr>
        <w:pStyle w:val="JuQuot"/>
        <w:rPr>
          <w:lang w:val="hr-HR" w:eastAsia="en-GB"/>
        </w:rPr>
      </w:pPr>
      <w:r w:rsidRPr="007E66EE">
        <w:rPr>
          <w:lang w:val="hr-HR" w:eastAsia="en-GB"/>
        </w:rPr>
        <w:lastRenderedPageBreak/>
        <w:t>2. Os</w:t>
      </w:r>
      <w:r>
        <w:rPr>
          <w:lang w:val="hr-HR" w:eastAsia="en-GB"/>
        </w:rPr>
        <w:t>t</w:t>
      </w:r>
      <w:r w:rsidRPr="007E66EE">
        <w:rPr>
          <w:lang w:val="hr-HR" w:eastAsia="en-GB"/>
        </w:rPr>
        <w:t>varivanje gore navedenih prava može se ograničiti samo u skladu sa zakonom i pod uvjetom da su takva ograničenja karakteristična za demokratsko društvo i nužna za očuvanje javnog reda, zaštitu zdravlja ili morala ili prava i sloboda drugih. Članovi oružanih snaga, policije i ostalih osnovnih javnih službi bit će podložni zakonom određenim ograničenjima.</w:t>
      </w:r>
    </w:p>
    <w:p w:rsidR="000610A7" w:rsidRPr="007E66EE" w:rsidRDefault="000610A7" w:rsidP="00E726F2">
      <w:pPr>
        <w:pStyle w:val="JuQuot"/>
        <w:rPr>
          <w:szCs w:val="24"/>
          <w:lang w:val="hr-HR" w:eastAsia="en-GB"/>
        </w:rPr>
      </w:pPr>
      <w:r w:rsidRPr="007E66EE">
        <w:rPr>
          <w:lang w:val="hr-HR" w:eastAsia="en-GB"/>
        </w:rPr>
        <w:t>3. Nikoga se ne može prisiliti na pridruživanje sindikatu.”</w:t>
      </w:r>
    </w:p>
    <w:p w:rsidR="000610A7" w:rsidRPr="007E66EE" w:rsidRDefault="000610A7" w:rsidP="00E726F2">
      <w:pPr>
        <w:pStyle w:val="JuPara"/>
        <w:rPr>
          <w:lang w:val="hr-HR"/>
        </w:rPr>
      </w:pPr>
      <w:r w:rsidRPr="007E66EE">
        <w:rPr>
          <w:lang w:val="hr-HR" w:eastAsia="en-US"/>
        </w:rPr>
        <w:fldChar w:fldCharType="begin"/>
      </w:r>
      <w:r w:rsidRPr="007E66EE">
        <w:rPr>
          <w:lang w:val="hr-HR" w:eastAsia="en-US"/>
        </w:rPr>
        <w:instrText xml:space="preserve"> SEQ level0 \*arabic </w:instrText>
      </w:r>
      <w:r w:rsidRPr="007E66EE">
        <w:rPr>
          <w:lang w:val="hr-HR" w:eastAsia="en-US"/>
        </w:rPr>
        <w:fldChar w:fldCharType="separate"/>
      </w:r>
      <w:r w:rsidRPr="007E66EE">
        <w:rPr>
          <w:noProof/>
          <w:lang w:val="hr-HR" w:eastAsia="en-US"/>
        </w:rPr>
        <w:t>26</w:t>
      </w:r>
      <w:r w:rsidRPr="007E66EE">
        <w:rPr>
          <w:lang w:val="hr-HR" w:eastAsia="en-US"/>
        </w:rPr>
        <w:fldChar w:fldCharType="end"/>
      </w:r>
      <w:r w:rsidRPr="007E66EE">
        <w:rPr>
          <w:lang w:val="hr-HR" w:eastAsia="en-US"/>
        </w:rPr>
        <w:t xml:space="preserve">.  U svom savjetodavnom mišljenju </w:t>
      </w:r>
      <w:r w:rsidRPr="007E66EE">
        <w:rPr>
          <w:rStyle w:val="JuParaChar"/>
          <w:lang w:val="hr-HR"/>
        </w:rPr>
        <w:t xml:space="preserve">OC-5/85, Inter-američki sud naglasio je temeljnu narav slobode izražavanja za opstanak demokratskog društva, istaknuvši između ostalog kako je sloboda izražavanja </w:t>
      </w:r>
      <w:r>
        <w:rPr>
          <w:rStyle w:val="JuParaChar"/>
          <w:lang w:val="hr-HR"/>
        </w:rPr>
        <w:t xml:space="preserve">uvjet </w:t>
      </w:r>
      <w:r w:rsidRPr="007E66EE">
        <w:rPr>
          <w:i/>
          <w:lang w:val="hr-HR" w:eastAsia="en-GB"/>
        </w:rPr>
        <w:t xml:space="preserve">sine </w:t>
      </w:r>
      <w:proofErr w:type="spellStart"/>
      <w:r w:rsidRPr="007E66EE">
        <w:rPr>
          <w:i/>
          <w:lang w:val="hr-HR" w:eastAsia="en-GB"/>
        </w:rPr>
        <w:t>qua</w:t>
      </w:r>
      <w:proofErr w:type="spellEnd"/>
      <w:r w:rsidRPr="007E66EE">
        <w:rPr>
          <w:i/>
          <w:lang w:val="hr-HR" w:eastAsia="en-GB"/>
        </w:rPr>
        <w:t xml:space="preserve"> </w:t>
      </w:r>
      <w:proofErr w:type="spellStart"/>
      <w:r w:rsidRPr="007E66EE">
        <w:rPr>
          <w:i/>
          <w:lang w:val="hr-HR" w:eastAsia="en-GB"/>
        </w:rPr>
        <w:t>non</w:t>
      </w:r>
      <w:proofErr w:type="spellEnd"/>
      <w:r w:rsidRPr="007E66EE">
        <w:rPr>
          <w:lang w:val="hr-HR" w:eastAsia="en-GB"/>
        </w:rPr>
        <w:t xml:space="preserve"> za razvoj sindikata. Zaključio je kako slijedi (st. 70. mišljenja):</w:t>
      </w:r>
    </w:p>
    <w:p w:rsidR="000610A7" w:rsidRPr="007E66EE" w:rsidRDefault="000610A7" w:rsidP="00E726F2">
      <w:pPr>
        <w:pStyle w:val="JuQuot"/>
        <w:rPr>
          <w:lang w:val="hr-HR" w:eastAsia="en-GB"/>
        </w:rPr>
      </w:pPr>
      <w:r w:rsidRPr="007E66EE">
        <w:rPr>
          <w:lang w:val="hr-HR"/>
        </w:rPr>
        <w:t xml:space="preserve">“Sloboda izražavanja predstavlja kamen temeljac na koji se oslanja samo postojanje demokratskog društva. Neophodna je za oblikovanje javnog mišljenja. Također je </w:t>
      </w:r>
      <w:proofErr w:type="spellStart"/>
      <w:r w:rsidRPr="007E66EE">
        <w:rPr>
          <w:i/>
          <w:lang w:val="hr-HR"/>
        </w:rPr>
        <w:t>conditio</w:t>
      </w:r>
      <w:proofErr w:type="spellEnd"/>
      <w:r w:rsidRPr="007E66EE">
        <w:rPr>
          <w:i/>
          <w:lang w:val="hr-HR"/>
        </w:rPr>
        <w:t xml:space="preserve"> sine </w:t>
      </w:r>
      <w:proofErr w:type="spellStart"/>
      <w:r w:rsidRPr="007E66EE">
        <w:rPr>
          <w:i/>
          <w:lang w:val="hr-HR"/>
        </w:rPr>
        <w:t>qua</w:t>
      </w:r>
      <w:proofErr w:type="spellEnd"/>
      <w:r w:rsidRPr="007E66EE">
        <w:rPr>
          <w:i/>
          <w:lang w:val="hr-HR"/>
        </w:rPr>
        <w:t xml:space="preserve"> </w:t>
      </w:r>
      <w:proofErr w:type="spellStart"/>
      <w:r w:rsidRPr="007E66EE">
        <w:rPr>
          <w:i/>
          <w:lang w:val="hr-HR"/>
        </w:rPr>
        <w:t>non</w:t>
      </w:r>
      <w:proofErr w:type="spellEnd"/>
      <w:r w:rsidRPr="007E66EE">
        <w:rPr>
          <w:lang w:val="hr-HR"/>
        </w:rPr>
        <w:t xml:space="preserve"> za razvoj političkih stranaka, sindikata, znanstvenih i kulturnih društava te, općenito, onih koji žele utjecati </w:t>
      </w:r>
      <w:r>
        <w:rPr>
          <w:lang w:val="hr-HR"/>
        </w:rPr>
        <w:t xml:space="preserve">na </w:t>
      </w:r>
      <w:r w:rsidRPr="007E66EE">
        <w:rPr>
          <w:lang w:val="hr-HR"/>
        </w:rPr>
        <w:t>javnost. Ukratko, ona predstavlja sredstvo koje omogućuje dovoljnu obaviještenost zajednice u ostvarivanju svojih mogućnosti. Stoga se može reći da društvo koje nije dovoljno informirano nije niti istinski slobodno.”</w:t>
      </w:r>
    </w:p>
    <w:p w:rsidR="000610A7" w:rsidRPr="007E66EE" w:rsidRDefault="000610A7" w:rsidP="00E726F2">
      <w:pPr>
        <w:pStyle w:val="JuHIRoman"/>
        <w:outlineLvl w:val="0"/>
        <w:rPr>
          <w:lang w:val="hr-HR"/>
        </w:rPr>
      </w:pPr>
      <w:r w:rsidRPr="007E66EE">
        <w:rPr>
          <w:lang w:val="hr-HR"/>
        </w:rPr>
        <w:t>IV.  ELEMENTI KOMPARATIVNOG PRAVA</w:t>
      </w:r>
    </w:p>
    <w:p w:rsidR="000610A7" w:rsidRPr="007E66EE" w:rsidRDefault="000610A7" w:rsidP="00470D37">
      <w:pPr>
        <w:pStyle w:val="JuPara"/>
        <w:rPr>
          <w:lang w:val="hr-HR" w:eastAsia="en-US"/>
        </w:rPr>
      </w:pPr>
      <w:r w:rsidRPr="007E66EE">
        <w:rPr>
          <w:lang w:val="hr-HR" w:eastAsia="en-US"/>
        </w:rPr>
        <w:fldChar w:fldCharType="begin"/>
      </w:r>
      <w:r w:rsidRPr="007E66EE">
        <w:rPr>
          <w:lang w:val="hr-HR" w:eastAsia="en-US"/>
        </w:rPr>
        <w:instrText xml:space="preserve"> SEQ level0 \*arabic </w:instrText>
      </w:r>
      <w:r w:rsidRPr="007E66EE">
        <w:rPr>
          <w:lang w:val="hr-HR" w:eastAsia="en-US"/>
        </w:rPr>
        <w:fldChar w:fldCharType="separate"/>
      </w:r>
      <w:r w:rsidRPr="007E66EE">
        <w:rPr>
          <w:noProof/>
          <w:lang w:val="hr-HR" w:eastAsia="en-US"/>
        </w:rPr>
        <w:t>27</w:t>
      </w:r>
      <w:r w:rsidRPr="007E66EE">
        <w:rPr>
          <w:lang w:val="hr-HR" w:eastAsia="en-US"/>
        </w:rPr>
        <w:fldChar w:fldCharType="end"/>
      </w:r>
      <w:r w:rsidRPr="007E66EE">
        <w:rPr>
          <w:lang w:val="hr-HR" w:eastAsia="en-US"/>
        </w:rPr>
        <w:t>.  </w:t>
      </w:r>
      <w:r>
        <w:rPr>
          <w:lang w:val="hr-HR" w:eastAsia="en-US"/>
        </w:rPr>
        <w:t>Komparativno-</w:t>
      </w:r>
      <w:r w:rsidRPr="007E66EE">
        <w:rPr>
          <w:lang w:val="hr-HR" w:eastAsia="en-US"/>
        </w:rPr>
        <w:t>pravna usporedba pokazala je da su disciplinske moći poslodavaca u državama članicama Vijeća Europe vrlo r</w:t>
      </w:r>
      <w:r>
        <w:rPr>
          <w:lang w:val="hr-HR" w:eastAsia="en-US"/>
        </w:rPr>
        <w:t>azličite</w:t>
      </w:r>
      <w:r w:rsidRPr="007E66EE">
        <w:rPr>
          <w:lang w:val="hr-HR" w:eastAsia="en-US"/>
        </w:rPr>
        <w:t>. Među trideset pet država koje su uspoređene postoji određena usklađenost pravnih sustava: svi predviđaju i organiziraju slobodu izražavanja zaposlenika i slobod</w:t>
      </w:r>
      <w:r>
        <w:rPr>
          <w:lang w:val="hr-HR" w:eastAsia="en-US"/>
        </w:rPr>
        <w:t>u</w:t>
      </w:r>
      <w:r w:rsidRPr="007E66EE">
        <w:rPr>
          <w:lang w:val="hr-HR" w:eastAsia="en-US"/>
        </w:rPr>
        <w:t xml:space="preserve"> sindikata, obično odredbama ustavne snage ili, gdje to nije slučaj, zakonskim propisima. Zaposlenici koji služe kao predstavnici su pod posebnom zaštitom kako bi im se pomoglo u izvršavanju njih</w:t>
      </w:r>
      <w:r>
        <w:rPr>
          <w:lang w:val="hr-HR" w:eastAsia="en-US"/>
        </w:rPr>
        <w:t>o</w:t>
      </w:r>
      <w:r w:rsidRPr="007E66EE">
        <w:rPr>
          <w:lang w:val="hr-HR" w:eastAsia="en-US"/>
        </w:rPr>
        <w:t>vih dužnosti. Propisi u svim državama određuju pravila koja predviđ</w:t>
      </w:r>
      <w:r>
        <w:rPr>
          <w:lang w:val="hr-HR" w:eastAsia="en-US"/>
        </w:rPr>
        <w:t>aju kazne u slučajevima zloupora</w:t>
      </w:r>
      <w:r w:rsidRPr="007E66EE">
        <w:rPr>
          <w:lang w:val="hr-HR" w:eastAsia="en-US"/>
        </w:rPr>
        <w:t>be prava na slobodu izražavanja kako bi pomiril</w:t>
      </w:r>
      <w:r>
        <w:rPr>
          <w:lang w:val="hr-HR" w:eastAsia="en-US"/>
        </w:rPr>
        <w:t>i</w:t>
      </w:r>
      <w:r w:rsidRPr="007E66EE">
        <w:rPr>
          <w:lang w:val="hr-HR" w:eastAsia="en-US"/>
        </w:rPr>
        <w:t xml:space="preserve"> ostvarivanje ovog prava s temeljnim pravima i slobodama drugih. Ovlasti poslodavaca dopuštaju disciplinsku akciju, ukoliko je to potrebno, protiv radnika čije ponašanje se može smatrati nepriličnom upotrebom njegove slobode izražavanja. Sudska praksa je u takvim premetima dosljedna i pokazuje da postoji sustavno ispitivanje proporcionalnosti između otkaza i ponašanja na kojem se temelji.</w:t>
      </w:r>
    </w:p>
    <w:p w:rsidR="000610A7" w:rsidRDefault="000610A7" w:rsidP="009603DB">
      <w:pPr>
        <w:pStyle w:val="JuPara"/>
        <w:rPr>
          <w:lang w:val="hr-HR" w:eastAsia="en-US"/>
        </w:rPr>
      </w:pPr>
      <w:r w:rsidRPr="007E66EE">
        <w:rPr>
          <w:lang w:val="hr-HR" w:eastAsia="en-US"/>
        </w:rPr>
        <w:fldChar w:fldCharType="begin"/>
      </w:r>
      <w:r w:rsidRPr="007E66EE">
        <w:rPr>
          <w:lang w:val="hr-HR" w:eastAsia="en-US"/>
        </w:rPr>
        <w:instrText xml:space="preserve"> SEQ level0 \*arabic </w:instrText>
      </w:r>
      <w:r w:rsidRPr="007E66EE">
        <w:rPr>
          <w:lang w:val="hr-HR" w:eastAsia="en-US"/>
        </w:rPr>
        <w:fldChar w:fldCharType="separate"/>
      </w:r>
      <w:r w:rsidRPr="007E66EE">
        <w:rPr>
          <w:noProof/>
          <w:lang w:val="hr-HR" w:eastAsia="en-US"/>
        </w:rPr>
        <w:t>28</w:t>
      </w:r>
      <w:r w:rsidRPr="007E66EE">
        <w:rPr>
          <w:lang w:val="hr-HR" w:eastAsia="en-US"/>
        </w:rPr>
        <w:fldChar w:fldCharType="end"/>
      </w:r>
      <w:r w:rsidRPr="007E66EE">
        <w:rPr>
          <w:lang w:val="hr-HR" w:eastAsia="en-US"/>
        </w:rPr>
        <w:t>.  Instrumenti domaćeg prava predviđaju kaznu za bilo kakvo ponašanje zaposlenika koje bi moglo povrijediti prava i slobode drugih.</w:t>
      </w:r>
    </w:p>
    <w:p w:rsidR="000610A7" w:rsidRDefault="000610A7" w:rsidP="009603DB">
      <w:pPr>
        <w:pStyle w:val="JuPara"/>
        <w:rPr>
          <w:lang w:val="hr-HR"/>
        </w:rPr>
      </w:pPr>
      <w:r w:rsidRPr="007E66EE">
        <w:rPr>
          <w:lang w:val="hr-HR"/>
        </w:rPr>
        <w:t xml:space="preserve">Mjerodavna pravila kao prvo mogu </w:t>
      </w:r>
      <w:r>
        <w:rPr>
          <w:lang w:val="hr-HR"/>
        </w:rPr>
        <w:t>biti sadržana u kaznenom zakonu</w:t>
      </w:r>
      <w:r w:rsidRPr="007E66EE">
        <w:rPr>
          <w:lang w:val="hr-HR"/>
        </w:rPr>
        <w:t xml:space="preserve"> ili u odredbama koje se odnose na mogućnost pokretanja postupka za utvrđenje odgovornosti. U većini slučajeva kazneni pojmovi poput klevete, povrede časti ili ugleda ili uvrede omogućavaju osobi koja se smatra žrtvom takve povrede da pokrene postupak za utvrđivanje odgovornosti osobe koja je dala sporne komentare.</w:t>
      </w:r>
    </w:p>
    <w:p w:rsidR="000610A7" w:rsidRPr="007E66EE" w:rsidRDefault="000610A7" w:rsidP="00C93D5A">
      <w:pPr>
        <w:pStyle w:val="JuPara"/>
        <w:rPr>
          <w:lang w:val="hr-HR"/>
        </w:rPr>
      </w:pPr>
      <w:r w:rsidRPr="007E66EE">
        <w:rPr>
          <w:lang w:val="hr-HR"/>
        </w:rPr>
        <w:t xml:space="preserve">Pravila u zakonima o radu ili odredbama koje se primjenjuju na državne službenike također uređuju ostvarenje prava na slobodu izražavanja </w:t>
      </w:r>
      <w:r w:rsidRPr="007E66EE">
        <w:rPr>
          <w:lang w:val="hr-HR"/>
        </w:rPr>
        <w:lastRenderedPageBreak/>
        <w:t>zaposlenika, te ukoliko je potrebno predviđaju kaznu za bilo kakvu zlouporabu. Slična ograničenja mogu se nametnuti državnim dužnosnicima, imali on</w:t>
      </w:r>
      <w:r>
        <w:rPr>
          <w:lang w:val="hr-HR"/>
        </w:rPr>
        <w:t>i</w:t>
      </w:r>
      <w:r w:rsidRPr="007E66EE">
        <w:rPr>
          <w:lang w:val="hr-HR"/>
        </w:rPr>
        <w:t xml:space="preserve"> ili ne status “državnih službenika”.</w:t>
      </w:r>
    </w:p>
    <w:p w:rsidR="000610A7" w:rsidRPr="007E66EE" w:rsidRDefault="000610A7" w:rsidP="009603DB">
      <w:pPr>
        <w:pStyle w:val="JuPara"/>
        <w:rPr>
          <w:lang w:val="hr-HR"/>
        </w:rPr>
      </w:pPr>
      <w:r w:rsidRPr="007E66EE">
        <w:rPr>
          <w:lang w:val="hr-HR"/>
        </w:rPr>
        <w:fldChar w:fldCharType="begin"/>
      </w:r>
      <w:r w:rsidRPr="007E66EE">
        <w:rPr>
          <w:lang w:val="hr-HR"/>
        </w:rPr>
        <w:instrText xml:space="preserve"> SEQ level0 \*arabic </w:instrText>
      </w:r>
      <w:r w:rsidRPr="007E66EE">
        <w:rPr>
          <w:lang w:val="hr-HR"/>
        </w:rPr>
        <w:fldChar w:fldCharType="separate"/>
      </w:r>
      <w:r w:rsidRPr="007E66EE">
        <w:rPr>
          <w:noProof/>
          <w:lang w:val="hr-HR"/>
        </w:rPr>
        <w:t>29</w:t>
      </w:r>
      <w:r w:rsidRPr="007E66EE">
        <w:rPr>
          <w:lang w:val="hr-HR"/>
        </w:rPr>
        <w:fldChar w:fldCharType="end"/>
      </w:r>
      <w:r w:rsidRPr="007E66EE">
        <w:rPr>
          <w:lang w:val="hr-HR"/>
        </w:rPr>
        <w:t xml:space="preserve">.  Disciplinski autoritet jedna je od temeljnih povlastica kako privatnih tako i javnih poslodavaca. </w:t>
      </w:r>
      <w:r w:rsidRPr="007E66EE">
        <w:rPr>
          <w:lang w:val="hr-HR" w:eastAsia="en-US"/>
        </w:rPr>
        <w:t>S tim u svezi, poslodavci imaju široko polje diskrecije prilikom izricanja sankcija koje smatraju najpogodnijim optužbama protiv zaposlenika; ljestvica mogućih sankcija obuhvaća mogu</w:t>
      </w:r>
      <w:r>
        <w:rPr>
          <w:lang w:val="hr-HR" w:eastAsia="en-US"/>
        </w:rPr>
        <w:t>ćnost otkaza osobi koja je ozbi</w:t>
      </w:r>
      <w:r w:rsidRPr="007E66EE">
        <w:rPr>
          <w:lang w:val="hr-HR" w:eastAsia="en-US"/>
        </w:rPr>
        <w:t xml:space="preserve">ljno ugrozila interese društva ili javne službe. Paralelno tome ovu mogućnost davanja otkaza prati zabrana otkaza zaposlenicima iz razloga koji se temelje na aktivnosti u sindikatu. Otkaz se može temeljiti na nedoličnom ponašanju ili na opravdanom razlogu. </w:t>
      </w:r>
      <w:r w:rsidRPr="007E66EE">
        <w:rPr>
          <w:lang w:val="hr-HR"/>
        </w:rPr>
        <w:t>U prvom slučaju odnosi se na određeni – identificiran</w:t>
      </w:r>
      <w:r>
        <w:rPr>
          <w:lang w:val="hr-HR"/>
        </w:rPr>
        <w:t>i</w:t>
      </w:r>
      <w:r w:rsidRPr="007E66EE">
        <w:rPr>
          <w:lang w:val="hr-HR"/>
        </w:rPr>
        <w:t xml:space="preserve"> – oblik ponašanja. U drugom se ponašanje razmatra u općim crtama.</w:t>
      </w:r>
    </w:p>
    <w:p w:rsidR="000610A7" w:rsidRDefault="000610A7" w:rsidP="009603DB">
      <w:pPr>
        <w:pStyle w:val="JuPara"/>
        <w:rPr>
          <w:lang w:val="hr-HR"/>
        </w:rPr>
      </w:pPr>
      <w:r w:rsidRPr="007E66EE">
        <w:rPr>
          <w:lang w:val="hr-HR"/>
        </w:rPr>
        <w:fldChar w:fldCharType="begin"/>
      </w:r>
      <w:r w:rsidRPr="007E66EE">
        <w:rPr>
          <w:lang w:val="hr-HR"/>
        </w:rPr>
        <w:instrText xml:space="preserve"> SEQ level0 \*arabic </w:instrText>
      </w:r>
      <w:r w:rsidRPr="007E66EE">
        <w:rPr>
          <w:lang w:val="hr-HR"/>
        </w:rPr>
        <w:fldChar w:fldCharType="separate"/>
      </w:r>
      <w:r w:rsidRPr="007E66EE">
        <w:rPr>
          <w:noProof/>
          <w:lang w:val="hr-HR"/>
        </w:rPr>
        <w:t>30</w:t>
      </w:r>
      <w:r w:rsidRPr="007E66EE">
        <w:rPr>
          <w:lang w:val="hr-HR"/>
        </w:rPr>
        <w:fldChar w:fldCharType="end"/>
      </w:r>
      <w:r w:rsidRPr="007E66EE">
        <w:rPr>
          <w:lang w:val="hr-HR"/>
        </w:rPr>
        <w:t>.  Proporcionalnost otkaza u odnosu na ponašanje zaposlenika temelj je u svim analiziranim zakonodavstvima.</w:t>
      </w:r>
    </w:p>
    <w:p w:rsidR="000610A7" w:rsidRDefault="000610A7" w:rsidP="009603DB">
      <w:pPr>
        <w:pStyle w:val="JuPara"/>
        <w:rPr>
          <w:lang w:val="hr-HR"/>
        </w:rPr>
      </w:pPr>
      <w:r w:rsidRPr="007E66EE">
        <w:rPr>
          <w:lang w:val="hr-HR"/>
        </w:rPr>
        <w:fldChar w:fldCharType="begin"/>
      </w:r>
      <w:r w:rsidRPr="007E66EE">
        <w:rPr>
          <w:lang w:val="hr-HR"/>
        </w:rPr>
        <w:instrText xml:space="preserve"> SEQ level0 \*arabic </w:instrText>
      </w:r>
      <w:r w:rsidRPr="007E66EE">
        <w:rPr>
          <w:lang w:val="hr-HR"/>
        </w:rPr>
        <w:fldChar w:fldCharType="separate"/>
      </w:r>
      <w:r w:rsidRPr="007E66EE">
        <w:rPr>
          <w:noProof/>
          <w:lang w:val="hr-HR"/>
        </w:rPr>
        <w:t>31</w:t>
      </w:r>
      <w:r w:rsidRPr="007E66EE">
        <w:rPr>
          <w:lang w:val="hr-HR"/>
        </w:rPr>
        <w:fldChar w:fldCharType="end"/>
      </w:r>
      <w:r w:rsidRPr="007E66EE">
        <w:rPr>
          <w:lang w:val="hr-HR"/>
        </w:rPr>
        <w:t xml:space="preserve">.  Mjerodavno pravo razmotrenih država pokazuje da se svaka zlouporaba slobode izražavanja zaposlenika ili javnih službenika uvijek smatra osuđujućom činjenicom koja može opravdati disciplinsku mjeru koja bi mogla ići sve do otkaza. Za te potrebe u obzir se uzimaju činjenice objektivne naravi, kao što su: (i) ozbiljnost nedoličnog ponašanja; (ii) karakterizacija komentara, opseg njihovog objavljivanja, kao i neki subjektivni elementi koji uključuju osobnu situaciju zaposlenika, bilo koju zlouporabu slobode izražavanja kao i pitanje da li sporno ponašanje </w:t>
      </w:r>
      <w:proofErr w:type="spellStart"/>
      <w:r w:rsidRPr="007E66EE">
        <w:rPr>
          <w:lang w:val="hr-HR"/>
        </w:rPr>
        <w:t>prevazilazi</w:t>
      </w:r>
      <w:proofErr w:type="spellEnd"/>
      <w:r w:rsidRPr="007E66EE">
        <w:rPr>
          <w:lang w:val="hr-HR"/>
        </w:rPr>
        <w:t xml:space="preserve"> “normalnu” sindikalnu aktivnost.</w:t>
      </w:r>
    </w:p>
    <w:p w:rsidR="000610A7" w:rsidRDefault="000610A7" w:rsidP="009603DB">
      <w:pPr>
        <w:pStyle w:val="JuPara"/>
        <w:rPr>
          <w:lang w:val="hr-HR" w:eastAsia="en-US"/>
        </w:rPr>
      </w:pPr>
      <w:r w:rsidRPr="007E66EE">
        <w:rPr>
          <w:lang w:val="hr-HR"/>
        </w:rPr>
        <w:fldChar w:fldCharType="begin"/>
      </w:r>
      <w:r w:rsidRPr="007E66EE">
        <w:rPr>
          <w:lang w:val="hr-HR"/>
        </w:rPr>
        <w:instrText xml:space="preserve"> SEQ level0 \*arabic </w:instrText>
      </w:r>
      <w:r w:rsidRPr="007E66EE">
        <w:rPr>
          <w:lang w:val="hr-HR"/>
        </w:rPr>
        <w:fldChar w:fldCharType="separate"/>
      </w:r>
      <w:r w:rsidRPr="007E66EE">
        <w:rPr>
          <w:noProof/>
          <w:lang w:val="hr-HR"/>
        </w:rPr>
        <w:t>32</w:t>
      </w:r>
      <w:r w:rsidRPr="007E66EE">
        <w:rPr>
          <w:lang w:val="hr-HR"/>
        </w:rPr>
        <w:fldChar w:fldCharType="end"/>
      </w:r>
      <w:r w:rsidRPr="007E66EE">
        <w:rPr>
          <w:lang w:val="hr-HR"/>
        </w:rPr>
        <w:t xml:space="preserve">.  U svim razmotrenim državama opća pravila su jasna i dozvoljavaju da se zaposlenikovo pravo na slobodu izražavanja važe sa pravima i ovlastima poslodavca. </w:t>
      </w:r>
      <w:r w:rsidRPr="007E66EE">
        <w:rPr>
          <w:lang w:val="hr-HR" w:eastAsia="en-US"/>
        </w:rPr>
        <w:t>Njihova provedba je problem</w:t>
      </w:r>
      <w:r>
        <w:rPr>
          <w:lang w:val="hr-HR" w:eastAsia="en-US"/>
        </w:rPr>
        <w:t>a</w:t>
      </w:r>
      <w:r w:rsidRPr="007E66EE">
        <w:rPr>
          <w:lang w:val="hr-HR" w:eastAsia="en-US"/>
        </w:rPr>
        <w:t>tičnija budući da se ograničenje temeljnog prava može prihvatiti samo ukoliko je proporcionalno cilju koji se želi postići, uzimajući u obzir mjeru koja se primjenjuje. Samo se individualnim pristupom svakom slučaju pojedinačno može shvatiti bit rješenja koja je praksa razvila u svakoj vrsti situacija.</w:t>
      </w:r>
    </w:p>
    <w:p w:rsidR="000610A7" w:rsidRPr="007E66EE" w:rsidRDefault="000610A7" w:rsidP="00AF23DA">
      <w:pPr>
        <w:pStyle w:val="JuHHead"/>
        <w:rPr>
          <w:lang w:val="hr-HR"/>
        </w:rPr>
      </w:pPr>
      <w:r w:rsidRPr="007E66EE">
        <w:rPr>
          <w:lang w:val="hr-HR"/>
        </w:rPr>
        <w:t>PRAVO</w:t>
      </w:r>
    </w:p>
    <w:p w:rsidR="000610A7" w:rsidRDefault="000610A7" w:rsidP="00770057">
      <w:pPr>
        <w:pStyle w:val="JuHIRoman"/>
        <w:rPr>
          <w:lang w:val="hr-HR"/>
        </w:rPr>
      </w:pPr>
      <w:r w:rsidRPr="007E66EE">
        <w:rPr>
          <w:lang w:val="hr-HR"/>
        </w:rPr>
        <w:t>I.  NAVODNA POVREDA ČLANKA 10. KONVENCIJE SHVAĆENOG U SVJETLU ČLANKA 11.</w:t>
      </w:r>
    </w:p>
    <w:p w:rsidR="000610A7" w:rsidRDefault="000610A7" w:rsidP="005C00D6">
      <w:pPr>
        <w:pStyle w:val="JuPara"/>
        <w:rPr>
          <w:lang w:val="hr-HR"/>
        </w:rPr>
      </w:pPr>
      <w:r w:rsidRPr="007E66EE">
        <w:rPr>
          <w:lang w:val="hr-HR"/>
        </w:rPr>
        <w:fldChar w:fldCharType="begin"/>
      </w:r>
      <w:r w:rsidRPr="007E66EE">
        <w:rPr>
          <w:lang w:val="hr-HR"/>
        </w:rPr>
        <w:instrText xml:space="preserve"> SEQ level0 \*arabic </w:instrText>
      </w:r>
      <w:r w:rsidRPr="007E66EE">
        <w:rPr>
          <w:lang w:val="hr-HR"/>
        </w:rPr>
        <w:fldChar w:fldCharType="separate"/>
      </w:r>
      <w:r w:rsidRPr="007E66EE">
        <w:rPr>
          <w:noProof/>
          <w:lang w:val="hr-HR"/>
        </w:rPr>
        <w:t>33</w:t>
      </w:r>
      <w:r w:rsidRPr="007E66EE">
        <w:rPr>
          <w:lang w:val="hr-HR"/>
        </w:rPr>
        <w:fldChar w:fldCharType="end"/>
      </w:r>
      <w:r w:rsidRPr="007E66EE">
        <w:rPr>
          <w:lang w:val="hr-HR"/>
        </w:rPr>
        <w:t>.  Podnositelji zahtjeva, koji su članovi izvršnog odbora sindikata N.A.A., žalili su se da su dobili otkaz zbog sadržaja biltena sindikata iz ožujka 2002. Tvrd</w:t>
      </w:r>
      <w:r>
        <w:rPr>
          <w:lang w:val="hr-HR"/>
        </w:rPr>
        <w:t>ili su da društvo P. n</w:t>
      </w:r>
      <w:r w:rsidRPr="007E66EE">
        <w:rPr>
          <w:lang w:val="hr-HR"/>
        </w:rPr>
        <w:t>ikad nije provjerilo pojedinačne razine njihove umiješanosti niti osobne odgovornosti. Naveli su</w:t>
      </w:r>
      <w:r>
        <w:rPr>
          <w:lang w:val="hr-HR"/>
        </w:rPr>
        <w:t xml:space="preserve"> </w:t>
      </w:r>
      <w:r w:rsidRPr="007E66EE">
        <w:rPr>
          <w:lang w:val="hr-HR"/>
        </w:rPr>
        <w:t>i da</w:t>
      </w:r>
      <w:r>
        <w:rPr>
          <w:lang w:val="hr-HR"/>
        </w:rPr>
        <w:t xml:space="preserve"> </w:t>
      </w:r>
      <w:r w:rsidRPr="007E66EE">
        <w:rPr>
          <w:lang w:val="hr-HR"/>
        </w:rPr>
        <w:t xml:space="preserve">su dobili otkaze kao odmazdu za zahtjeve sindikata te da je navodno uvredljiv sadržaj biltena </w:t>
      </w:r>
      <w:r w:rsidRPr="007E66EE">
        <w:rPr>
          <w:lang w:val="hr-HR"/>
        </w:rPr>
        <w:lastRenderedPageBreak/>
        <w:t>predstavljao samo izgovor. Bili su mišljenja da karikature i dva sporna članka nisu prekoračili granice dopuštene kritike pod člankom 10. Konvencije, iz razloga što su sporni izrazi korišteni u humorističnom duhu i bez ikakve namjere vrijeđanja.</w:t>
      </w:r>
    </w:p>
    <w:p w:rsidR="000610A7" w:rsidRPr="007E66EE" w:rsidRDefault="000610A7" w:rsidP="005C00D6">
      <w:pPr>
        <w:pStyle w:val="JuPara"/>
        <w:rPr>
          <w:lang w:val="hr-HR"/>
        </w:rPr>
      </w:pPr>
      <w:r w:rsidRPr="007E66EE">
        <w:rPr>
          <w:lang w:val="hr-HR"/>
        </w:rPr>
        <w:t>Podnositelji su se pozivali na članke 10. i 11. Konvencije, koji glase kako slijedi :</w:t>
      </w:r>
    </w:p>
    <w:p w:rsidR="000610A7" w:rsidRPr="007E66EE" w:rsidRDefault="000610A7" w:rsidP="005C00D6">
      <w:pPr>
        <w:pStyle w:val="JuHArticle"/>
        <w:rPr>
          <w:lang w:val="hr-HR"/>
        </w:rPr>
      </w:pPr>
      <w:r w:rsidRPr="007E66EE">
        <w:rPr>
          <w:lang w:val="hr-HR"/>
        </w:rPr>
        <w:t>Članak 10.</w:t>
      </w:r>
    </w:p>
    <w:p w:rsidR="000610A7" w:rsidRPr="007E66EE" w:rsidRDefault="000610A7" w:rsidP="001A7EEE">
      <w:pPr>
        <w:pStyle w:val="JuQuot"/>
        <w:rPr>
          <w:lang w:val="hr-HR"/>
        </w:rPr>
      </w:pPr>
      <w:r w:rsidRPr="007E66EE">
        <w:rPr>
          <w:lang w:val="hr-HR"/>
        </w:rPr>
        <w:t>“1.  Svatko ima pravo na slobodu izražavanja. To pravo obuhvaća slobodu mišljenja i slobodu primanja i širenja informacija i ideja bez miješanja javne vlasti....</w:t>
      </w:r>
    </w:p>
    <w:p w:rsidR="000610A7" w:rsidRPr="007E66EE" w:rsidRDefault="000610A7" w:rsidP="001A7EEE">
      <w:pPr>
        <w:pStyle w:val="JuQuot"/>
        <w:rPr>
          <w:lang w:val="hr-HR"/>
        </w:rPr>
      </w:pPr>
      <w:r w:rsidRPr="007E66EE">
        <w:rPr>
          <w:lang w:val="hr-HR"/>
        </w:rPr>
        <w:t>2.  Kako ostvarivanje tih sloboda obuhvaća dužnosti i odgovornosti, ono može biti podvrgnuto formalnostima, uvjetima, ograničenjima ili kaznama propisanim zakonom, koji su u demokratskom društvu nužni... radi zaštite zdravlja ili morala, radi zaštite ugleda ili prava drugih ...”</w:t>
      </w:r>
    </w:p>
    <w:p w:rsidR="000610A7" w:rsidRPr="007E66EE" w:rsidRDefault="000610A7" w:rsidP="005C00D6">
      <w:pPr>
        <w:pStyle w:val="JuHArticle"/>
        <w:rPr>
          <w:lang w:val="hr-HR"/>
        </w:rPr>
      </w:pPr>
      <w:r w:rsidRPr="007E66EE">
        <w:rPr>
          <w:lang w:val="hr-HR"/>
        </w:rPr>
        <w:t>Članak 11.</w:t>
      </w:r>
    </w:p>
    <w:p w:rsidR="000610A7" w:rsidRPr="007E66EE" w:rsidRDefault="000610A7" w:rsidP="00EF7702">
      <w:pPr>
        <w:pStyle w:val="JuQuot"/>
        <w:rPr>
          <w:lang w:val="hr-HR"/>
        </w:rPr>
      </w:pPr>
      <w:r w:rsidRPr="007E66EE">
        <w:rPr>
          <w:sz w:val="24"/>
          <w:lang w:val="hr-HR"/>
        </w:rPr>
        <w:t>“</w:t>
      </w:r>
      <w:r w:rsidRPr="007E66EE">
        <w:rPr>
          <w:lang w:val="hr-HR"/>
        </w:rPr>
        <w:t>1.  Svatko ima pravo na slobodu mirnog okupljanja i slobodu udruživanja s drugima, uključujući pravo osnivati sindikate ili im pristupati radi zaštite svojih interesa.</w:t>
      </w:r>
    </w:p>
    <w:p w:rsidR="000610A7" w:rsidRPr="007E66EE" w:rsidRDefault="000610A7" w:rsidP="00EF7702">
      <w:pPr>
        <w:pStyle w:val="JuQuot"/>
        <w:rPr>
          <w:lang w:val="hr-HR"/>
        </w:rPr>
      </w:pPr>
      <w:r w:rsidRPr="007E66EE">
        <w:rPr>
          <w:lang w:val="hr-HR"/>
        </w:rPr>
        <w:t>2.  Ne mogu se postavljati nikakva ograničenja ostvarivanju tih prava, osim onih koja su propisana zakonom i koja su u demokratskom društvu nužna... radi zaštite zdravlja ili morala ili radi zaštite prava i sloboda drugih...”</w:t>
      </w:r>
    </w:p>
    <w:p w:rsidR="000610A7" w:rsidRPr="007E66EE" w:rsidRDefault="000610A7" w:rsidP="00AF23DA">
      <w:pPr>
        <w:pStyle w:val="JuHA"/>
        <w:outlineLvl w:val="0"/>
        <w:rPr>
          <w:lang w:val="hr-HR"/>
        </w:rPr>
      </w:pPr>
      <w:r w:rsidRPr="007E66EE">
        <w:rPr>
          <w:lang w:val="hr-HR"/>
        </w:rPr>
        <w:t>A.  Presuda Vijeća</w:t>
      </w:r>
    </w:p>
    <w:p w:rsidR="000610A7" w:rsidRDefault="000610A7" w:rsidP="00AF23DA">
      <w:pPr>
        <w:pStyle w:val="JuPara"/>
        <w:rPr>
          <w:lang w:val="hr-HR"/>
        </w:rPr>
      </w:pPr>
      <w:r w:rsidRPr="007E66EE">
        <w:rPr>
          <w:lang w:val="hr-HR"/>
        </w:rPr>
        <w:fldChar w:fldCharType="begin"/>
      </w:r>
      <w:r w:rsidRPr="007E66EE">
        <w:rPr>
          <w:lang w:val="hr-HR"/>
        </w:rPr>
        <w:instrText xml:space="preserve"> SEQ level0 \*arabic </w:instrText>
      </w:r>
      <w:r w:rsidRPr="007E66EE">
        <w:rPr>
          <w:lang w:val="hr-HR"/>
        </w:rPr>
        <w:fldChar w:fldCharType="separate"/>
      </w:r>
      <w:r w:rsidRPr="007E66EE">
        <w:rPr>
          <w:noProof/>
          <w:lang w:val="hr-HR"/>
        </w:rPr>
        <w:t>34</w:t>
      </w:r>
      <w:r w:rsidRPr="007E66EE">
        <w:rPr>
          <w:lang w:val="hr-HR"/>
        </w:rPr>
        <w:fldChar w:fldCharType="end"/>
      </w:r>
      <w:r w:rsidRPr="007E66EE">
        <w:rPr>
          <w:lang w:val="hr-HR"/>
        </w:rPr>
        <w:t>.  U svojoj presudi od 8. prosinca 2009., naglasivši da sloboda izražavanja predstavlja jedan od temeljnih osnova demokratskog društva, Vijeće je navelo da je ta sloboda podložna iznimkama koje su se imale usko tumačiti; nužnost svake iznimke trebala je biti opravdana prijekom društvenom potrebom. U ovom slučaju miješanje je bilo “propisano zakon</w:t>
      </w:r>
      <w:r>
        <w:rPr>
          <w:lang w:val="hr-HR"/>
        </w:rPr>
        <w:t xml:space="preserve">om” i imalo je legitiman cilj, </w:t>
      </w:r>
      <w:r w:rsidRPr="007E66EE">
        <w:rPr>
          <w:lang w:val="hr-HR"/>
        </w:rPr>
        <w:t>naime zaštitu ugleda ili prava drugih. Kako bi ustanovio da li je miješanje bilo nužno u demokratskom društvu, Sud je uzeo u obzir specifičan kontekst spora, u kojem su zaposlenici pokrenuli sudski postupak protiv njiho</w:t>
      </w:r>
      <w:r>
        <w:rPr>
          <w:lang w:val="hr-HR"/>
        </w:rPr>
        <w:t xml:space="preserve">va poslodavca pred sudovima </w:t>
      </w:r>
      <w:proofErr w:type="spellStart"/>
      <w:r>
        <w:rPr>
          <w:lang w:val="hr-HR"/>
        </w:rPr>
        <w:t>rad</w:t>
      </w:r>
      <w:r w:rsidRPr="007E66EE">
        <w:rPr>
          <w:lang w:val="hr-HR"/>
        </w:rPr>
        <w:t>n</w:t>
      </w:r>
      <w:r>
        <w:rPr>
          <w:lang w:val="hr-HR"/>
        </w:rPr>
        <w:t>o</w:t>
      </w:r>
      <w:r w:rsidRPr="007E66EE">
        <w:rPr>
          <w:lang w:val="hr-HR"/>
        </w:rPr>
        <w:t>pravne</w:t>
      </w:r>
      <w:proofErr w:type="spellEnd"/>
      <w:r w:rsidRPr="007E66EE">
        <w:rPr>
          <w:lang w:val="hr-HR"/>
        </w:rPr>
        <w:t xml:space="preserve"> nadležnosti. Iako je smatralo da bi sindikat bez mogućnosti izražavanja mišljenja bio b</w:t>
      </w:r>
      <w:r>
        <w:rPr>
          <w:lang w:val="hr-HR"/>
        </w:rPr>
        <w:t>eskoristan i bespredmetan, Vijeć</w:t>
      </w:r>
      <w:r w:rsidRPr="007E66EE">
        <w:rPr>
          <w:lang w:val="hr-HR"/>
        </w:rPr>
        <w:t>e je zaključilo da su španjolski sudovi odvagali suprotstavlj</w:t>
      </w:r>
      <w:r>
        <w:rPr>
          <w:lang w:val="hr-HR"/>
        </w:rPr>
        <w:t>ene</w:t>
      </w:r>
      <w:r w:rsidRPr="007E66EE">
        <w:rPr>
          <w:lang w:val="hr-HR"/>
        </w:rPr>
        <w:t xml:space="preserve"> interese u skladu s domaćim pravom i da su zaključili kako su podnositelji zahtjeva prekoračili granice njihova prava na kritiku. Odluke domaćih sudova se stoga nisu mogle smatrati nerazumnima ili proizvoljnima. Prema tome, Vijeće je zaključilo da nije došlo do povrede članka 10. Konvencije. Nadalje, smatralo je da se nije postavljalo odvojeno pitanje pod člankom 11. Konvencije.</w:t>
      </w:r>
    </w:p>
    <w:p w:rsidR="000610A7" w:rsidRPr="007E66EE" w:rsidRDefault="000610A7" w:rsidP="00AF23DA">
      <w:pPr>
        <w:pStyle w:val="JuHA"/>
        <w:outlineLvl w:val="0"/>
        <w:rPr>
          <w:lang w:val="hr-HR"/>
        </w:rPr>
      </w:pPr>
      <w:r w:rsidRPr="007E66EE">
        <w:rPr>
          <w:lang w:val="hr-HR"/>
        </w:rPr>
        <w:lastRenderedPageBreak/>
        <w:t>B.  Navodi stranaka</w:t>
      </w:r>
    </w:p>
    <w:p w:rsidR="000610A7" w:rsidRPr="007E66EE" w:rsidRDefault="000610A7" w:rsidP="00512B77">
      <w:pPr>
        <w:pStyle w:val="JuH1"/>
        <w:rPr>
          <w:lang w:val="hr-HR"/>
        </w:rPr>
      </w:pPr>
      <w:r w:rsidRPr="007E66EE">
        <w:rPr>
          <w:lang w:val="hr-HR"/>
        </w:rPr>
        <w:t xml:space="preserve">1. </w:t>
      </w:r>
      <w:r w:rsidRPr="007E66EE">
        <w:rPr>
          <w:lang w:val="hr-HR"/>
        </w:rPr>
        <w:tab/>
        <w:t>Podnositelji zahtjeva</w:t>
      </w:r>
    </w:p>
    <w:p w:rsidR="000610A7" w:rsidRDefault="000610A7" w:rsidP="00512B77">
      <w:pPr>
        <w:pStyle w:val="JuPara"/>
        <w:rPr>
          <w:lang w:val="hr-HR"/>
        </w:rPr>
      </w:pPr>
      <w:r w:rsidRPr="007E66EE">
        <w:rPr>
          <w:lang w:val="hr-HR"/>
        </w:rPr>
        <w:fldChar w:fldCharType="begin"/>
      </w:r>
      <w:r w:rsidRPr="007E66EE">
        <w:rPr>
          <w:lang w:val="hr-HR"/>
        </w:rPr>
        <w:instrText xml:space="preserve"> SEQ level0 \*arabic </w:instrText>
      </w:r>
      <w:r w:rsidRPr="007E66EE">
        <w:rPr>
          <w:lang w:val="hr-HR"/>
        </w:rPr>
        <w:fldChar w:fldCharType="separate"/>
      </w:r>
      <w:r w:rsidRPr="007E66EE">
        <w:rPr>
          <w:noProof/>
          <w:lang w:val="hr-HR"/>
        </w:rPr>
        <w:t>35</w:t>
      </w:r>
      <w:r w:rsidRPr="007E66EE">
        <w:rPr>
          <w:lang w:val="hr-HR"/>
        </w:rPr>
        <w:fldChar w:fldCharType="end"/>
      </w:r>
      <w:r w:rsidRPr="007E66EE">
        <w:rPr>
          <w:lang w:val="hr-HR"/>
        </w:rPr>
        <w:t xml:space="preserve">.  Podnositelji zahtjeva istakli su da im je njihov poslodavac, društvo P., odbio priznati status radnika koji primaju plaću kao i izračunati im odgovarajuće doprinose socijalnog osiguranja, iako je njihov status bio priznat od strane sudova. Bili su mišljenja da je Vijeće propustilo dati dovoljno važnosti tom dugačkom i kompleksnom sporu između sindikata i poslodavca i udruge dostavljača koji nisu </w:t>
      </w:r>
      <w:r>
        <w:rPr>
          <w:lang w:val="hr-HR"/>
        </w:rPr>
        <w:t>primali plaću</w:t>
      </w:r>
      <w:r w:rsidRPr="007E66EE">
        <w:rPr>
          <w:lang w:val="hr-HR"/>
        </w:rPr>
        <w:t>, a koja je osno</w:t>
      </w:r>
      <w:r>
        <w:rPr>
          <w:lang w:val="hr-HR"/>
        </w:rPr>
        <w:t>vana i podržavana od strane samog druš</w:t>
      </w:r>
      <w:r w:rsidRPr="007E66EE">
        <w:rPr>
          <w:lang w:val="hr-HR"/>
        </w:rPr>
        <w:t>tva i kojoj su pripadala dva svjedoka spomenuta u biltenu sindikata.</w:t>
      </w:r>
    </w:p>
    <w:p w:rsidR="000610A7" w:rsidRDefault="000610A7" w:rsidP="00512B77">
      <w:pPr>
        <w:pStyle w:val="JuPara"/>
        <w:rPr>
          <w:lang w:val="hr-HR"/>
        </w:rPr>
      </w:pPr>
      <w:r w:rsidRPr="007E66EE">
        <w:rPr>
          <w:lang w:val="hr-HR"/>
        </w:rPr>
        <w:fldChar w:fldCharType="begin"/>
      </w:r>
      <w:r w:rsidRPr="007E66EE">
        <w:rPr>
          <w:lang w:val="hr-HR"/>
        </w:rPr>
        <w:instrText xml:space="preserve"> SEQ level0 \*arabic </w:instrText>
      </w:r>
      <w:r w:rsidRPr="007E66EE">
        <w:rPr>
          <w:lang w:val="hr-HR"/>
        </w:rPr>
        <w:fldChar w:fldCharType="separate"/>
      </w:r>
      <w:r w:rsidRPr="007E66EE">
        <w:rPr>
          <w:noProof/>
          <w:lang w:val="hr-HR"/>
        </w:rPr>
        <w:t>36</w:t>
      </w:r>
      <w:r w:rsidRPr="007E66EE">
        <w:rPr>
          <w:lang w:val="hr-HR"/>
        </w:rPr>
        <w:fldChar w:fldCharType="end"/>
      </w:r>
      <w:r w:rsidRPr="007E66EE">
        <w:rPr>
          <w:lang w:val="hr-HR"/>
        </w:rPr>
        <w:t>.  </w:t>
      </w:r>
      <w:r>
        <w:rPr>
          <w:lang w:val="hr-HR"/>
        </w:rPr>
        <w:t>Podno</w:t>
      </w:r>
      <w:r w:rsidRPr="007E66EE">
        <w:rPr>
          <w:lang w:val="hr-HR"/>
        </w:rPr>
        <w:t xml:space="preserve">sitelji zahtjeva tvrdili su da ih je od travnja 2001., nakon što su se zaposlenici koji su bili članovi sindikata N.A.A. odbili odreći prava priznatih sudskim odlukama, društvo P. odlučilo kazniti značajnim smanjenjem plaće. </w:t>
      </w:r>
      <w:r>
        <w:rPr>
          <w:lang w:val="hr-HR"/>
        </w:rPr>
        <w:t>Stoga su bili miš</w:t>
      </w:r>
      <w:r w:rsidRPr="007E66EE">
        <w:rPr>
          <w:lang w:val="hr-HR"/>
        </w:rPr>
        <w:t>ljenja da je bilten sindikata koji je predmet ovog slučaja morao biti promatran u kontekstu uznemiravanja i sustavnog pritiska od strane poslodavca i udruge ra</w:t>
      </w:r>
      <w:r>
        <w:rPr>
          <w:lang w:val="hr-HR"/>
        </w:rPr>
        <w:t>d</w:t>
      </w:r>
      <w:r w:rsidRPr="007E66EE">
        <w:rPr>
          <w:lang w:val="hr-HR"/>
        </w:rPr>
        <w:t xml:space="preserve">nika koji nisu </w:t>
      </w:r>
      <w:r>
        <w:rPr>
          <w:lang w:val="hr-HR"/>
        </w:rPr>
        <w:t>primali plaću</w:t>
      </w:r>
      <w:r w:rsidRPr="007E66EE">
        <w:rPr>
          <w:lang w:val="hr-HR"/>
        </w:rPr>
        <w:t xml:space="preserve"> koju je osnovao, kako bi spriječio širenje zahtjeva radnika i uvjerio ih da se odreknu svojih sudski priznatih prava. Podnositelji zahtjeva naveli su kako je upravite</w:t>
      </w:r>
      <w:r>
        <w:rPr>
          <w:lang w:val="hr-HR"/>
        </w:rPr>
        <w:t>lj kadrovske službe društva P. p</w:t>
      </w:r>
      <w:r w:rsidRPr="007E66EE">
        <w:rPr>
          <w:lang w:val="hr-HR"/>
        </w:rPr>
        <w:t xml:space="preserve">okušao kupiti usluge određenih članova sindikata kako bi uvjerio ostale dostavljače da odustanu od ostvarivanja svojih </w:t>
      </w:r>
      <w:r>
        <w:rPr>
          <w:lang w:val="hr-HR"/>
        </w:rPr>
        <w:t>prava. Upravitelj kadrovske služ</w:t>
      </w:r>
      <w:r w:rsidRPr="007E66EE">
        <w:rPr>
          <w:lang w:val="hr-HR"/>
        </w:rPr>
        <w:t xml:space="preserve">be navodno im je ponudio novac za te usluge, dok je udruga dostavljača koji nisu </w:t>
      </w:r>
      <w:r>
        <w:rPr>
          <w:lang w:val="hr-HR"/>
        </w:rPr>
        <w:t>primali plaću</w:t>
      </w:r>
      <w:r w:rsidRPr="007E66EE">
        <w:rPr>
          <w:lang w:val="hr-HR"/>
        </w:rPr>
        <w:t xml:space="preserve">, </w:t>
      </w:r>
      <w:r>
        <w:rPr>
          <w:lang w:val="hr-HR"/>
        </w:rPr>
        <w:t>a kojoj su pripadali svjedoci A. i</w:t>
      </w:r>
      <w:r w:rsidRPr="007E66EE">
        <w:rPr>
          <w:lang w:val="hr-HR"/>
        </w:rPr>
        <w:t xml:space="preserve"> B., postal</w:t>
      </w:r>
      <w:r>
        <w:rPr>
          <w:lang w:val="hr-HR"/>
        </w:rPr>
        <w:t>a</w:t>
      </w:r>
      <w:r w:rsidRPr="007E66EE">
        <w:rPr>
          <w:lang w:val="hr-HR"/>
        </w:rPr>
        <w:t xml:space="preserve"> pomagač poslodavca. Konačni rezultat nije bio samo otkaz podnositelja zahtjeva, koji su bili jedini dostavljači </w:t>
      </w:r>
      <w:r>
        <w:rPr>
          <w:lang w:val="hr-HR"/>
        </w:rPr>
        <w:t>koji su primali plaću i</w:t>
      </w:r>
      <w:r w:rsidRPr="007E66EE">
        <w:rPr>
          <w:lang w:val="hr-HR"/>
        </w:rPr>
        <w:t xml:space="preserve"> koji nisu odustali od svojih zahtjeva, već i raspuštanje sindikata. Podnositelji zahtjeva smatrali su da je stoga došlo po povrede </w:t>
      </w:r>
      <w:r>
        <w:rPr>
          <w:lang w:val="hr-HR"/>
        </w:rPr>
        <w:t xml:space="preserve">njihovih </w:t>
      </w:r>
      <w:r w:rsidRPr="007E66EE">
        <w:rPr>
          <w:lang w:val="hr-HR"/>
        </w:rPr>
        <w:t>sloboda zajamčenih člancima 10. i 11. Konvencije.</w:t>
      </w:r>
    </w:p>
    <w:p w:rsidR="000610A7" w:rsidRPr="007E66EE" w:rsidRDefault="000610A7" w:rsidP="00512B77">
      <w:pPr>
        <w:pStyle w:val="JuPara"/>
        <w:rPr>
          <w:lang w:val="hr-HR"/>
        </w:rPr>
      </w:pPr>
      <w:r w:rsidRPr="007E66EE">
        <w:rPr>
          <w:lang w:val="hr-HR"/>
        </w:rPr>
        <w:fldChar w:fldCharType="begin"/>
      </w:r>
      <w:r w:rsidRPr="007E66EE">
        <w:rPr>
          <w:lang w:val="hr-HR"/>
        </w:rPr>
        <w:instrText xml:space="preserve"> SEQ level0 \*arabic </w:instrText>
      </w:r>
      <w:r w:rsidRPr="007E66EE">
        <w:rPr>
          <w:lang w:val="hr-HR"/>
        </w:rPr>
        <w:fldChar w:fldCharType="separate"/>
      </w:r>
      <w:r w:rsidRPr="007E66EE">
        <w:rPr>
          <w:noProof/>
          <w:lang w:val="hr-HR"/>
        </w:rPr>
        <w:t>37</w:t>
      </w:r>
      <w:r w:rsidRPr="007E66EE">
        <w:rPr>
          <w:lang w:val="hr-HR"/>
        </w:rPr>
        <w:fldChar w:fldCharType="end"/>
      </w:r>
      <w:r w:rsidRPr="007E66EE">
        <w:rPr>
          <w:lang w:val="hr-HR"/>
        </w:rPr>
        <w:t>.  Podnositelji zahtjeva tvrdili su nadalje da je karikatura na naslovnici biltena sindikata, kao i dva sporna članka, imala za namjeru kritiziranj</w:t>
      </w:r>
      <w:r>
        <w:rPr>
          <w:lang w:val="hr-HR"/>
        </w:rPr>
        <w:t>e</w:t>
      </w:r>
      <w:r w:rsidRPr="007E66EE">
        <w:rPr>
          <w:lang w:val="hr-HR"/>
        </w:rPr>
        <w:t xml:space="preserve"> i informiranj</w:t>
      </w:r>
      <w:r>
        <w:rPr>
          <w:lang w:val="hr-HR"/>
        </w:rPr>
        <w:t>e</w:t>
      </w:r>
      <w:r w:rsidRPr="007E66EE">
        <w:rPr>
          <w:lang w:val="hr-HR"/>
        </w:rPr>
        <w:t xml:space="preserve"> o potraživanjima plaće pred sudovima rada kao i o ponašanju članova udruge dostavljača koji nisu primal</w:t>
      </w:r>
      <w:r>
        <w:rPr>
          <w:lang w:val="hr-HR"/>
        </w:rPr>
        <w:t>i</w:t>
      </w:r>
      <w:r w:rsidRPr="007E66EE">
        <w:rPr>
          <w:lang w:val="hr-HR"/>
        </w:rPr>
        <w:t xml:space="preserve"> plać</w:t>
      </w:r>
      <w:r>
        <w:rPr>
          <w:lang w:val="hr-HR"/>
        </w:rPr>
        <w:t>u</w:t>
      </w:r>
      <w:r w:rsidRPr="007E66EE">
        <w:rPr>
          <w:lang w:val="hr-HR"/>
        </w:rPr>
        <w:t xml:space="preserve">. Korištenje satiričkih crteža i izraza, koji su se mogli smatrati sirovim ili </w:t>
      </w:r>
      <w:proofErr w:type="spellStart"/>
      <w:r w:rsidRPr="007E66EE">
        <w:rPr>
          <w:lang w:val="hr-HR"/>
        </w:rPr>
        <w:t>šokirajućima</w:t>
      </w:r>
      <w:proofErr w:type="spellEnd"/>
      <w:r w:rsidRPr="007E66EE">
        <w:rPr>
          <w:lang w:val="hr-HR"/>
        </w:rPr>
        <w:t xml:space="preserve">, ni na koji se način nisu odnosili na osobnu ili privatnu sferu osoba o kojima se radilo, već isključivo njihovu ulogu u sporu. Nije dakle bilo nikakvog osobnog napada u lakrdijaškom i vidljivo ironičnom tonu koji je korišten, i koji je bio inspiriran kroz </w:t>
      </w:r>
      <w:proofErr w:type="spellStart"/>
      <w:r w:rsidRPr="007E66EE">
        <w:rPr>
          <w:i/>
          <w:lang w:val="hr-HR"/>
        </w:rPr>
        <w:t>animus</w:t>
      </w:r>
      <w:proofErr w:type="spellEnd"/>
      <w:r w:rsidRPr="007E66EE">
        <w:rPr>
          <w:i/>
          <w:lang w:val="hr-HR"/>
        </w:rPr>
        <w:t xml:space="preserve"> </w:t>
      </w:r>
      <w:proofErr w:type="spellStart"/>
      <w:r w:rsidRPr="007E66EE">
        <w:rPr>
          <w:i/>
          <w:lang w:val="hr-HR"/>
        </w:rPr>
        <w:t>jocandi</w:t>
      </w:r>
      <w:proofErr w:type="spellEnd"/>
      <w:r w:rsidRPr="007E66EE">
        <w:rPr>
          <w:lang w:val="hr-HR"/>
        </w:rPr>
        <w:t xml:space="preserve">, a ne kroz </w:t>
      </w:r>
      <w:proofErr w:type="spellStart"/>
      <w:r w:rsidRPr="007E66EE">
        <w:rPr>
          <w:i/>
          <w:lang w:val="hr-HR"/>
        </w:rPr>
        <w:t>animus</w:t>
      </w:r>
      <w:proofErr w:type="spellEnd"/>
      <w:r w:rsidRPr="007E66EE">
        <w:rPr>
          <w:i/>
          <w:lang w:val="hr-HR"/>
        </w:rPr>
        <w:t xml:space="preserve"> </w:t>
      </w:r>
      <w:proofErr w:type="spellStart"/>
      <w:r w:rsidRPr="007E66EE">
        <w:rPr>
          <w:i/>
          <w:lang w:val="hr-HR"/>
        </w:rPr>
        <w:t>iniurandi</w:t>
      </w:r>
      <w:proofErr w:type="spellEnd"/>
      <w:r w:rsidRPr="007E66EE">
        <w:rPr>
          <w:lang w:val="hr-HR"/>
        </w:rPr>
        <w:t>.</w:t>
      </w:r>
    </w:p>
    <w:p w:rsidR="000610A7" w:rsidRDefault="000610A7" w:rsidP="00512B77">
      <w:pPr>
        <w:pStyle w:val="JuPara"/>
        <w:rPr>
          <w:lang w:val="hr-HR"/>
        </w:rPr>
      </w:pPr>
      <w:r w:rsidRPr="007E66EE">
        <w:rPr>
          <w:lang w:val="hr-HR"/>
        </w:rPr>
        <w:fldChar w:fldCharType="begin"/>
      </w:r>
      <w:r w:rsidRPr="007E66EE">
        <w:rPr>
          <w:lang w:val="hr-HR"/>
        </w:rPr>
        <w:instrText xml:space="preserve"> SEQ level0 \*arabic </w:instrText>
      </w:r>
      <w:r w:rsidRPr="007E66EE">
        <w:rPr>
          <w:lang w:val="hr-HR"/>
        </w:rPr>
        <w:fldChar w:fldCharType="separate"/>
      </w:r>
      <w:r w:rsidRPr="007E66EE">
        <w:rPr>
          <w:noProof/>
          <w:lang w:val="hr-HR"/>
        </w:rPr>
        <w:t>38</w:t>
      </w:r>
      <w:r w:rsidRPr="007E66EE">
        <w:rPr>
          <w:lang w:val="hr-HR"/>
        </w:rPr>
        <w:fldChar w:fldCharType="end"/>
      </w:r>
      <w:r w:rsidRPr="007E66EE">
        <w:rPr>
          <w:lang w:val="hr-HR"/>
        </w:rPr>
        <w:t>.  Podnositelji zahtjeva ukazali su da članci i crteži nisu bili potpisani te da su se ticali debate u strogo ra</w:t>
      </w:r>
      <w:r>
        <w:rPr>
          <w:lang w:val="hr-HR"/>
        </w:rPr>
        <w:t>d</w:t>
      </w:r>
      <w:r w:rsidRPr="007E66EE">
        <w:rPr>
          <w:lang w:val="hr-HR"/>
        </w:rPr>
        <w:t>nim i sindika</w:t>
      </w:r>
      <w:r>
        <w:rPr>
          <w:lang w:val="hr-HR"/>
        </w:rPr>
        <w:t>l</w:t>
      </w:r>
      <w:r w:rsidRPr="007E66EE">
        <w:rPr>
          <w:lang w:val="hr-HR"/>
        </w:rPr>
        <w:t>nim pitanjima, koja je vođena putem sredstva komunikacije sindikata. Stoga je bilo proizvoljno smatrati da su svi njegovi članovi osobno odgovorni za spornu publikaciju, s posljedicom bilo disciplinske odgovornosti kolektivne prirode ili očigledno nezakonitog postupanja, koje je zahtijevalo raspuštanje sindikata unutar društva otkazom njegovih osnivača protivno članku 11. Konvencije.</w:t>
      </w:r>
    </w:p>
    <w:p w:rsidR="000610A7" w:rsidRDefault="000610A7" w:rsidP="00512B77">
      <w:pPr>
        <w:pStyle w:val="JuPara"/>
        <w:rPr>
          <w:lang w:val="hr-HR"/>
        </w:rPr>
      </w:pPr>
      <w:r w:rsidRPr="007E66EE">
        <w:rPr>
          <w:lang w:val="hr-HR"/>
        </w:rPr>
        <w:lastRenderedPageBreak/>
        <w:fldChar w:fldCharType="begin"/>
      </w:r>
      <w:r w:rsidRPr="007E66EE">
        <w:rPr>
          <w:lang w:val="hr-HR"/>
        </w:rPr>
        <w:instrText xml:space="preserve"> SEQ level0 \*arabic </w:instrText>
      </w:r>
      <w:r w:rsidRPr="007E66EE">
        <w:rPr>
          <w:lang w:val="hr-HR"/>
        </w:rPr>
        <w:fldChar w:fldCharType="separate"/>
      </w:r>
      <w:r w:rsidRPr="007E66EE">
        <w:rPr>
          <w:noProof/>
          <w:lang w:val="hr-HR"/>
        </w:rPr>
        <w:t>39</w:t>
      </w:r>
      <w:r w:rsidRPr="007E66EE">
        <w:rPr>
          <w:lang w:val="hr-HR"/>
        </w:rPr>
        <w:fldChar w:fldCharType="end"/>
      </w:r>
      <w:r w:rsidRPr="007E66EE">
        <w:rPr>
          <w:lang w:val="hr-HR"/>
        </w:rPr>
        <w:t xml:space="preserve">.  Podnositelji zahtjeva su na kraju primijetili da, čak i kad bi se tvrdilo da su kritike u biltenu sindikata povrijedile temeljna prava drugih na </w:t>
      </w:r>
      <w:r>
        <w:rPr>
          <w:lang w:val="hr-HR"/>
        </w:rPr>
        <w:t>poštivanje</w:t>
      </w:r>
      <w:r w:rsidRPr="007E66EE">
        <w:rPr>
          <w:lang w:val="hr-HR"/>
        </w:rPr>
        <w:t xml:space="preserve"> ugleda, sankcija kao što je otkaz pre</w:t>
      </w:r>
      <w:r>
        <w:rPr>
          <w:lang w:val="hr-HR"/>
        </w:rPr>
        <w:t>mašivala</w:t>
      </w:r>
      <w:r w:rsidRPr="007E66EE">
        <w:rPr>
          <w:lang w:val="hr-HR"/>
        </w:rPr>
        <w:t xml:space="preserve"> je legitimnu zaštitu tog prava i bila je </w:t>
      </w:r>
      <w:r>
        <w:rPr>
          <w:lang w:val="hr-HR"/>
        </w:rPr>
        <w:t>nerazmjerna</w:t>
      </w:r>
      <w:r w:rsidRPr="007E66EE">
        <w:rPr>
          <w:lang w:val="hr-HR"/>
        </w:rPr>
        <w:t xml:space="preserve"> legitimnom cilju koji se želio postići.</w:t>
      </w:r>
    </w:p>
    <w:p w:rsidR="000610A7" w:rsidRPr="007E66EE" w:rsidRDefault="000610A7" w:rsidP="00512B77">
      <w:pPr>
        <w:pStyle w:val="JuH1"/>
        <w:rPr>
          <w:lang w:val="hr-HR"/>
        </w:rPr>
      </w:pPr>
      <w:r w:rsidRPr="007E66EE">
        <w:rPr>
          <w:lang w:val="hr-HR"/>
        </w:rPr>
        <w:t xml:space="preserve">2. </w:t>
      </w:r>
      <w:r w:rsidRPr="007E66EE">
        <w:rPr>
          <w:lang w:val="hr-HR"/>
        </w:rPr>
        <w:tab/>
        <w:t>Vlada</w:t>
      </w:r>
    </w:p>
    <w:p w:rsidR="000610A7" w:rsidRPr="007E66EE" w:rsidRDefault="000610A7" w:rsidP="00512B77">
      <w:pPr>
        <w:pStyle w:val="JuHa0"/>
        <w:rPr>
          <w:lang w:val="hr-HR"/>
        </w:rPr>
      </w:pPr>
      <w:r w:rsidRPr="007E66EE">
        <w:rPr>
          <w:lang w:val="hr-HR"/>
        </w:rPr>
        <w:t>(a)</w:t>
      </w:r>
      <w:r w:rsidRPr="007E66EE">
        <w:rPr>
          <w:lang w:val="hr-HR"/>
        </w:rPr>
        <w:tab/>
        <w:t>Činjenice</w:t>
      </w:r>
    </w:p>
    <w:p w:rsidR="000610A7" w:rsidRPr="007E66EE" w:rsidRDefault="000610A7" w:rsidP="00512B77">
      <w:pPr>
        <w:pStyle w:val="JuPara"/>
        <w:rPr>
          <w:lang w:val="hr-HR" w:eastAsia="en-US"/>
        </w:rPr>
      </w:pPr>
      <w:r w:rsidRPr="007E66EE">
        <w:rPr>
          <w:lang w:val="hr-HR" w:eastAsia="en-US"/>
        </w:rPr>
        <w:fldChar w:fldCharType="begin"/>
      </w:r>
      <w:r w:rsidRPr="007E66EE">
        <w:rPr>
          <w:lang w:val="hr-HR" w:eastAsia="en-US"/>
        </w:rPr>
        <w:instrText xml:space="preserve"> SEQ level0 \*arabic </w:instrText>
      </w:r>
      <w:r w:rsidRPr="007E66EE">
        <w:rPr>
          <w:lang w:val="hr-HR" w:eastAsia="en-US"/>
        </w:rPr>
        <w:fldChar w:fldCharType="separate"/>
      </w:r>
      <w:r w:rsidRPr="007E66EE">
        <w:rPr>
          <w:noProof/>
          <w:lang w:val="hr-HR" w:eastAsia="en-US"/>
        </w:rPr>
        <w:t>40</w:t>
      </w:r>
      <w:r w:rsidRPr="007E66EE">
        <w:rPr>
          <w:lang w:val="hr-HR" w:eastAsia="en-US"/>
        </w:rPr>
        <w:fldChar w:fldCharType="end"/>
      </w:r>
      <w:r w:rsidRPr="007E66EE">
        <w:rPr>
          <w:lang w:val="hr-HR" w:eastAsia="en-US"/>
        </w:rPr>
        <w:t>.  Vlada je u svom odgovoru na zahtjev podnositelja za podnošenje predmeta Velikom vijeću ukazala da “povjerenici sindikata” koji su bili kritizirani u biltenu nisu bili radnici koje je poslodavac “oslobodio obveze na rad” u zamjenu za “ponašanje pogodno društvu” i naglasila je da nisu bili financirani od strane poslodavca te da je dozvoljavanje vremena za obavljanje sindikalnih dužnosti bez gubitka nakade predstavljalo zakonsku obvezu (prema članku 68. Uredbi o radu).</w:t>
      </w:r>
    </w:p>
    <w:p w:rsidR="000610A7" w:rsidRPr="007E66EE" w:rsidRDefault="000610A7" w:rsidP="00512B77">
      <w:pPr>
        <w:pStyle w:val="JuHa0"/>
        <w:rPr>
          <w:lang w:val="hr-HR" w:eastAsia="en-US"/>
        </w:rPr>
      </w:pPr>
      <w:r w:rsidRPr="007E66EE">
        <w:rPr>
          <w:lang w:val="hr-HR" w:eastAsia="en-US"/>
        </w:rPr>
        <w:t>(b)</w:t>
      </w:r>
      <w:r w:rsidRPr="007E66EE">
        <w:rPr>
          <w:lang w:val="hr-HR" w:eastAsia="en-US"/>
        </w:rPr>
        <w:tab/>
        <w:t>Pritužba pod člankom 10. Konvencije</w:t>
      </w:r>
    </w:p>
    <w:p w:rsidR="000610A7" w:rsidRDefault="000610A7" w:rsidP="00512B77">
      <w:pPr>
        <w:pStyle w:val="JuPara"/>
        <w:rPr>
          <w:lang w:val="hr-HR"/>
        </w:rPr>
      </w:pPr>
      <w:r w:rsidRPr="007E66EE">
        <w:rPr>
          <w:lang w:val="hr-HR"/>
        </w:rPr>
        <w:fldChar w:fldCharType="begin"/>
      </w:r>
      <w:r w:rsidRPr="007E66EE">
        <w:rPr>
          <w:lang w:val="hr-HR"/>
        </w:rPr>
        <w:instrText xml:space="preserve"> SEQ level0 \*arabic </w:instrText>
      </w:r>
      <w:r w:rsidRPr="007E66EE">
        <w:rPr>
          <w:lang w:val="hr-HR"/>
        </w:rPr>
        <w:fldChar w:fldCharType="separate"/>
      </w:r>
      <w:r w:rsidRPr="007E66EE">
        <w:rPr>
          <w:noProof/>
          <w:lang w:val="hr-HR"/>
        </w:rPr>
        <w:t>41</w:t>
      </w:r>
      <w:r w:rsidRPr="007E66EE">
        <w:rPr>
          <w:lang w:val="hr-HR"/>
        </w:rPr>
        <w:fldChar w:fldCharType="end"/>
      </w:r>
      <w:r w:rsidRPr="007E66EE">
        <w:rPr>
          <w:lang w:val="hr-HR"/>
        </w:rPr>
        <w:t>.  Vlada je prihvatila da do miješanja u slobodu izražavanja može doći i u kontekstu odnosa uređenih privatnim pravom; međutim, u tim slučajevima nema izravnog miješanja države u slobodu izražavanja podnositelja, već potencijalno samo pro</w:t>
      </w:r>
      <w:r>
        <w:rPr>
          <w:lang w:val="hr-HR"/>
        </w:rPr>
        <w:t>p</w:t>
      </w:r>
      <w:r w:rsidRPr="007E66EE">
        <w:rPr>
          <w:lang w:val="hr-HR"/>
        </w:rPr>
        <w:t>uštanje ispunjavanja njezinih pozitivnih obveza da zaštiti tu slobodu.</w:t>
      </w:r>
    </w:p>
    <w:p w:rsidR="000610A7" w:rsidRDefault="000610A7" w:rsidP="00512B77">
      <w:pPr>
        <w:pStyle w:val="JuPara"/>
        <w:rPr>
          <w:szCs w:val="24"/>
          <w:lang w:val="hr-HR" w:eastAsia="en-US"/>
        </w:rPr>
      </w:pPr>
      <w:r w:rsidRPr="007E66EE">
        <w:rPr>
          <w:lang w:val="hr-HR" w:eastAsia="en-US"/>
        </w:rPr>
        <w:fldChar w:fldCharType="begin"/>
      </w:r>
      <w:r w:rsidRPr="007E66EE">
        <w:rPr>
          <w:lang w:val="hr-HR" w:eastAsia="en-US"/>
        </w:rPr>
        <w:instrText xml:space="preserve"> SEQ level0 \*arabic </w:instrText>
      </w:r>
      <w:r w:rsidRPr="007E66EE">
        <w:rPr>
          <w:lang w:val="hr-HR" w:eastAsia="en-US"/>
        </w:rPr>
        <w:fldChar w:fldCharType="separate"/>
      </w:r>
      <w:r w:rsidRPr="007E66EE">
        <w:rPr>
          <w:noProof/>
          <w:lang w:val="hr-HR" w:eastAsia="en-US"/>
        </w:rPr>
        <w:t>42</w:t>
      </w:r>
      <w:r w:rsidRPr="007E66EE">
        <w:rPr>
          <w:lang w:val="hr-HR" w:eastAsia="en-US"/>
        </w:rPr>
        <w:fldChar w:fldCharType="end"/>
      </w:r>
      <w:r w:rsidRPr="007E66EE">
        <w:rPr>
          <w:lang w:val="hr-HR" w:eastAsia="en-US"/>
        </w:rPr>
        <w:t>.  Vlada je istaknula da je mogućnost otkazivanja ugovora o radu u slučaju napada na poslodavc</w:t>
      </w:r>
      <w:r>
        <w:rPr>
          <w:lang w:val="hr-HR" w:eastAsia="en-US"/>
        </w:rPr>
        <w:t>a</w:t>
      </w:r>
      <w:r w:rsidRPr="007E66EE">
        <w:rPr>
          <w:lang w:val="hr-HR" w:eastAsia="en-US"/>
        </w:rPr>
        <w:t xml:space="preserve"> bila propisana zakonom i da je težila ostvarenju legitimnog cilja: zaštite ugleda drugih. Španjolski sudovi smatrali </w:t>
      </w:r>
      <w:r>
        <w:rPr>
          <w:lang w:val="hr-HR" w:eastAsia="en-US"/>
        </w:rPr>
        <w:t xml:space="preserve">su </w:t>
      </w:r>
      <w:r w:rsidRPr="007E66EE">
        <w:rPr>
          <w:lang w:val="hr-HR" w:eastAsia="en-US"/>
        </w:rPr>
        <w:t xml:space="preserve">da su podnositelji zahtjeva prilikom ostvarivanja svoje slobode izražavanja prekoračili dopuštene granice do te mjere da su oštetili ugled njihova poslodavca i ostalih radnika. </w:t>
      </w:r>
      <w:r w:rsidRPr="007E66EE">
        <w:rPr>
          <w:lang w:val="hr-HR"/>
        </w:rPr>
        <w:t xml:space="preserve">Komentari nisu bili objavljeni u medijima, već u zatvorenoj okolini trgovačkog društva te su se odnosili na pojedince koji su tamo radili, naime upravitelja kadrovske službe i poslovne kolege, odnosno osobe koje nisu obavljale javne dužnosti. Opseg dopuštene kritike protiv privatnog pojedinca bio je uži nego kada je usmjerena prema vlastima ili javnim ustanovama </w:t>
      </w:r>
      <w:r w:rsidRPr="007E66EE">
        <w:rPr>
          <w:lang w:val="hr-HR" w:eastAsia="en-US"/>
        </w:rPr>
        <w:t xml:space="preserve">(usporedi </w:t>
      </w:r>
      <w:proofErr w:type="spellStart"/>
      <w:r w:rsidRPr="007E66EE">
        <w:rPr>
          <w:i/>
          <w:lang w:val="hr-HR" w:eastAsia="en-US"/>
        </w:rPr>
        <w:t>Dink</w:t>
      </w:r>
      <w:proofErr w:type="spellEnd"/>
      <w:r w:rsidRPr="007E66EE">
        <w:rPr>
          <w:i/>
          <w:lang w:val="hr-HR" w:eastAsia="en-US"/>
        </w:rPr>
        <w:t xml:space="preserve"> protiv Turske</w:t>
      </w:r>
      <w:r w:rsidRPr="007E66EE">
        <w:rPr>
          <w:lang w:val="hr-HR" w:eastAsia="en-US"/>
        </w:rPr>
        <w:t>, br. 2668/07, 6102/08, 30079/08, 7072/09 i 7124/09</w:t>
      </w:r>
      <w:r w:rsidRPr="007E66EE">
        <w:rPr>
          <w:snapToGrid w:val="0"/>
          <w:szCs w:val="24"/>
          <w:lang w:val="hr-HR" w:eastAsia="en-US"/>
        </w:rPr>
        <w:t xml:space="preserve">, st. </w:t>
      </w:r>
      <w:r w:rsidRPr="007E66EE">
        <w:rPr>
          <w:snapToGrid w:val="0"/>
          <w:lang w:val="hr-HR" w:eastAsia="en-US"/>
        </w:rPr>
        <w:t>133.</w:t>
      </w:r>
      <w:r w:rsidRPr="007E66EE">
        <w:rPr>
          <w:snapToGrid w:val="0"/>
          <w:szCs w:val="24"/>
          <w:lang w:val="hr-HR" w:eastAsia="en-US"/>
        </w:rPr>
        <w:t xml:space="preserve">, </w:t>
      </w:r>
      <w:r w:rsidRPr="007E66EE">
        <w:rPr>
          <w:lang w:val="hr-HR" w:eastAsia="en-US"/>
        </w:rPr>
        <w:t>ECHR 2010</w:t>
      </w:r>
      <w:r w:rsidRPr="007E66EE">
        <w:rPr>
          <w:lang w:val="hr-HR" w:eastAsia="en-US"/>
        </w:rPr>
        <w:noBreakHyphen/>
        <w:t>...</w:t>
      </w:r>
      <w:r w:rsidRPr="007E66EE">
        <w:rPr>
          <w:rFonts w:ascii="ArialNarrow" w:hAnsi="ArialNarrow" w:cs="ArialNarrow"/>
          <w:sz w:val="26"/>
          <w:szCs w:val="26"/>
          <w:lang w:val="hr-HR" w:eastAsia="en-US"/>
        </w:rPr>
        <w:t xml:space="preserve">). </w:t>
      </w:r>
      <w:r w:rsidRPr="007E66EE">
        <w:rPr>
          <w:szCs w:val="24"/>
          <w:lang w:val="hr-HR" w:eastAsia="en-US"/>
        </w:rPr>
        <w:t>Takav kontekst pogoršao je štetu koju je bilten prouzročio ugledu dotičnih osoba, buduć</w:t>
      </w:r>
      <w:r>
        <w:rPr>
          <w:szCs w:val="24"/>
          <w:lang w:val="hr-HR" w:eastAsia="en-US"/>
        </w:rPr>
        <w:t>i da su svi njegovi potencijalni</w:t>
      </w:r>
      <w:r w:rsidRPr="007E66EE">
        <w:rPr>
          <w:szCs w:val="24"/>
          <w:lang w:val="hr-HR" w:eastAsia="en-US"/>
        </w:rPr>
        <w:t xml:space="preserve"> čitatelji poznavali pojedince kojima je kritika bila upućena odnosno koji su </w:t>
      </w:r>
      <w:r>
        <w:rPr>
          <w:szCs w:val="24"/>
          <w:lang w:val="hr-HR" w:eastAsia="en-US"/>
        </w:rPr>
        <w:t xml:space="preserve">bili </w:t>
      </w:r>
      <w:proofErr w:type="spellStart"/>
      <w:r>
        <w:rPr>
          <w:szCs w:val="24"/>
          <w:lang w:val="hr-HR" w:eastAsia="en-US"/>
        </w:rPr>
        <w:t>karikaturizirani</w:t>
      </w:r>
      <w:proofErr w:type="spellEnd"/>
      <w:r w:rsidRPr="007E66EE">
        <w:rPr>
          <w:szCs w:val="24"/>
          <w:lang w:val="hr-HR" w:eastAsia="en-US"/>
        </w:rPr>
        <w:t>.</w:t>
      </w:r>
    </w:p>
    <w:p w:rsidR="000610A7" w:rsidRDefault="000610A7" w:rsidP="00512B77">
      <w:pPr>
        <w:pStyle w:val="JuPara"/>
        <w:rPr>
          <w:szCs w:val="24"/>
          <w:lang w:val="hr-HR" w:eastAsia="en-US"/>
        </w:rPr>
      </w:pPr>
      <w:r w:rsidRPr="007E66EE">
        <w:rPr>
          <w:szCs w:val="24"/>
          <w:lang w:val="hr-HR" w:eastAsia="en-US"/>
        </w:rPr>
        <w:fldChar w:fldCharType="begin"/>
      </w:r>
      <w:r w:rsidRPr="007E66EE">
        <w:rPr>
          <w:szCs w:val="24"/>
          <w:lang w:val="hr-HR" w:eastAsia="en-US"/>
        </w:rPr>
        <w:instrText xml:space="preserve"> SEQ level0 \*arabic </w:instrText>
      </w:r>
      <w:r w:rsidRPr="007E66EE">
        <w:rPr>
          <w:szCs w:val="24"/>
          <w:lang w:val="hr-HR" w:eastAsia="en-US"/>
        </w:rPr>
        <w:fldChar w:fldCharType="separate"/>
      </w:r>
      <w:r w:rsidRPr="007E66EE">
        <w:rPr>
          <w:noProof/>
          <w:szCs w:val="24"/>
          <w:lang w:val="hr-HR" w:eastAsia="en-US"/>
        </w:rPr>
        <w:t>43</w:t>
      </w:r>
      <w:r w:rsidRPr="007E66EE">
        <w:rPr>
          <w:szCs w:val="24"/>
          <w:lang w:val="hr-HR" w:eastAsia="en-US"/>
        </w:rPr>
        <w:fldChar w:fldCharType="end"/>
      </w:r>
      <w:r w:rsidRPr="007E66EE">
        <w:rPr>
          <w:szCs w:val="24"/>
          <w:lang w:val="hr-HR" w:eastAsia="en-US"/>
        </w:rPr>
        <w:t xml:space="preserve">.  Podnositelji zahtjeva izrazili su se pisanim medijem (dakle izvan konteksta spontane usmene razmjene mišljenja) koji se dijelio svima unutar društva putem biltena i oglasne ploče sindikata. Stoga je to predstavljalo dobro promišljen čin podnositelja zahtjeva </w:t>
      </w:r>
      <w:r>
        <w:rPr>
          <w:szCs w:val="24"/>
          <w:lang w:val="hr-HR" w:eastAsia="en-US"/>
        </w:rPr>
        <w:t>koji su u potpunosti bili svjesn</w:t>
      </w:r>
      <w:r w:rsidRPr="007E66EE">
        <w:rPr>
          <w:szCs w:val="24"/>
          <w:lang w:val="hr-HR" w:eastAsia="en-US"/>
        </w:rPr>
        <w:t xml:space="preserve">i posljedica njihovih </w:t>
      </w:r>
      <w:r>
        <w:rPr>
          <w:szCs w:val="24"/>
          <w:lang w:val="hr-HR" w:eastAsia="en-US"/>
        </w:rPr>
        <w:t>postupanja</w:t>
      </w:r>
      <w:r w:rsidRPr="007E66EE">
        <w:rPr>
          <w:szCs w:val="24"/>
          <w:lang w:val="hr-HR" w:eastAsia="en-US"/>
        </w:rPr>
        <w:t xml:space="preserve"> te načina na koji bi mogli nanijeti štetu ugledu drugih.</w:t>
      </w:r>
    </w:p>
    <w:p w:rsidR="000610A7" w:rsidRDefault="000610A7" w:rsidP="00512B77">
      <w:pPr>
        <w:pStyle w:val="JuPara"/>
        <w:rPr>
          <w:szCs w:val="24"/>
          <w:lang w:val="hr-HR" w:eastAsia="en-US"/>
        </w:rPr>
      </w:pPr>
      <w:r w:rsidRPr="007E66EE">
        <w:rPr>
          <w:lang w:val="hr-HR" w:eastAsia="en-US"/>
        </w:rPr>
        <w:lastRenderedPageBreak/>
        <w:fldChar w:fldCharType="begin"/>
      </w:r>
      <w:r w:rsidRPr="007E66EE">
        <w:rPr>
          <w:lang w:val="hr-HR" w:eastAsia="en-US"/>
        </w:rPr>
        <w:instrText xml:space="preserve"> SEQ level0 \*arabic </w:instrText>
      </w:r>
      <w:r w:rsidRPr="007E66EE">
        <w:rPr>
          <w:lang w:val="hr-HR" w:eastAsia="en-US"/>
        </w:rPr>
        <w:fldChar w:fldCharType="separate"/>
      </w:r>
      <w:r w:rsidRPr="007E66EE">
        <w:rPr>
          <w:noProof/>
          <w:lang w:val="hr-HR" w:eastAsia="en-US"/>
        </w:rPr>
        <w:t>44</w:t>
      </w:r>
      <w:r w:rsidRPr="007E66EE">
        <w:rPr>
          <w:lang w:val="hr-HR" w:eastAsia="en-US"/>
        </w:rPr>
        <w:fldChar w:fldCharType="end"/>
      </w:r>
      <w:r w:rsidRPr="007E66EE">
        <w:rPr>
          <w:lang w:val="hr-HR" w:eastAsia="en-US"/>
        </w:rPr>
        <w:t xml:space="preserve">.  Što se tiče sadržaja komentara podnositelja zahtjeva, Vlada je tvrdila da nije bilo mišljenja niti analize koja bi se odnosila na činjenice od općeg interesa (usporedi </w:t>
      </w:r>
      <w:proofErr w:type="spellStart"/>
      <w:r w:rsidRPr="007E66EE">
        <w:rPr>
          <w:i/>
          <w:lang w:val="hr-HR" w:eastAsia="en-US"/>
        </w:rPr>
        <w:t>Fuentes</w:t>
      </w:r>
      <w:proofErr w:type="spellEnd"/>
      <w:r w:rsidRPr="007E66EE">
        <w:rPr>
          <w:i/>
          <w:lang w:val="hr-HR" w:eastAsia="en-US"/>
        </w:rPr>
        <w:t xml:space="preserve"> Bobo protiv Španjolske</w:t>
      </w:r>
      <w:r w:rsidRPr="007E66EE">
        <w:rPr>
          <w:lang w:val="hr-HR" w:eastAsia="en-US"/>
        </w:rPr>
        <w:t>, br. 39293/98, 29. veljače</w:t>
      </w:r>
      <w:r w:rsidRPr="007E66EE">
        <w:rPr>
          <w:lang w:val="hr-HR"/>
        </w:rPr>
        <w:t> 2000.</w:t>
      </w:r>
      <w:r w:rsidRPr="007E66EE">
        <w:rPr>
          <w:lang w:val="hr-HR" w:eastAsia="en-US"/>
        </w:rPr>
        <w:t xml:space="preserve">) ali, kao što je to bilo slučaj u predmetu </w:t>
      </w:r>
      <w:r w:rsidRPr="007E66EE">
        <w:rPr>
          <w:i/>
          <w:lang w:val="hr-HR" w:eastAsia="en-US"/>
        </w:rPr>
        <w:t xml:space="preserve">De Diego </w:t>
      </w:r>
      <w:proofErr w:type="spellStart"/>
      <w:r w:rsidRPr="007E66EE">
        <w:rPr>
          <w:i/>
          <w:lang w:val="hr-HR" w:eastAsia="en-US"/>
        </w:rPr>
        <w:t>Nafr</w:t>
      </w:r>
      <w:r w:rsidRPr="007E66EE">
        <w:rPr>
          <w:i/>
          <w:iCs/>
          <w:lang w:val="hr-HR" w:eastAsia="en-US"/>
        </w:rPr>
        <w:t>í</w:t>
      </w:r>
      <w:r w:rsidRPr="007E66EE">
        <w:rPr>
          <w:i/>
          <w:lang w:val="hr-HR" w:eastAsia="en-US"/>
        </w:rPr>
        <w:t>a</w:t>
      </w:r>
      <w:proofErr w:type="spellEnd"/>
      <w:r w:rsidRPr="007E66EE">
        <w:rPr>
          <w:i/>
          <w:lang w:val="hr-HR" w:eastAsia="en-US"/>
        </w:rPr>
        <w:t xml:space="preserve"> protiv Španjolske </w:t>
      </w:r>
      <w:r w:rsidRPr="007E66EE">
        <w:rPr>
          <w:lang w:val="hr-HR" w:eastAsia="en-US"/>
        </w:rPr>
        <w:t>(br. 46833/99, 14. ožujka 2002.)</w:t>
      </w:r>
      <w:r w:rsidRPr="007E66EE">
        <w:rPr>
          <w:szCs w:val="24"/>
          <w:lang w:val="hr-HR" w:eastAsia="en-US"/>
        </w:rPr>
        <w:t>, komentari su izrečeni u kontekstu strogo profesionalnog spora s društvom za kojeg su podnositelji zahtjeva radili. Štoviše, nisu doprinijeli debati niti politici sindikata, kao ni pitanjima koja su se ticala svih radnika u društvu, nego su bili izrečeni kao reakcija na one koji su svjedočili protiv podnositelja zahtjeva u sudskom postupku u kojem su oni legitimno isticali svoja pojedinačna prava.</w:t>
      </w:r>
    </w:p>
    <w:p w:rsidR="000610A7" w:rsidRDefault="000610A7" w:rsidP="00512B77">
      <w:pPr>
        <w:pStyle w:val="JuPara"/>
        <w:rPr>
          <w:iCs/>
          <w:lang w:val="hr-HR" w:eastAsia="en-US"/>
        </w:rPr>
      </w:pPr>
      <w:r w:rsidRPr="007E66EE">
        <w:rPr>
          <w:lang w:val="hr-HR" w:eastAsia="en-US"/>
        </w:rPr>
        <w:fldChar w:fldCharType="begin"/>
      </w:r>
      <w:r w:rsidRPr="007E66EE">
        <w:rPr>
          <w:lang w:val="hr-HR" w:eastAsia="en-US"/>
        </w:rPr>
        <w:instrText xml:space="preserve"> SEQ level0 \*arabic </w:instrText>
      </w:r>
      <w:r w:rsidRPr="007E66EE">
        <w:rPr>
          <w:lang w:val="hr-HR" w:eastAsia="en-US"/>
        </w:rPr>
        <w:fldChar w:fldCharType="separate"/>
      </w:r>
      <w:r w:rsidRPr="007E66EE">
        <w:rPr>
          <w:noProof/>
          <w:lang w:val="hr-HR" w:eastAsia="en-US"/>
        </w:rPr>
        <w:t>45</w:t>
      </w:r>
      <w:r w:rsidRPr="007E66EE">
        <w:rPr>
          <w:lang w:val="hr-HR" w:eastAsia="en-US"/>
        </w:rPr>
        <w:fldChar w:fldCharType="end"/>
      </w:r>
      <w:r w:rsidRPr="007E66EE">
        <w:rPr>
          <w:lang w:val="hr-HR" w:eastAsia="en-US"/>
        </w:rPr>
        <w:t>.  Španjolski sudovi došli su do zaključka da je bilo kak</w:t>
      </w:r>
      <w:r>
        <w:rPr>
          <w:lang w:val="hr-HR" w:eastAsia="en-US"/>
        </w:rPr>
        <w:t>va opravdana kritika koju je dok</w:t>
      </w:r>
      <w:r w:rsidRPr="007E66EE">
        <w:rPr>
          <w:lang w:val="hr-HR" w:eastAsia="en-US"/>
        </w:rPr>
        <w:t xml:space="preserve">ument mogao sadržavati bila izražena kroz sirove uvrede, pogrdne sugestiju da su dotične osobe davale “seksualne usluge” zauzvrat za druge vrste usluga, te opisujući ih kao “lopove”. U predmetu </w:t>
      </w:r>
      <w:proofErr w:type="spellStart"/>
      <w:r w:rsidRPr="007E66EE">
        <w:rPr>
          <w:i/>
          <w:lang w:val="hr-HR" w:eastAsia="en-US"/>
        </w:rPr>
        <w:t>Lindon</w:t>
      </w:r>
      <w:proofErr w:type="spellEnd"/>
      <w:r w:rsidRPr="007E66EE">
        <w:rPr>
          <w:i/>
          <w:lang w:val="hr-HR" w:eastAsia="en-US"/>
        </w:rPr>
        <w:t xml:space="preserve">, </w:t>
      </w:r>
      <w:proofErr w:type="spellStart"/>
      <w:r w:rsidRPr="007E66EE">
        <w:rPr>
          <w:i/>
          <w:lang w:val="hr-HR" w:eastAsia="en-US"/>
        </w:rPr>
        <w:t>Otchakovsky-Laurens</w:t>
      </w:r>
      <w:proofErr w:type="spellEnd"/>
      <w:r w:rsidRPr="007E66EE">
        <w:rPr>
          <w:i/>
          <w:lang w:val="hr-HR" w:eastAsia="en-US"/>
        </w:rPr>
        <w:t xml:space="preserve"> i </w:t>
      </w:r>
      <w:proofErr w:type="spellStart"/>
      <w:r w:rsidRPr="007E66EE">
        <w:rPr>
          <w:i/>
          <w:lang w:val="hr-HR" w:eastAsia="en-US"/>
        </w:rPr>
        <w:t>July</w:t>
      </w:r>
      <w:proofErr w:type="spellEnd"/>
      <w:r w:rsidRPr="007E66EE">
        <w:rPr>
          <w:i/>
          <w:lang w:val="hr-HR" w:eastAsia="en-US"/>
        </w:rPr>
        <w:t xml:space="preserve"> protiv Francuske </w:t>
      </w:r>
      <w:r w:rsidRPr="007E66EE">
        <w:rPr>
          <w:lang w:val="hr-HR" w:eastAsia="en-US"/>
        </w:rPr>
        <w:t>([GC], br. 21279/02 i 36448/02, ECHR 2007</w:t>
      </w:r>
      <w:r w:rsidRPr="007E66EE">
        <w:rPr>
          <w:lang w:val="hr-HR" w:eastAsia="en-US"/>
        </w:rPr>
        <w:noBreakHyphen/>
        <w:t>XI)</w:t>
      </w:r>
      <w:r w:rsidRPr="007E66EE">
        <w:rPr>
          <w:iCs/>
          <w:lang w:val="hr-HR" w:eastAsia="en-US"/>
        </w:rPr>
        <w:t>,</w:t>
      </w:r>
      <w:r w:rsidRPr="007E66EE">
        <w:rPr>
          <w:i/>
          <w:iCs/>
          <w:lang w:val="hr-HR" w:eastAsia="en-US"/>
        </w:rPr>
        <w:t xml:space="preserve"> </w:t>
      </w:r>
      <w:r w:rsidRPr="007E66EE">
        <w:rPr>
          <w:iCs/>
          <w:lang w:val="hr-HR" w:eastAsia="en-US"/>
        </w:rPr>
        <w:t>Sud je zaključio da sloboda izražavanja nije štitila komentare koji su se od</w:t>
      </w:r>
      <w:r>
        <w:rPr>
          <w:iCs/>
          <w:lang w:val="hr-HR" w:eastAsia="en-US"/>
        </w:rPr>
        <w:t>nosili na javne osobe u politici</w:t>
      </w:r>
      <w:r w:rsidRPr="007E66EE">
        <w:rPr>
          <w:iCs/>
          <w:lang w:val="hr-HR" w:eastAsia="en-US"/>
        </w:rPr>
        <w:t>; ovo je bilo tim više istina u slučajevima kad su se komentari odnosili na privat</w:t>
      </w:r>
      <w:r>
        <w:rPr>
          <w:iCs/>
          <w:lang w:val="hr-HR" w:eastAsia="en-US"/>
        </w:rPr>
        <w:t>n</w:t>
      </w:r>
      <w:r w:rsidRPr="007E66EE">
        <w:rPr>
          <w:iCs/>
          <w:lang w:val="hr-HR" w:eastAsia="en-US"/>
        </w:rPr>
        <w:t>e pojedince.</w:t>
      </w:r>
    </w:p>
    <w:p w:rsidR="000610A7" w:rsidRPr="007E66EE" w:rsidRDefault="000610A7" w:rsidP="00512B77">
      <w:pPr>
        <w:pStyle w:val="JuPara"/>
        <w:rPr>
          <w:lang w:val="hr-HR" w:eastAsia="en-US"/>
        </w:rPr>
      </w:pPr>
      <w:r w:rsidRPr="007E66EE">
        <w:rPr>
          <w:lang w:val="hr-HR" w:eastAsia="en-US"/>
        </w:rPr>
        <w:fldChar w:fldCharType="begin"/>
      </w:r>
      <w:r w:rsidRPr="007E66EE">
        <w:rPr>
          <w:lang w:val="hr-HR" w:eastAsia="en-US"/>
        </w:rPr>
        <w:instrText xml:space="preserve"> SEQ level0 \*arabic </w:instrText>
      </w:r>
      <w:r w:rsidRPr="007E66EE">
        <w:rPr>
          <w:lang w:val="hr-HR" w:eastAsia="en-US"/>
        </w:rPr>
        <w:fldChar w:fldCharType="separate"/>
      </w:r>
      <w:r w:rsidRPr="007E66EE">
        <w:rPr>
          <w:noProof/>
          <w:lang w:val="hr-HR" w:eastAsia="en-US"/>
        </w:rPr>
        <w:t>46</w:t>
      </w:r>
      <w:r w:rsidRPr="007E66EE">
        <w:rPr>
          <w:lang w:val="hr-HR" w:eastAsia="en-US"/>
        </w:rPr>
        <w:fldChar w:fldCharType="end"/>
      </w:r>
      <w:r w:rsidRPr="007E66EE">
        <w:rPr>
          <w:lang w:val="hr-HR" w:eastAsia="en-US"/>
        </w:rPr>
        <w:t>.  Što se tiče karikatura, ovaj slučaj razlikovao se od onog u pre</w:t>
      </w:r>
      <w:r>
        <w:rPr>
          <w:lang w:val="hr-HR" w:eastAsia="en-US"/>
        </w:rPr>
        <w:t>d</w:t>
      </w:r>
      <w:r w:rsidRPr="007E66EE">
        <w:rPr>
          <w:lang w:val="hr-HR" w:eastAsia="en-US"/>
        </w:rPr>
        <w:t xml:space="preserve">metu </w:t>
      </w:r>
      <w:proofErr w:type="spellStart"/>
      <w:r w:rsidRPr="007E66EE">
        <w:rPr>
          <w:i/>
          <w:lang w:val="hr-HR" w:eastAsia="en-US"/>
        </w:rPr>
        <w:t>Vereinigung</w:t>
      </w:r>
      <w:proofErr w:type="spellEnd"/>
      <w:r w:rsidRPr="007E66EE">
        <w:rPr>
          <w:i/>
          <w:lang w:val="hr-HR" w:eastAsia="en-US"/>
        </w:rPr>
        <w:t xml:space="preserve"> </w:t>
      </w:r>
      <w:proofErr w:type="spellStart"/>
      <w:r w:rsidRPr="007E66EE">
        <w:rPr>
          <w:i/>
          <w:lang w:val="hr-HR" w:eastAsia="en-US"/>
        </w:rPr>
        <w:t>Bildender</w:t>
      </w:r>
      <w:proofErr w:type="spellEnd"/>
      <w:r w:rsidRPr="007E66EE">
        <w:rPr>
          <w:i/>
          <w:lang w:val="hr-HR" w:eastAsia="en-US"/>
        </w:rPr>
        <w:t xml:space="preserve"> </w:t>
      </w:r>
      <w:proofErr w:type="spellStart"/>
      <w:r w:rsidRPr="007E66EE">
        <w:rPr>
          <w:i/>
          <w:lang w:val="hr-HR" w:eastAsia="en-US"/>
        </w:rPr>
        <w:t>Künstler</w:t>
      </w:r>
      <w:proofErr w:type="spellEnd"/>
      <w:r w:rsidRPr="007E66EE">
        <w:rPr>
          <w:i/>
          <w:lang w:val="hr-HR" w:eastAsia="en-US"/>
        </w:rPr>
        <w:t xml:space="preserve"> protiv Austrije</w:t>
      </w:r>
      <w:r w:rsidRPr="007E66EE">
        <w:rPr>
          <w:lang w:val="hr-HR" w:eastAsia="en-US"/>
        </w:rPr>
        <w:t xml:space="preserve"> (br. 68354/01, ECHR 2007</w:t>
      </w:r>
      <w:r w:rsidRPr="007E66EE">
        <w:rPr>
          <w:lang w:val="hr-HR" w:eastAsia="en-US"/>
        </w:rPr>
        <w:noBreakHyphen/>
        <w:t>II). Ovdje se nije radilo o oblikovanju demokratskog javnog mišljenja izraženog putem umjetnosti, već o primjedbama u kontekstu odnosa između poslodavca i zaposlenika.</w:t>
      </w:r>
    </w:p>
    <w:p w:rsidR="000610A7" w:rsidRDefault="000610A7" w:rsidP="00512B77">
      <w:pPr>
        <w:pStyle w:val="JuPara"/>
        <w:rPr>
          <w:lang w:val="hr-HR" w:eastAsia="en-US"/>
        </w:rPr>
      </w:pPr>
      <w:r w:rsidRPr="007E66EE">
        <w:rPr>
          <w:lang w:val="hr-HR" w:eastAsia="en-US"/>
        </w:rPr>
        <w:fldChar w:fldCharType="begin"/>
      </w:r>
      <w:r w:rsidRPr="007E66EE">
        <w:rPr>
          <w:lang w:val="hr-HR" w:eastAsia="en-US"/>
        </w:rPr>
        <w:instrText xml:space="preserve"> SEQ level0 \*arabic </w:instrText>
      </w:r>
      <w:r w:rsidRPr="007E66EE">
        <w:rPr>
          <w:lang w:val="hr-HR" w:eastAsia="en-US"/>
        </w:rPr>
        <w:fldChar w:fldCharType="separate"/>
      </w:r>
      <w:r w:rsidRPr="007E66EE">
        <w:rPr>
          <w:noProof/>
          <w:lang w:val="hr-HR" w:eastAsia="en-US"/>
        </w:rPr>
        <w:t>47</w:t>
      </w:r>
      <w:r w:rsidRPr="007E66EE">
        <w:rPr>
          <w:lang w:val="hr-HR" w:eastAsia="en-US"/>
        </w:rPr>
        <w:fldChar w:fldCharType="end"/>
      </w:r>
      <w:r w:rsidRPr="007E66EE">
        <w:rPr>
          <w:lang w:val="hr-HR" w:eastAsia="en-US"/>
        </w:rPr>
        <w:t xml:space="preserve">.  Vlada je bila mišljenja, pozivajući se na </w:t>
      </w:r>
      <w:proofErr w:type="spellStart"/>
      <w:r w:rsidRPr="007E66EE">
        <w:rPr>
          <w:i/>
          <w:lang w:val="hr-HR" w:eastAsia="en-US"/>
        </w:rPr>
        <w:t>Constantinescu</w:t>
      </w:r>
      <w:proofErr w:type="spellEnd"/>
      <w:r w:rsidRPr="007E66EE">
        <w:rPr>
          <w:i/>
          <w:lang w:val="hr-HR" w:eastAsia="en-US"/>
        </w:rPr>
        <w:t xml:space="preserve"> protiv Rumunjske</w:t>
      </w:r>
      <w:r w:rsidRPr="007E66EE">
        <w:rPr>
          <w:lang w:val="hr-HR" w:eastAsia="en-US"/>
        </w:rPr>
        <w:t xml:space="preserve"> (br. 28871/95, st. 72-75</w:t>
      </w:r>
      <w:r>
        <w:rPr>
          <w:lang w:val="hr-HR" w:eastAsia="en-US"/>
        </w:rPr>
        <w:t>.</w:t>
      </w:r>
      <w:r w:rsidRPr="007E66EE">
        <w:rPr>
          <w:lang w:val="hr-HR" w:eastAsia="en-US"/>
        </w:rPr>
        <w:t>, ECHR 2000</w:t>
      </w:r>
      <w:r w:rsidRPr="007E66EE">
        <w:rPr>
          <w:lang w:val="hr-HR" w:eastAsia="en-US"/>
        </w:rPr>
        <w:noBreakHyphen/>
        <w:t>VIII), da se šteta nanijeta ugledu drugih kroz ostvarivanje slobode izražavanja podnositelja zahtjeva nije mogla smatrati opravdanom njihovom sindikalnom aktivnošću. Ograničenja slobode izražavanja iz članka 10. st. 2. odnosila su se i</w:t>
      </w:r>
      <w:r>
        <w:rPr>
          <w:lang w:val="hr-HR" w:eastAsia="en-US"/>
        </w:rPr>
        <w:t xml:space="preserve"> </w:t>
      </w:r>
      <w:r w:rsidRPr="007E66EE">
        <w:rPr>
          <w:lang w:val="hr-HR" w:eastAsia="en-US"/>
        </w:rPr>
        <w:t>na sindikalne zastupnike.</w:t>
      </w:r>
    </w:p>
    <w:p w:rsidR="000610A7" w:rsidRPr="007E66EE" w:rsidRDefault="000610A7" w:rsidP="00512B77">
      <w:pPr>
        <w:pStyle w:val="JuPara"/>
        <w:rPr>
          <w:lang w:val="hr-HR" w:eastAsia="en-US"/>
        </w:rPr>
      </w:pPr>
      <w:r w:rsidRPr="007E66EE">
        <w:rPr>
          <w:lang w:val="hr-HR" w:eastAsia="en-US"/>
        </w:rPr>
        <w:fldChar w:fldCharType="begin"/>
      </w:r>
      <w:r w:rsidRPr="007E66EE">
        <w:rPr>
          <w:lang w:val="hr-HR" w:eastAsia="en-US"/>
        </w:rPr>
        <w:instrText xml:space="preserve"> SEQ level0 \*arabic </w:instrText>
      </w:r>
      <w:r w:rsidRPr="007E66EE">
        <w:rPr>
          <w:lang w:val="hr-HR" w:eastAsia="en-US"/>
        </w:rPr>
        <w:fldChar w:fldCharType="separate"/>
      </w:r>
      <w:r w:rsidRPr="007E66EE">
        <w:rPr>
          <w:noProof/>
          <w:lang w:val="hr-HR" w:eastAsia="en-US"/>
        </w:rPr>
        <w:t>48</w:t>
      </w:r>
      <w:r w:rsidRPr="007E66EE">
        <w:rPr>
          <w:lang w:val="hr-HR" w:eastAsia="en-US"/>
        </w:rPr>
        <w:fldChar w:fldCharType="end"/>
      </w:r>
      <w:r w:rsidRPr="007E66EE">
        <w:rPr>
          <w:lang w:val="hr-HR" w:eastAsia="en-US"/>
        </w:rPr>
        <w:t xml:space="preserve">.  Vlada je nadalje primijetila da je prilikom ocjene razmjernosti miješanja pod člankom 10. Konvencije također trebalo uzeti u obzir prirodu i oštrinu kazne. U prethodno citiranoj presudi </w:t>
      </w:r>
      <w:r w:rsidRPr="007E66EE">
        <w:rPr>
          <w:i/>
          <w:lang w:val="hr-HR" w:eastAsia="en-US"/>
        </w:rPr>
        <w:t xml:space="preserve">Diego </w:t>
      </w:r>
      <w:proofErr w:type="spellStart"/>
      <w:r w:rsidRPr="007E66EE">
        <w:rPr>
          <w:i/>
          <w:lang w:val="hr-HR" w:eastAsia="en-US"/>
        </w:rPr>
        <w:t>Nafria</w:t>
      </w:r>
      <w:proofErr w:type="spellEnd"/>
      <w:r w:rsidRPr="007E66EE">
        <w:rPr>
          <w:lang w:val="hr-HR" w:eastAsia="en-US"/>
        </w:rPr>
        <w:t>, Sud je smatrao da, iako je otkaz imao ozbiljne posljedice na radni odnos radnika koji je prekoračio prihvatljive granice kritiziranja, prilikom ocjene razmjernosti takvog miješanja bilo je nužno u obzir uzeti sve okolnosti konkretnog slučaja. U ovom slučaju španjols</w:t>
      </w:r>
      <w:r>
        <w:rPr>
          <w:lang w:val="hr-HR" w:eastAsia="en-US"/>
        </w:rPr>
        <w:t>k</w:t>
      </w:r>
      <w:r w:rsidRPr="007E66EE">
        <w:rPr>
          <w:lang w:val="hr-HR" w:eastAsia="en-US"/>
        </w:rPr>
        <w:t>i su sudovi razmatrali izravnu štetu nanesenu ugledu osoba spomenutih u biltenu sindikata kroz sirove i uvredljive komentare i prikaze. Čak i kad bi se mišljenja podnositelja zahtjeva mogla smatrati opravdanima, bila su izražena namjerno, na neopravdano uvredljiv način i u pisanom obliku.</w:t>
      </w:r>
    </w:p>
    <w:p w:rsidR="000610A7" w:rsidRDefault="000610A7" w:rsidP="00512B77">
      <w:pPr>
        <w:pStyle w:val="JuPara"/>
        <w:rPr>
          <w:lang w:val="hr-HR" w:eastAsia="en-US"/>
        </w:rPr>
      </w:pPr>
      <w:r w:rsidRPr="007E66EE">
        <w:rPr>
          <w:lang w:val="hr-HR" w:eastAsia="en-US"/>
        </w:rPr>
        <w:fldChar w:fldCharType="begin"/>
      </w:r>
      <w:r w:rsidRPr="007E66EE">
        <w:rPr>
          <w:lang w:val="hr-HR" w:eastAsia="en-US"/>
        </w:rPr>
        <w:instrText xml:space="preserve"> SEQ level0 \*arabic </w:instrText>
      </w:r>
      <w:r w:rsidRPr="007E66EE">
        <w:rPr>
          <w:lang w:val="hr-HR" w:eastAsia="en-US"/>
        </w:rPr>
        <w:fldChar w:fldCharType="separate"/>
      </w:r>
      <w:r w:rsidRPr="007E66EE">
        <w:rPr>
          <w:noProof/>
          <w:lang w:val="hr-HR" w:eastAsia="en-US"/>
        </w:rPr>
        <w:t>49</w:t>
      </w:r>
      <w:r w:rsidRPr="007E66EE">
        <w:rPr>
          <w:lang w:val="hr-HR" w:eastAsia="en-US"/>
        </w:rPr>
        <w:fldChar w:fldCharType="end"/>
      </w:r>
      <w:r w:rsidRPr="007E66EE">
        <w:rPr>
          <w:lang w:val="hr-HR" w:eastAsia="en-US"/>
        </w:rPr>
        <w:t>.  Stoga je Vlada zaključila da je miješanje u ovom predmetu bilo opravdano legitimnim ciljem te da je bilo razmjerno tom cilju.</w:t>
      </w:r>
    </w:p>
    <w:p w:rsidR="000610A7" w:rsidRPr="007E66EE" w:rsidRDefault="000610A7" w:rsidP="00512B77">
      <w:pPr>
        <w:pStyle w:val="JuHa0"/>
        <w:rPr>
          <w:lang w:val="hr-HR" w:eastAsia="en-US"/>
        </w:rPr>
      </w:pPr>
      <w:r w:rsidRPr="007E66EE">
        <w:rPr>
          <w:lang w:val="hr-HR" w:eastAsia="en-US"/>
        </w:rPr>
        <w:lastRenderedPageBreak/>
        <w:t>(c)</w:t>
      </w:r>
      <w:r w:rsidRPr="007E66EE">
        <w:rPr>
          <w:lang w:val="hr-HR" w:eastAsia="en-US"/>
        </w:rPr>
        <w:tab/>
        <w:t>Pritužba pod člankom 11. Konvencije</w:t>
      </w:r>
    </w:p>
    <w:p w:rsidR="000610A7" w:rsidRDefault="000610A7" w:rsidP="00512B77">
      <w:pPr>
        <w:pStyle w:val="JuPara"/>
        <w:rPr>
          <w:lang w:val="hr-HR" w:eastAsia="en-US"/>
        </w:rPr>
      </w:pPr>
      <w:r w:rsidRPr="007E66EE">
        <w:rPr>
          <w:lang w:val="hr-HR" w:eastAsia="en-US"/>
        </w:rPr>
        <w:fldChar w:fldCharType="begin"/>
      </w:r>
      <w:r w:rsidRPr="007E66EE">
        <w:rPr>
          <w:lang w:val="hr-HR" w:eastAsia="en-US"/>
        </w:rPr>
        <w:instrText xml:space="preserve"> SEQ level0 \*arabic </w:instrText>
      </w:r>
      <w:r w:rsidRPr="007E66EE">
        <w:rPr>
          <w:lang w:val="hr-HR" w:eastAsia="en-US"/>
        </w:rPr>
        <w:fldChar w:fldCharType="separate"/>
      </w:r>
      <w:r w:rsidRPr="007E66EE">
        <w:rPr>
          <w:noProof/>
          <w:lang w:val="hr-HR" w:eastAsia="en-US"/>
        </w:rPr>
        <w:t>50</w:t>
      </w:r>
      <w:r w:rsidRPr="007E66EE">
        <w:rPr>
          <w:lang w:val="hr-HR" w:eastAsia="en-US"/>
        </w:rPr>
        <w:fldChar w:fldCharType="end"/>
      </w:r>
      <w:r w:rsidRPr="007E66EE">
        <w:rPr>
          <w:lang w:val="hr-HR" w:eastAsia="en-US"/>
        </w:rPr>
        <w:t>.  Prema Vladinim podnescima, ova pritužba imala se razmatrati zajedno s onom pod člankom 10. U stvarnosti, podnositelji zahtjeva su tvrdili da bi izraze koji su rezultirali u njihovom otkazu trebalo tumačiti u kontekstu njihovih sindikalnih aktivnosti. Međutim, odlukom poslodavca, potvrđenom od strane sudova, nije bilo dovedeno u pitanje</w:t>
      </w:r>
      <w:r>
        <w:rPr>
          <w:lang w:val="hr-HR" w:eastAsia="en-US"/>
        </w:rPr>
        <w:t xml:space="preserve"> njihovo</w:t>
      </w:r>
      <w:r w:rsidRPr="007E66EE">
        <w:rPr>
          <w:lang w:val="hr-HR" w:eastAsia="en-US"/>
        </w:rPr>
        <w:t xml:space="preserve"> pravo osnivanja ili pristupanja sindikatima; ono što je trebalo razmotriti u ovom slučaju su bili opseg odnosno granice slobode izražavanja sindikalnih zastupnika.</w:t>
      </w:r>
    </w:p>
    <w:p w:rsidR="000610A7" w:rsidRDefault="000610A7" w:rsidP="00512B77">
      <w:pPr>
        <w:pStyle w:val="JuPara"/>
        <w:rPr>
          <w:lang w:val="hr-HR" w:eastAsia="en-US"/>
        </w:rPr>
      </w:pPr>
      <w:r w:rsidRPr="007E66EE">
        <w:rPr>
          <w:lang w:val="hr-HR" w:eastAsia="en-US"/>
        </w:rPr>
        <w:fldChar w:fldCharType="begin"/>
      </w:r>
      <w:r w:rsidRPr="007E66EE">
        <w:rPr>
          <w:lang w:val="hr-HR" w:eastAsia="en-US"/>
        </w:rPr>
        <w:instrText xml:space="preserve"> SEQ level0 \*arabic </w:instrText>
      </w:r>
      <w:r w:rsidRPr="007E66EE">
        <w:rPr>
          <w:lang w:val="hr-HR" w:eastAsia="en-US"/>
        </w:rPr>
        <w:fldChar w:fldCharType="separate"/>
      </w:r>
      <w:r w:rsidRPr="007E66EE">
        <w:rPr>
          <w:noProof/>
          <w:lang w:val="hr-HR" w:eastAsia="en-US"/>
        </w:rPr>
        <w:t>51</w:t>
      </w:r>
      <w:r w:rsidRPr="007E66EE">
        <w:rPr>
          <w:lang w:val="hr-HR" w:eastAsia="en-US"/>
        </w:rPr>
        <w:fldChar w:fldCharType="end"/>
      </w:r>
      <w:r w:rsidRPr="007E66EE">
        <w:rPr>
          <w:lang w:val="hr-HR" w:eastAsia="en-US"/>
        </w:rPr>
        <w:t>.  Sloboda priznata u člank</w:t>
      </w:r>
      <w:r>
        <w:rPr>
          <w:lang w:val="hr-HR" w:eastAsia="en-US"/>
        </w:rPr>
        <w:t>u</w:t>
      </w:r>
      <w:r w:rsidRPr="007E66EE">
        <w:rPr>
          <w:lang w:val="hr-HR" w:eastAsia="en-US"/>
        </w:rPr>
        <w:t xml:space="preserve"> 11. Konvencije nametala je pozitivne obveze zaštite države, uključujući i one koje su se odnosile na mogućnost izražavanja osobnog mišljenja. Međutim, takva bi pozitivna obveza bila povrijeđena samo kada bi bil</w:t>
      </w:r>
      <w:r>
        <w:rPr>
          <w:lang w:val="hr-HR" w:eastAsia="en-US"/>
        </w:rPr>
        <w:t>a</w:t>
      </w:r>
      <w:r w:rsidRPr="007E66EE">
        <w:rPr>
          <w:lang w:val="hr-HR" w:eastAsia="en-US"/>
        </w:rPr>
        <w:t xml:space="preserve"> dovedena u pitanje sloboda udruživanja (vidi posebice </w:t>
      </w:r>
      <w:proofErr w:type="spellStart"/>
      <w:r w:rsidRPr="007E66EE">
        <w:rPr>
          <w:i/>
          <w:lang w:val="hr-HR" w:eastAsia="en-US"/>
        </w:rPr>
        <w:t>Gustafsson</w:t>
      </w:r>
      <w:proofErr w:type="spellEnd"/>
      <w:r w:rsidRPr="007E66EE">
        <w:rPr>
          <w:i/>
          <w:lang w:val="hr-HR" w:eastAsia="en-US"/>
        </w:rPr>
        <w:t xml:space="preserve"> protiv Švedske</w:t>
      </w:r>
      <w:r w:rsidRPr="007E66EE">
        <w:rPr>
          <w:lang w:val="hr-HR" w:eastAsia="en-US"/>
        </w:rPr>
        <w:t>, 25. travnja 1996., st. 52</w:t>
      </w:r>
      <w:r>
        <w:rPr>
          <w:lang w:val="hr-HR" w:eastAsia="en-US"/>
        </w:rPr>
        <w:t>.</w:t>
      </w:r>
      <w:r w:rsidRPr="007E66EE">
        <w:rPr>
          <w:lang w:val="hr-HR" w:eastAsia="en-US"/>
        </w:rPr>
        <w:t xml:space="preserve">, </w:t>
      </w:r>
      <w:proofErr w:type="spellStart"/>
      <w:r w:rsidRPr="007E66EE">
        <w:rPr>
          <w:i/>
          <w:lang w:val="hr-HR" w:eastAsia="en-US"/>
        </w:rPr>
        <w:t>Reports</w:t>
      </w:r>
      <w:proofErr w:type="spellEnd"/>
      <w:r w:rsidRPr="007E66EE">
        <w:rPr>
          <w:i/>
          <w:lang w:val="hr-HR" w:eastAsia="en-US"/>
        </w:rPr>
        <w:t xml:space="preserve"> </w:t>
      </w:r>
      <w:proofErr w:type="spellStart"/>
      <w:r w:rsidRPr="007E66EE">
        <w:rPr>
          <w:i/>
          <w:lang w:val="hr-HR" w:eastAsia="en-US"/>
        </w:rPr>
        <w:t>of</w:t>
      </w:r>
      <w:proofErr w:type="spellEnd"/>
      <w:r w:rsidRPr="007E66EE">
        <w:rPr>
          <w:i/>
          <w:lang w:val="hr-HR" w:eastAsia="en-US"/>
        </w:rPr>
        <w:t xml:space="preserve"> </w:t>
      </w:r>
      <w:proofErr w:type="spellStart"/>
      <w:r w:rsidRPr="007E66EE">
        <w:rPr>
          <w:i/>
          <w:lang w:val="hr-HR" w:eastAsia="en-US"/>
        </w:rPr>
        <w:t>Judgments</w:t>
      </w:r>
      <w:proofErr w:type="spellEnd"/>
      <w:r w:rsidRPr="007E66EE">
        <w:rPr>
          <w:i/>
          <w:lang w:val="hr-HR" w:eastAsia="en-US"/>
        </w:rPr>
        <w:t xml:space="preserve"> </w:t>
      </w:r>
      <w:proofErr w:type="spellStart"/>
      <w:r w:rsidRPr="007E66EE">
        <w:rPr>
          <w:i/>
          <w:lang w:val="hr-HR" w:eastAsia="en-US"/>
        </w:rPr>
        <w:t>and</w:t>
      </w:r>
      <w:proofErr w:type="spellEnd"/>
      <w:r w:rsidRPr="007E66EE">
        <w:rPr>
          <w:i/>
          <w:lang w:val="hr-HR" w:eastAsia="en-US"/>
        </w:rPr>
        <w:t xml:space="preserve"> </w:t>
      </w:r>
      <w:proofErr w:type="spellStart"/>
      <w:r w:rsidRPr="007E66EE">
        <w:rPr>
          <w:i/>
          <w:lang w:val="hr-HR" w:eastAsia="en-US"/>
        </w:rPr>
        <w:t>Decisions</w:t>
      </w:r>
      <w:proofErr w:type="spellEnd"/>
      <w:r w:rsidRPr="007E66EE">
        <w:rPr>
          <w:lang w:val="hr-HR" w:eastAsia="en-US"/>
        </w:rPr>
        <w:t xml:space="preserve"> 1996</w:t>
      </w:r>
      <w:r w:rsidRPr="007E66EE">
        <w:rPr>
          <w:lang w:val="hr-HR" w:eastAsia="en-US"/>
        </w:rPr>
        <w:noBreakHyphen/>
        <w:t>II). Podnositelji zahtjeva nisu dokazali da je cilj odluke o njihovom otkazu bila odmazda protiv određenog sindikata nasuprot ostalima. Uvredljivi bilten jednostavno je kritizirao svjedočenje određenih sindikalnih predstavnika u sporovima koji su bili o</w:t>
      </w:r>
      <w:r>
        <w:rPr>
          <w:lang w:val="hr-HR" w:eastAsia="en-US"/>
        </w:rPr>
        <w:t>d</w:t>
      </w:r>
      <w:r w:rsidRPr="007E66EE">
        <w:rPr>
          <w:lang w:val="hr-HR" w:eastAsia="en-US"/>
        </w:rPr>
        <w:t xml:space="preserve"> pojedinačnog utjecaja na podnositelje zahtjeva i usporedio to svjedočenje sa seksualnim uslugama i krađom. Stoga nije došlo do povrede prava na slobodu udruživanja, ali se postavljalo pitanje opsega i granica slobode izražavanja sindikalnih zastupnika koje se moralo razmotriti pod člankom 10. Konvencije.</w:t>
      </w:r>
    </w:p>
    <w:p w:rsidR="000610A7" w:rsidRPr="007E66EE" w:rsidRDefault="000610A7" w:rsidP="001C6B6A">
      <w:pPr>
        <w:pStyle w:val="JuHA"/>
        <w:outlineLvl w:val="0"/>
        <w:rPr>
          <w:lang w:val="hr-HR"/>
        </w:rPr>
      </w:pPr>
      <w:r w:rsidRPr="007E66EE">
        <w:rPr>
          <w:lang w:val="hr-HR"/>
        </w:rPr>
        <w:t>C.  Ocjena Suda</w:t>
      </w:r>
    </w:p>
    <w:p w:rsidR="000610A7" w:rsidRDefault="000610A7" w:rsidP="001C6B6A">
      <w:pPr>
        <w:pStyle w:val="JuH1"/>
        <w:rPr>
          <w:lang w:val="hr-HR"/>
        </w:rPr>
      </w:pPr>
      <w:r w:rsidRPr="007E66EE">
        <w:rPr>
          <w:lang w:val="hr-HR"/>
        </w:rPr>
        <w:t xml:space="preserve">1. </w:t>
      </w:r>
      <w:r w:rsidRPr="007E66EE">
        <w:rPr>
          <w:lang w:val="hr-HR"/>
        </w:rPr>
        <w:tab/>
        <w:t>Odredba koja se ima primijeniti u konkretnom slučaju</w:t>
      </w:r>
    </w:p>
    <w:p w:rsidR="000610A7" w:rsidRDefault="000610A7" w:rsidP="00AF23DA">
      <w:pPr>
        <w:pStyle w:val="JuPara"/>
        <w:rPr>
          <w:lang w:val="hr-HR"/>
        </w:rPr>
      </w:pPr>
      <w:r w:rsidRPr="007E66EE">
        <w:rPr>
          <w:lang w:val="hr-HR"/>
        </w:rPr>
        <w:fldChar w:fldCharType="begin"/>
      </w:r>
      <w:r w:rsidRPr="007E66EE">
        <w:rPr>
          <w:lang w:val="hr-HR"/>
        </w:rPr>
        <w:instrText xml:space="preserve"> SEQ level0 \*arabic </w:instrText>
      </w:r>
      <w:r w:rsidRPr="007E66EE">
        <w:rPr>
          <w:lang w:val="hr-HR"/>
        </w:rPr>
        <w:fldChar w:fldCharType="separate"/>
      </w:r>
      <w:r w:rsidRPr="007E66EE">
        <w:rPr>
          <w:noProof/>
          <w:lang w:val="hr-HR"/>
        </w:rPr>
        <w:t>52</w:t>
      </w:r>
      <w:r w:rsidRPr="007E66EE">
        <w:rPr>
          <w:lang w:val="hr-HR"/>
        </w:rPr>
        <w:fldChar w:fldCharType="end"/>
      </w:r>
      <w:r w:rsidRPr="007E66EE">
        <w:rPr>
          <w:lang w:val="hr-HR"/>
        </w:rPr>
        <w:t>.  Sud kao prvo primjećuje da činjenice ovog slučaja usko vežu pitanje slobode izražavanja s onom udruživanja u kontekstu sindikata. Podsjeća da je zaštita osobnog mišljenja</w:t>
      </w:r>
      <w:r>
        <w:rPr>
          <w:lang w:val="hr-HR"/>
        </w:rPr>
        <w:t xml:space="preserve"> zajamčena člankom 10. j</w:t>
      </w:r>
      <w:r w:rsidRPr="007E66EE">
        <w:rPr>
          <w:lang w:val="hr-HR"/>
        </w:rPr>
        <w:t>edn</w:t>
      </w:r>
      <w:r>
        <w:rPr>
          <w:lang w:val="hr-HR"/>
        </w:rPr>
        <w:t>a</w:t>
      </w:r>
      <w:r w:rsidRPr="007E66EE">
        <w:rPr>
          <w:lang w:val="hr-HR"/>
        </w:rPr>
        <w:t xml:space="preserve"> od ciljeva slobode udruživanja ustoličene člankom 11</w:t>
      </w:r>
      <w:r>
        <w:rPr>
          <w:lang w:val="hr-HR"/>
        </w:rPr>
        <w:t>.</w:t>
      </w:r>
      <w:r w:rsidRPr="007E66EE">
        <w:rPr>
          <w:lang w:val="hr-HR"/>
        </w:rPr>
        <w:t xml:space="preserve"> (vidi </w:t>
      </w:r>
      <w:proofErr w:type="spellStart"/>
      <w:r w:rsidRPr="007E66EE">
        <w:rPr>
          <w:i/>
          <w:lang w:val="hr-HR" w:eastAsia="en-US"/>
        </w:rPr>
        <w:t>Ezelin</w:t>
      </w:r>
      <w:proofErr w:type="spellEnd"/>
      <w:r w:rsidRPr="007E66EE">
        <w:rPr>
          <w:i/>
          <w:lang w:val="hr-HR" w:eastAsia="en-US"/>
        </w:rPr>
        <w:t xml:space="preserve"> protiv Francuske</w:t>
      </w:r>
      <w:r w:rsidRPr="007E66EE">
        <w:rPr>
          <w:lang w:val="hr-HR" w:eastAsia="en-US"/>
        </w:rPr>
        <w:t>, 26. travnja 1991., st. 37</w:t>
      </w:r>
      <w:r>
        <w:rPr>
          <w:lang w:val="hr-HR" w:eastAsia="en-US"/>
        </w:rPr>
        <w:t>.</w:t>
      </w:r>
      <w:r w:rsidRPr="007E66EE">
        <w:rPr>
          <w:lang w:val="hr-HR" w:eastAsia="en-US"/>
        </w:rPr>
        <w:t xml:space="preserve">, Serija A br. 202, i </w:t>
      </w:r>
      <w:proofErr w:type="spellStart"/>
      <w:r w:rsidRPr="007E66EE">
        <w:rPr>
          <w:i/>
          <w:lang w:val="hr-HR" w:eastAsia="en-US"/>
        </w:rPr>
        <w:t>Barraco</w:t>
      </w:r>
      <w:proofErr w:type="spellEnd"/>
      <w:r w:rsidRPr="007E66EE">
        <w:rPr>
          <w:i/>
          <w:lang w:val="hr-HR" w:eastAsia="en-US"/>
        </w:rPr>
        <w:t xml:space="preserve"> protiv Francuske</w:t>
      </w:r>
      <w:r w:rsidRPr="007E66EE">
        <w:rPr>
          <w:lang w:val="hr-HR" w:eastAsia="en-US"/>
        </w:rPr>
        <w:t xml:space="preserve">, br. 31684/05, st. </w:t>
      </w:r>
      <w:r w:rsidRPr="007E66EE">
        <w:rPr>
          <w:snapToGrid w:val="0"/>
          <w:lang w:val="hr-HR" w:eastAsia="en-US"/>
        </w:rPr>
        <w:t>27</w:t>
      </w:r>
      <w:r>
        <w:rPr>
          <w:snapToGrid w:val="0"/>
          <w:lang w:val="hr-HR" w:eastAsia="en-US"/>
        </w:rPr>
        <w:t>.</w:t>
      </w:r>
      <w:r w:rsidRPr="007E66EE">
        <w:rPr>
          <w:snapToGrid w:val="0"/>
          <w:lang w:val="hr-HR" w:eastAsia="en-US"/>
        </w:rPr>
        <w:t xml:space="preserve">, </w:t>
      </w:r>
      <w:r w:rsidRPr="007E66EE">
        <w:rPr>
          <w:lang w:val="hr-HR" w:eastAsia="en-US"/>
        </w:rPr>
        <w:t>ECHR 2009</w:t>
      </w:r>
      <w:r w:rsidRPr="007E66EE">
        <w:rPr>
          <w:lang w:val="hr-HR" w:eastAsia="en-US"/>
        </w:rPr>
        <w:noBreakHyphen/>
        <w:t>...</w:t>
      </w:r>
      <w:r w:rsidRPr="007E66EE">
        <w:rPr>
          <w:lang w:val="hr-HR"/>
        </w:rPr>
        <w:t>). Stranke su također izložile argument</w:t>
      </w:r>
      <w:r>
        <w:rPr>
          <w:lang w:val="hr-HR"/>
        </w:rPr>
        <w:t>e</w:t>
      </w:r>
      <w:r w:rsidRPr="007E66EE">
        <w:rPr>
          <w:lang w:val="hr-HR"/>
        </w:rPr>
        <w:t xml:space="preserve"> sa stajališta obje te odredbe.</w:t>
      </w:r>
    </w:p>
    <w:p w:rsidR="000610A7" w:rsidRDefault="000610A7" w:rsidP="00AF23DA">
      <w:pPr>
        <w:pStyle w:val="JuPara"/>
        <w:rPr>
          <w:lang w:val="hr-HR"/>
        </w:rPr>
      </w:pPr>
      <w:r w:rsidRPr="007E66EE">
        <w:rPr>
          <w:lang w:val="hr-HR"/>
        </w:rPr>
        <w:t>Mora se međutim primijetiti da se pritužbe podnositelja zahtjeva poglavito odnose na njihov otkaz zbog objavljivanja i prikazivanja dotičnih članaka i karikatura u njihovoj ulozi izvršenog odbora sindikata. Do</w:t>
      </w:r>
      <w:r>
        <w:rPr>
          <w:lang w:val="hr-HR"/>
        </w:rPr>
        <w:t>maći sudovi također nisu utvrdi</w:t>
      </w:r>
      <w:r w:rsidRPr="007E66EE">
        <w:rPr>
          <w:lang w:val="hr-HR"/>
        </w:rPr>
        <w:t xml:space="preserve">li da su podnositelji zahtjeva otpušteni radi svoje pripadnosti sindikatu. Sudovi su se pozvali na ostvarenje slobode izražavanja u kontekstu </w:t>
      </w:r>
      <w:proofErr w:type="spellStart"/>
      <w:r w:rsidRPr="007E66EE">
        <w:rPr>
          <w:lang w:val="hr-HR"/>
        </w:rPr>
        <w:t>radnopravnih</w:t>
      </w:r>
      <w:proofErr w:type="spellEnd"/>
      <w:r w:rsidRPr="007E66EE">
        <w:rPr>
          <w:lang w:val="hr-HR"/>
        </w:rPr>
        <w:t xml:space="preserve"> odnosa te su smatrali da to pravo nije neograničeno te da su se u obzir morale uzeti specifične odlike tih odnosa. Nadalje, Visoki sud pravde Katalonije je zaključio da je otkaz druge dvojice plaćenih dostavljača bio protivan članku 54. st. 1 i 2 (c) Uredbi o radu, budući da su isti bili na bolovanju u vrijeme objave i distribucije spornog biltena. To je </w:t>
      </w:r>
      <w:r w:rsidRPr="007E66EE">
        <w:rPr>
          <w:lang w:val="hr-HR"/>
        </w:rPr>
        <w:lastRenderedPageBreak/>
        <w:t>značilo da se nije moglo smatrati kako su sudjelovali u objavi ili distribuciji biltena, niti iz tog razloga zajednički odgovornim za štetu uzrokovanu dostojanstvu dotičnih osoba. Radni sud usputno je primijetio da su isti još uvijek bili i članovi spornog sindikata (vidi st. 15</w:t>
      </w:r>
      <w:r>
        <w:rPr>
          <w:lang w:val="hr-HR"/>
        </w:rPr>
        <w:t>.</w:t>
      </w:r>
      <w:r w:rsidRPr="007E66EE">
        <w:rPr>
          <w:lang w:val="hr-HR"/>
        </w:rPr>
        <w:t xml:space="preserve"> gore). Time je potvrđ</w:t>
      </w:r>
      <w:r>
        <w:rPr>
          <w:lang w:val="hr-HR"/>
        </w:rPr>
        <w:t>eno da sindikalno članstvo podnositelja zahtj</w:t>
      </w:r>
      <w:r w:rsidRPr="007E66EE">
        <w:rPr>
          <w:lang w:val="hr-HR"/>
        </w:rPr>
        <w:t>eva nije imalo odlučnu ulogu u njihovom otpuštanju.</w:t>
      </w:r>
    </w:p>
    <w:p w:rsidR="000610A7" w:rsidRPr="007E66EE" w:rsidRDefault="000610A7" w:rsidP="00AF23DA">
      <w:pPr>
        <w:pStyle w:val="JuPara"/>
        <w:rPr>
          <w:i/>
          <w:lang w:val="hr-HR" w:eastAsia="en-US"/>
        </w:rPr>
      </w:pPr>
      <w:r w:rsidRPr="007E66EE">
        <w:rPr>
          <w:lang w:val="hr-HR"/>
        </w:rPr>
        <w:t>Sud</w:t>
      </w:r>
      <w:r>
        <w:rPr>
          <w:lang w:val="hr-HR"/>
        </w:rPr>
        <w:t xml:space="preserve"> </w:t>
      </w:r>
      <w:r w:rsidRPr="007E66EE">
        <w:rPr>
          <w:lang w:val="hr-HR"/>
        </w:rPr>
        <w:t xml:space="preserve">stoga zaključuje da bi bilo prikladnije činjenice ovog predmeta razmotriti sa stajališta članka 10., koji će se u svakom slučaju tumačiti u svjetlu članka 11. (vidi </w:t>
      </w:r>
      <w:proofErr w:type="spellStart"/>
      <w:r w:rsidRPr="007E66EE">
        <w:rPr>
          <w:i/>
          <w:lang w:val="hr-HR" w:eastAsia="en-US"/>
        </w:rPr>
        <w:t>Women</w:t>
      </w:r>
      <w:proofErr w:type="spellEnd"/>
      <w:r w:rsidRPr="007E66EE">
        <w:rPr>
          <w:i/>
          <w:lang w:val="hr-HR" w:eastAsia="en-US"/>
        </w:rPr>
        <w:t xml:space="preserve"> On </w:t>
      </w:r>
      <w:proofErr w:type="spellStart"/>
      <w:r w:rsidRPr="007E66EE">
        <w:rPr>
          <w:i/>
          <w:lang w:val="hr-HR" w:eastAsia="en-US"/>
        </w:rPr>
        <w:t>Waves</w:t>
      </w:r>
      <w:proofErr w:type="spellEnd"/>
      <w:r w:rsidRPr="007E66EE">
        <w:rPr>
          <w:i/>
          <w:lang w:val="hr-HR" w:eastAsia="en-US"/>
        </w:rPr>
        <w:t xml:space="preserve"> i ostali protiv Portugala</w:t>
      </w:r>
      <w:r w:rsidRPr="007E66EE">
        <w:rPr>
          <w:lang w:val="hr-HR" w:eastAsia="en-US"/>
        </w:rPr>
        <w:t>, br. 31276/05, st. 28</w:t>
      </w:r>
      <w:r>
        <w:rPr>
          <w:lang w:val="hr-HR" w:eastAsia="en-US"/>
        </w:rPr>
        <w:t>.</w:t>
      </w:r>
      <w:r w:rsidRPr="007E66EE">
        <w:rPr>
          <w:lang w:val="hr-HR" w:eastAsia="en-US"/>
        </w:rPr>
        <w:t>, ECHR 2009</w:t>
      </w:r>
      <w:r w:rsidRPr="007E66EE">
        <w:rPr>
          <w:lang w:val="hr-HR" w:eastAsia="en-US"/>
        </w:rPr>
        <w:noBreakHyphen/>
        <w:t>... (isječci)).</w:t>
      </w:r>
    </w:p>
    <w:p w:rsidR="000610A7" w:rsidRDefault="000610A7" w:rsidP="00444E6F">
      <w:pPr>
        <w:pStyle w:val="JuH1"/>
        <w:outlineLvl w:val="0"/>
        <w:rPr>
          <w:lang w:val="hr-HR"/>
        </w:rPr>
      </w:pPr>
      <w:r w:rsidRPr="007E66EE">
        <w:rPr>
          <w:lang w:val="hr-HR"/>
        </w:rPr>
        <w:t>2.  Poštivanje članka 10. Konvencije, shvaćenog u svjetlu članka 11.</w:t>
      </w:r>
    </w:p>
    <w:p w:rsidR="000610A7" w:rsidRPr="007E66EE" w:rsidRDefault="000610A7" w:rsidP="002F1A2F">
      <w:pPr>
        <w:pStyle w:val="JuHa0"/>
        <w:rPr>
          <w:lang w:val="hr-HR"/>
        </w:rPr>
      </w:pPr>
      <w:r w:rsidRPr="007E66EE">
        <w:rPr>
          <w:lang w:val="hr-HR"/>
        </w:rPr>
        <w:t xml:space="preserve">(a) Opća načela u </w:t>
      </w:r>
      <w:r>
        <w:rPr>
          <w:lang w:val="hr-HR"/>
        </w:rPr>
        <w:t>predmetima</w:t>
      </w:r>
      <w:r w:rsidRPr="007E66EE">
        <w:rPr>
          <w:lang w:val="hr-HR"/>
        </w:rPr>
        <w:t xml:space="preserve"> slobode izražavanja</w:t>
      </w:r>
    </w:p>
    <w:p w:rsidR="000610A7" w:rsidRPr="00FC612C" w:rsidRDefault="000610A7" w:rsidP="00651863">
      <w:pPr>
        <w:pStyle w:val="JuPara"/>
        <w:rPr>
          <w:szCs w:val="24"/>
          <w:lang w:val="hr-HR" w:eastAsia="en-US"/>
        </w:rPr>
      </w:pPr>
      <w:r w:rsidRPr="00FC612C">
        <w:rPr>
          <w:szCs w:val="24"/>
          <w:lang w:val="hr-HR"/>
        </w:rPr>
        <w:fldChar w:fldCharType="begin"/>
      </w:r>
      <w:r w:rsidRPr="00FC612C">
        <w:rPr>
          <w:szCs w:val="24"/>
          <w:lang w:val="hr-HR"/>
        </w:rPr>
        <w:instrText xml:space="preserve"> SEQ level0 \*arabic </w:instrText>
      </w:r>
      <w:r w:rsidRPr="00FC612C">
        <w:rPr>
          <w:szCs w:val="24"/>
          <w:lang w:val="hr-HR"/>
        </w:rPr>
        <w:fldChar w:fldCharType="separate"/>
      </w:r>
      <w:r w:rsidRPr="00FC612C">
        <w:rPr>
          <w:noProof/>
          <w:szCs w:val="24"/>
          <w:lang w:val="hr-HR"/>
        </w:rPr>
        <w:t>53</w:t>
      </w:r>
      <w:r w:rsidRPr="00FC612C">
        <w:rPr>
          <w:szCs w:val="24"/>
          <w:lang w:val="hr-HR"/>
        </w:rPr>
        <w:fldChar w:fldCharType="end"/>
      </w:r>
      <w:r w:rsidRPr="00FC612C">
        <w:rPr>
          <w:szCs w:val="24"/>
          <w:lang w:val="hr-HR"/>
        </w:rPr>
        <w:t xml:space="preserve">.  Sloboda izražavanja jedan je od osnovnih temelja demokratskog društva i jedan od preduvjeta njegova napretka i samoostvarenja svakog pojedinca. Sukladno st. 2. članka 10., ona se primjenjuje ne samo na „informacije“ ili „ideje“ koje su blagonaklono prihvaćene ili se smatraju neuvredljivima ili ne izazivaju nikakvu reakciju, nego i na one koje vrijeđaju, šokiraju ili uznemiruju. To zahtijevaju načela pluralizma, tolerancije i </w:t>
      </w:r>
      <w:proofErr w:type="spellStart"/>
      <w:r w:rsidRPr="00FC612C">
        <w:rPr>
          <w:szCs w:val="24"/>
          <w:lang w:val="hr-HR"/>
        </w:rPr>
        <w:t>širokoumnosti</w:t>
      </w:r>
      <w:proofErr w:type="spellEnd"/>
      <w:r w:rsidRPr="00FC612C">
        <w:rPr>
          <w:szCs w:val="24"/>
          <w:lang w:val="hr-HR"/>
        </w:rPr>
        <w:t xml:space="preserve"> bez kojih nema „demokratskog društva“. Kao što je određeno člankom 10., ova sloboda je podložna iznimkama koje međutim moraju biti strogo tumačene, a potreba za bilo kakvim ograničenjima mora biti uvjerljivo utvrđena (vidi, između ostalog, </w:t>
      </w:r>
      <w:proofErr w:type="spellStart"/>
      <w:r w:rsidRPr="00FC612C">
        <w:rPr>
          <w:i/>
          <w:szCs w:val="24"/>
          <w:lang w:val="hr-HR" w:eastAsia="en-US"/>
        </w:rPr>
        <w:t>Lindon</w:t>
      </w:r>
      <w:proofErr w:type="spellEnd"/>
      <w:r w:rsidRPr="00FC612C">
        <w:rPr>
          <w:i/>
          <w:szCs w:val="24"/>
          <w:lang w:val="hr-HR" w:eastAsia="en-US"/>
        </w:rPr>
        <w:t xml:space="preserve">, </w:t>
      </w:r>
      <w:proofErr w:type="spellStart"/>
      <w:r w:rsidRPr="00FC612C">
        <w:rPr>
          <w:i/>
          <w:szCs w:val="24"/>
          <w:lang w:val="hr-HR" w:eastAsia="en-US"/>
        </w:rPr>
        <w:t>Otchakovsky-Laurens</w:t>
      </w:r>
      <w:proofErr w:type="spellEnd"/>
      <w:r w:rsidRPr="00FC612C">
        <w:rPr>
          <w:i/>
          <w:szCs w:val="24"/>
          <w:lang w:val="hr-HR" w:eastAsia="en-US"/>
        </w:rPr>
        <w:t xml:space="preserve"> i </w:t>
      </w:r>
      <w:proofErr w:type="spellStart"/>
      <w:r w:rsidRPr="00FC612C">
        <w:rPr>
          <w:i/>
          <w:szCs w:val="24"/>
          <w:lang w:val="hr-HR" w:eastAsia="en-US"/>
        </w:rPr>
        <w:t>July</w:t>
      </w:r>
      <w:proofErr w:type="spellEnd"/>
      <w:r w:rsidRPr="00FC612C">
        <w:rPr>
          <w:szCs w:val="24"/>
          <w:lang w:val="hr-HR"/>
        </w:rPr>
        <w:t xml:space="preserve">, prethodno citirano). Nadalje, sloboda izražavanja ne štiti samo bit izraženih ideja i informacija, nego i oblik u kojemu su prenesene (vidi </w:t>
      </w:r>
      <w:r w:rsidRPr="00FC612C">
        <w:rPr>
          <w:i/>
          <w:szCs w:val="24"/>
          <w:lang w:val="hr-HR" w:eastAsia="en-US"/>
        </w:rPr>
        <w:t xml:space="preserve">De </w:t>
      </w:r>
      <w:proofErr w:type="spellStart"/>
      <w:r w:rsidRPr="00FC612C">
        <w:rPr>
          <w:i/>
          <w:szCs w:val="24"/>
          <w:lang w:val="hr-HR" w:eastAsia="en-US"/>
        </w:rPr>
        <w:t>Haes</w:t>
      </w:r>
      <w:proofErr w:type="spellEnd"/>
      <w:r w:rsidRPr="00FC612C">
        <w:rPr>
          <w:i/>
          <w:szCs w:val="24"/>
          <w:lang w:val="hr-HR" w:eastAsia="en-US"/>
        </w:rPr>
        <w:t xml:space="preserve"> </w:t>
      </w:r>
      <w:proofErr w:type="spellStart"/>
      <w:r w:rsidRPr="00FC612C">
        <w:rPr>
          <w:i/>
          <w:szCs w:val="24"/>
          <w:lang w:val="hr-HR" w:eastAsia="en-US"/>
        </w:rPr>
        <w:t>and</w:t>
      </w:r>
      <w:proofErr w:type="spellEnd"/>
      <w:r w:rsidRPr="00FC612C">
        <w:rPr>
          <w:i/>
          <w:szCs w:val="24"/>
          <w:lang w:val="hr-HR" w:eastAsia="en-US"/>
        </w:rPr>
        <w:t xml:space="preserve"> </w:t>
      </w:r>
      <w:proofErr w:type="spellStart"/>
      <w:r w:rsidRPr="00FC612C">
        <w:rPr>
          <w:i/>
          <w:szCs w:val="24"/>
          <w:lang w:val="hr-HR" w:eastAsia="en-US"/>
        </w:rPr>
        <w:t>Gijsels</w:t>
      </w:r>
      <w:proofErr w:type="spellEnd"/>
      <w:r w:rsidRPr="00FC612C">
        <w:rPr>
          <w:i/>
          <w:szCs w:val="24"/>
          <w:lang w:val="hr-HR" w:eastAsia="en-US"/>
        </w:rPr>
        <w:t xml:space="preserve"> protiv Belgije</w:t>
      </w:r>
      <w:r w:rsidRPr="00FC612C">
        <w:rPr>
          <w:szCs w:val="24"/>
          <w:lang w:val="hr-HR" w:eastAsia="en-US"/>
        </w:rPr>
        <w:t>, 24. veljače 1997., st. 48</w:t>
      </w:r>
      <w:r>
        <w:rPr>
          <w:szCs w:val="24"/>
          <w:lang w:val="hr-HR" w:eastAsia="en-US"/>
        </w:rPr>
        <w:t>.</w:t>
      </w:r>
      <w:r w:rsidRPr="00FC612C">
        <w:rPr>
          <w:szCs w:val="24"/>
          <w:lang w:val="hr-HR" w:eastAsia="en-US"/>
        </w:rPr>
        <w:t xml:space="preserve">, </w:t>
      </w:r>
      <w:proofErr w:type="spellStart"/>
      <w:r w:rsidRPr="00FC612C">
        <w:rPr>
          <w:i/>
          <w:szCs w:val="24"/>
          <w:lang w:val="hr-HR" w:eastAsia="en-US"/>
        </w:rPr>
        <w:t>Reports</w:t>
      </w:r>
      <w:proofErr w:type="spellEnd"/>
      <w:r w:rsidRPr="00FC612C">
        <w:rPr>
          <w:szCs w:val="24"/>
          <w:lang w:val="hr-HR" w:eastAsia="en-US"/>
        </w:rPr>
        <w:t xml:space="preserve"> 1997</w:t>
      </w:r>
      <w:r w:rsidRPr="00FC612C">
        <w:rPr>
          <w:szCs w:val="24"/>
          <w:lang w:val="hr-HR" w:eastAsia="en-US"/>
        </w:rPr>
        <w:noBreakHyphen/>
        <w:t>I).</w:t>
      </w:r>
    </w:p>
    <w:p w:rsidR="000610A7" w:rsidRPr="007E66EE" w:rsidRDefault="000610A7" w:rsidP="00D646F0">
      <w:pPr>
        <w:pStyle w:val="JuPara"/>
        <w:rPr>
          <w:lang w:val="hr-HR" w:eastAsia="en-US"/>
        </w:rPr>
      </w:pPr>
      <w:r w:rsidRPr="007E66EE">
        <w:rPr>
          <w:lang w:val="hr-HR" w:eastAsia="en-US"/>
        </w:rPr>
        <w:fldChar w:fldCharType="begin"/>
      </w:r>
      <w:r w:rsidRPr="007E66EE">
        <w:rPr>
          <w:lang w:val="hr-HR" w:eastAsia="en-US"/>
        </w:rPr>
        <w:instrText xml:space="preserve"> SEQ level0 \*arabic </w:instrText>
      </w:r>
      <w:r w:rsidRPr="007E66EE">
        <w:rPr>
          <w:lang w:val="hr-HR" w:eastAsia="en-US"/>
        </w:rPr>
        <w:fldChar w:fldCharType="separate"/>
      </w:r>
      <w:r w:rsidRPr="007E66EE">
        <w:rPr>
          <w:noProof/>
          <w:lang w:val="hr-HR" w:eastAsia="en-US"/>
        </w:rPr>
        <w:t>54</w:t>
      </w:r>
      <w:r w:rsidRPr="007E66EE">
        <w:rPr>
          <w:lang w:val="hr-HR" w:eastAsia="en-US"/>
        </w:rPr>
        <w:fldChar w:fldCharType="end"/>
      </w:r>
      <w:r w:rsidRPr="007E66EE">
        <w:rPr>
          <w:lang w:val="hr-HR" w:eastAsia="en-US"/>
        </w:rPr>
        <w:t>.  U svakom slučaju se mora uzeti u obzir potreba da se postigne pravedna ravnoteža između različitih interesa.</w:t>
      </w:r>
      <w:r>
        <w:rPr>
          <w:lang w:val="hr-HR" w:eastAsia="en-US"/>
        </w:rPr>
        <w:t xml:space="preserve"> </w:t>
      </w:r>
      <w:r w:rsidRPr="007E66EE">
        <w:rPr>
          <w:lang w:val="hr-HR" w:eastAsia="en-US"/>
        </w:rPr>
        <w:t>Zbog njihov</w:t>
      </w:r>
      <w:r>
        <w:rPr>
          <w:lang w:val="hr-HR" w:eastAsia="en-US"/>
        </w:rPr>
        <w:t>a</w:t>
      </w:r>
      <w:r w:rsidRPr="007E66EE">
        <w:rPr>
          <w:lang w:val="hr-HR" w:eastAsia="en-US"/>
        </w:rPr>
        <w:t xml:space="preserve"> izravnog i stalnog kontakta sa stvarnostima u zemlji, </w:t>
      </w:r>
      <w:r>
        <w:rPr>
          <w:lang w:val="hr-HR" w:eastAsia="en-US"/>
        </w:rPr>
        <w:t>nacionalni</w:t>
      </w:r>
      <w:r w:rsidRPr="007E66EE">
        <w:rPr>
          <w:lang w:val="hr-HR" w:eastAsia="en-US"/>
        </w:rPr>
        <w:t xml:space="preserve"> su sudovi u boljem položaju od međunarodnog suda odrediti kako postići tu ravnotežu u svakom danom trenutku. </w:t>
      </w:r>
      <w:r w:rsidRPr="007E66EE">
        <w:rPr>
          <w:lang w:val="hr-HR"/>
        </w:rPr>
        <w:t xml:space="preserve">Iz tog razloga, u pitanjima iz članka 10. Konvencije države uživaju određenu slobodu procjene u procjenjivanju </w:t>
      </w:r>
      <w:r>
        <w:rPr>
          <w:lang w:val="hr-HR"/>
        </w:rPr>
        <w:t>nuž</w:t>
      </w:r>
      <w:r w:rsidRPr="007E66EE">
        <w:rPr>
          <w:lang w:val="hr-HR"/>
        </w:rPr>
        <w:t xml:space="preserve">nosti i opsega bilo kakvog miješanja sa slobodom izražavanja zaštićenom tom odredbom (vidi </w:t>
      </w:r>
      <w:proofErr w:type="spellStart"/>
      <w:r w:rsidRPr="007E66EE">
        <w:rPr>
          <w:i/>
          <w:lang w:val="hr-HR" w:eastAsia="en-US"/>
        </w:rPr>
        <w:t>Tammer</w:t>
      </w:r>
      <w:proofErr w:type="spellEnd"/>
      <w:r w:rsidRPr="007E66EE">
        <w:rPr>
          <w:i/>
          <w:lang w:val="hr-HR" w:eastAsia="en-US"/>
        </w:rPr>
        <w:t xml:space="preserve"> protiv Estonije</w:t>
      </w:r>
      <w:r w:rsidRPr="007E66EE">
        <w:rPr>
          <w:lang w:val="hr-HR" w:eastAsia="en-US"/>
        </w:rPr>
        <w:t>, br. 41205/98, st 60</w:t>
      </w:r>
      <w:r>
        <w:rPr>
          <w:lang w:val="hr-HR" w:eastAsia="en-US"/>
        </w:rPr>
        <w:t>.</w:t>
      </w:r>
      <w:r w:rsidRPr="007E66EE">
        <w:rPr>
          <w:lang w:val="hr-HR" w:eastAsia="en-US"/>
        </w:rPr>
        <w:t>, ECHR 2001</w:t>
      </w:r>
      <w:r w:rsidRPr="007E66EE">
        <w:rPr>
          <w:lang w:val="hr-HR" w:eastAsia="en-US"/>
        </w:rPr>
        <w:noBreakHyphen/>
        <w:t xml:space="preserve">I, i </w:t>
      </w:r>
      <w:proofErr w:type="spellStart"/>
      <w:r w:rsidRPr="007E66EE">
        <w:rPr>
          <w:i/>
          <w:lang w:val="hr-HR" w:eastAsia="en-US"/>
        </w:rPr>
        <w:t>Pedersen</w:t>
      </w:r>
      <w:proofErr w:type="spellEnd"/>
      <w:r w:rsidRPr="007E66EE">
        <w:rPr>
          <w:i/>
          <w:lang w:val="hr-HR" w:eastAsia="en-US"/>
        </w:rPr>
        <w:t xml:space="preserve"> i </w:t>
      </w:r>
      <w:proofErr w:type="spellStart"/>
      <w:r w:rsidRPr="007E66EE">
        <w:rPr>
          <w:i/>
          <w:lang w:val="hr-HR" w:eastAsia="en-US"/>
        </w:rPr>
        <w:t>Baadsgaard</w:t>
      </w:r>
      <w:proofErr w:type="spellEnd"/>
      <w:r w:rsidRPr="007E66EE">
        <w:rPr>
          <w:i/>
          <w:lang w:val="hr-HR" w:eastAsia="en-US"/>
        </w:rPr>
        <w:t xml:space="preserve"> protiv Danske </w:t>
      </w:r>
      <w:r w:rsidRPr="007E66EE">
        <w:rPr>
          <w:lang w:val="hr-HR" w:eastAsia="en-US"/>
        </w:rPr>
        <w:t>[GC], br. 49017/99, st. 68</w:t>
      </w:r>
      <w:r>
        <w:rPr>
          <w:lang w:val="hr-HR" w:eastAsia="en-US"/>
        </w:rPr>
        <w:t>.</w:t>
      </w:r>
      <w:r w:rsidRPr="007E66EE">
        <w:rPr>
          <w:lang w:val="hr-HR" w:eastAsia="en-US"/>
        </w:rPr>
        <w:t>, ECHR 2004</w:t>
      </w:r>
      <w:r w:rsidRPr="007E66EE">
        <w:rPr>
          <w:lang w:val="hr-HR" w:eastAsia="en-US"/>
        </w:rPr>
        <w:noBreakHyphen/>
        <w:t xml:space="preserve">XI), posebice prilikom određivanja ravnoteže između </w:t>
      </w:r>
      <w:r>
        <w:rPr>
          <w:lang w:val="hr-HR" w:eastAsia="en-US"/>
        </w:rPr>
        <w:t>suprotstavljenih</w:t>
      </w:r>
      <w:r w:rsidRPr="007E66EE">
        <w:rPr>
          <w:lang w:val="hr-HR" w:eastAsia="en-US"/>
        </w:rPr>
        <w:t xml:space="preserve"> privatnih interesa.</w:t>
      </w:r>
    </w:p>
    <w:p w:rsidR="000610A7" w:rsidRPr="007E66EE" w:rsidRDefault="000610A7" w:rsidP="00CB0123">
      <w:pPr>
        <w:pStyle w:val="JuPara"/>
        <w:rPr>
          <w:i/>
          <w:lang w:val="hr-HR" w:eastAsia="en-US"/>
        </w:rPr>
      </w:pPr>
      <w:r w:rsidRPr="007E66EE">
        <w:rPr>
          <w:lang w:val="hr-HR"/>
        </w:rPr>
        <w:fldChar w:fldCharType="begin"/>
      </w:r>
      <w:r w:rsidRPr="007E66EE">
        <w:rPr>
          <w:lang w:val="hr-HR"/>
        </w:rPr>
        <w:instrText xml:space="preserve"> SEQ level0 \*arabic </w:instrText>
      </w:r>
      <w:r w:rsidRPr="007E66EE">
        <w:rPr>
          <w:lang w:val="hr-HR"/>
        </w:rPr>
        <w:fldChar w:fldCharType="separate"/>
      </w:r>
      <w:r w:rsidRPr="007E66EE">
        <w:rPr>
          <w:noProof/>
          <w:lang w:val="hr-HR"/>
        </w:rPr>
        <w:t>55</w:t>
      </w:r>
      <w:r w:rsidRPr="007E66EE">
        <w:rPr>
          <w:lang w:val="hr-HR"/>
        </w:rPr>
        <w:fldChar w:fldCharType="end"/>
      </w:r>
      <w:r w:rsidRPr="007E66EE">
        <w:rPr>
          <w:lang w:val="hr-HR"/>
        </w:rPr>
        <w:t xml:space="preserve">.  Međutim, </w:t>
      </w:r>
      <w:r w:rsidRPr="007E66EE">
        <w:rPr>
          <w:sz w:val="23"/>
          <w:szCs w:val="23"/>
          <w:lang w:val="hr-HR"/>
        </w:rPr>
        <w:t>ta sloboda procjene ide ruku pod ruku s europskim nadzorom, obuhvaćajući i zakonodavstvo i odluke koje ga primjenjuju, čak i one koje je donio neovisni sud</w:t>
      </w:r>
      <w:r w:rsidRPr="007E66EE">
        <w:rPr>
          <w:lang w:val="hr-HR"/>
        </w:rPr>
        <w:t xml:space="preserve"> (vidi, </w:t>
      </w:r>
      <w:proofErr w:type="spellStart"/>
      <w:r w:rsidRPr="007E66EE">
        <w:rPr>
          <w:i/>
          <w:lang w:val="hr-HR"/>
        </w:rPr>
        <w:t>mutatis</w:t>
      </w:r>
      <w:proofErr w:type="spellEnd"/>
      <w:r w:rsidRPr="007E66EE">
        <w:rPr>
          <w:i/>
          <w:lang w:val="hr-HR"/>
        </w:rPr>
        <w:t xml:space="preserve"> </w:t>
      </w:r>
      <w:proofErr w:type="spellStart"/>
      <w:r w:rsidRPr="007E66EE">
        <w:rPr>
          <w:i/>
          <w:lang w:val="hr-HR"/>
        </w:rPr>
        <w:t>mutandis</w:t>
      </w:r>
      <w:proofErr w:type="spellEnd"/>
      <w:r w:rsidRPr="007E66EE">
        <w:rPr>
          <w:lang w:val="hr-HR"/>
        </w:rPr>
        <w:t xml:space="preserve">, </w:t>
      </w:r>
      <w:proofErr w:type="spellStart"/>
      <w:r w:rsidRPr="007E66EE">
        <w:rPr>
          <w:i/>
          <w:lang w:val="hr-HR" w:eastAsia="en-US"/>
        </w:rPr>
        <w:t>Peck</w:t>
      </w:r>
      <w:proofErr w:type="spellEnd"/>
      <w:r w:rsidRPr="007E66EE">
        <w:rPr>
          <w:i/>
          <w:lang w:val="hr-HR" w:eastAsia="en-US"/>
        </w:rPr>
        <w:t xml:space="preserve"> protiv Ujedinjenog Kraljevstva</w:t>
      </w:r>
      <w:r w:rsidRPr="007E66EE">
        <w:rPr>
          <w:lang w:val="hr-HR" w:eastAsia="en-US"/>
        </w:rPr>
        <w:t>,</w:t>
      </w:r>
      <w:r w:rsidRPr="007E66EE">
        <w:rPr>
          <w:i/>
          <w:lang w:val="hr-HR" w:eastAsia="en-US"/>
        </w:rPr>
        <w:t xml:space="preserve"> </w:t>
      </w:r>
      <w:r w:rsidRPr="007E66EE">
        <w:rPr>
          <w:lang w:val="hr-HR" w:eastAsia="en-US"/>
        </w:rPr>
        <w:t>br. 44647/98, st. 77</w:t>
      </w:r>
      <w:r>
        <w:rPr>
          <w:lang w:val="hr-HR" w:eastAsia="en-US"/>
        </w:rPr>
        <w:t>.</w:t>
      </w:r>
      <w:r w:rsidRPr="007E66EE">
        <w:rPr>
          <w:lang w:val="hr-HR" w:eastAsia="en-US"/>
        </w:rPr>
        <w:t>, ECHR 2003</w:t>
      </w:r>
      <w:r w:rsidRPr="007E66EE">
        <w:rPr>
          <w:lang w:val="hr-HR" w:eastAsia="en-US"/>
        </w:rPr>
        <w:noBreakHyphen/>
        <w:t xml:space="preserve">I, i </w:t>
      </w:r>
      <w:proofErr w:type="spellStart"/>
      <w:r w:rsidRPr="007E66EE">
        <w:rPr>
          <w:i/>
          <w:szCs w:val="24"/>
          <w:lang w:val="hr-HR" w:eastAsia="en-US"/>
        </w:rPr>
        <w:t>Karhuvaara</w:t>
      </w:r>
      <w:proofErr w:type="spellEnd"/>
      <w:r w:rsidRPr="007E66EE">
        <w:rPr>
          <w:i/>
          <w:szCs w:val="24"/>
          <w:lang w:val="hr-HR" w:eastAsia="en-US"/>
        </w:rPr>
        <w:t xml:space="preserve"> i </w:t>
      </w:r>
      <w:proofErr w:type="spellStart"/>
      <w:r w:rsidRPr="007E66EE">
        <w:rPr>
          <w:i/>
          <w:szCs w:val="24"/>
          <w:lang w:val="hr-HR" w:eastAsia="en-US"/>
        </w:rPr>
        <w:t>Iltalehti</w:t>
      </w:r>
      <w:proofErr w:type="spellEnd"/>
      <w:r w:rsidRPr="007E66EE">
        <w:rPr>
          <w:i/>
          <w:szCs w:val="24"/>
          <w:lang w:val="hr-HR" w:eastAsia="en-US"/>
        </w:rPr>
        <w:t xml:space="preserve"> protiv Finske</w:t>
      </w:r>
      <w:r w:rsidRPr="007E66EE">
        <w:rPr>
          <w:szCs w:val="24"/>
          <w:lang w:val="hr-HR" w:eastAsia="en-US"/>
        </w:rPr>
        <w:t>, br. 53678/00, st. 38</w:t>
      </w:r>
      <w:r>
        <w:rPr>
          <w:szCs w:val="24"/>
          <w:lang w:val="hr-HR" w:eastAsia="en-US"/>
        </w:rPr>
        <w:t>.</w:t>
      </w:r>
      <w:r w:rsidRPr="007E66EE">
        <w:rPr>
          <w:szCs w:val="24"/>
          <w:lang w:val="hr-HR" w:eastAsia="en-US"/>
        </w:rPr>
        <w:t xml:space="preserve">, </w:t>
      </w:r>
      <w:r w:rsidRPr="007E66EE">
        <w:rPr>
          <w:lang w:val="hr-HR" w:eastAsia="en-US"/>
        </w:rPr>
        <w:t>ECHR 2004</w:t>
      </w:r>
      <w:r w:rsidRPr="007E66EE">
        <w:rPr>
          <w:lang w:val="hr-HR" w:eastAsia="en-US"/>
        </w:rPr>
        <w:noBreakHyphen/>
        <w:t>X). Zadaća Suda prilikom obavljanja svoje nadzorne fun</w:t>
      </w:r>
      <w:r>
        <w:rPr>
          <w:lang w:val="hr-HR" w:eastAsia="en-US"/>
        </w:rPr>
        <w:t>k</w:t>
      </w:r>
      <w:r w:rsidRPr="007E66EE">
        <w:rPr>
          <w:lang w:val="hr-HR" w:eastAsia="en-US"/>
        </w:rPr>
        <w:t xml:space="preserve">cije nije uzeti mjesto nacionalnih vlasti, nego </w:t>
      </w:r>
      <w:r w:rsidRPr="007E66EE">
        <w:rPr>
          <w:lang w:val="hr-HR" w:eastAsia="en-US"/>
        </w:rPr>
        <w:lastRenderedPageBreak/>
        <w:t xml:space="preserve">ispitati, u svjetlu cjelokupnog slučaja, da li su njihove odluke donesene u skladu s njihovom slobodom procjene u skladu s odredbama Konvencije na koje se poziva </w:t>
      </w:r>
      <w:r w:rsidRPr="007E66EE">
        <w:rPr>
          <w:lang w:val="hr-HR"/>
        </w:rPr>
        <w:t xml:space="preserve">(vidi </w:t>
      </w:r>
      <w:proofErr w:type="spellStart"/>
      <w:r w:rsidRPr="007E66EE">
        <w:rPr>
          <w:lang w:val="hr-HR" w:eastAsia="en-US"/>
        </w:rPr>
        <w:t>Bladet</w:t>
      </w:r>
      <w:proofErr w:type="spellEnd"/>
      <w:r w:rsidRPr="007E66EE">
        <w:rPr>
          <w:lang w:val="hr-HR" w:eastAsia="en-US"/>
        </w:rPr>
        <w:t xml:space="preserve"> </w:t>
      </w:r>
      <w:proofErr w:type="spellStart"/>
      <w:r w:rsidRPr="007E66EE">
        <w:rPr>
          <w:lang w:val="hr-HR" w:eastAsia="en-US"/>
        </w:rPr>
        <w:t>Tromsø</w:t>
      </w:r>
      <w:proofErr w:type="spellEnd"/>
      <w:r w:rsidRPr="007E66EE">
        <w:rPr>
          <w:i/>
          <w:lang w:val="hr-HR" w:eastAsia="en-US"/>
        </w:rPr>
        <w:t xml:space="preserve"> </w:t>
      </w:r>
      <w:proofErr w:type="spellStart"/>
      <w:r w:rsidRPr="007E66EE">
        <w:rPr>
          <w:i/>
          <w:lang w:val="hr-HR" w:eastAsia="en-US"/>
        </w:rPr>
        <w:t>and</w:t>
      </w:r>
      <w:proofErr w:type="spellEnd"/>
      <w:r w:rsidRPr="007E66EE">
        <w:rPr>
          <w:i/>
          <w:lang w:val="hr-HR" w:eastAsia="en-US"/>
        </w:rPr>
        <w:t xml:space="preserve"> </w:t>
      </w:r>
      <w:proofErr w:type="spellStart"/>
      <w:r w:rsidRPr="007E66EE">
        <w:rPr>
          <w:i/>
          <w:lang w:val="hr-HR" w:eastAsia="en-US"/>
        </w:rPr>
        <w:t>Stensaas</w:t>
      </w:r>
      <w:proofErr w:type="spellEnd"/>
      <w:r w:rsidRPr="007E66EE">
        <w:rPr>
          <w:i/>
          <w:lang w:val="hr-HR" w:eastAsia="en-US"/>
        </w:rPr>
        <w:t xml:space="preserve"> protiv Norveške </w:t>
      </w:r>
      <w:r w:rsidRPr="007E66EE">
        <w:rPr>
          <w:lang w:val="hr-HR" w:eastAsia="en-US"/>
        </w:rPr>
        <w:t>[GC], br. 21980/93, st. 60., ECHR 1999</w:t>
      </w:r>
      <w:r w:rsidRPr="007E66EE">
        <w:rPr>
          <w:lang w:val="hr-HR" w:eastAsia="en-US"/>
        </w:rPr>
        <w:noBreakHyphen/>
        <w:t xml:space="preserve">III; </w:t>
      </w:r>
      <w:proofErr w:type="spellStart"/>
      <w:r w:rsidRPr="007E66EE">
        <w:rPr>
          <w:i/>
          <w:lang w:val="hr-HR" w:eastAsia="en-US"/>
        </w:rPr>
        <w:t>Petrenco</w:t>
      </w:r>
      <w:proofErr w:type="spellEnd"/>
      <w:r w:rsidRPr="007E66EE">
        <w:rPr>
          <w:i/>
          <w:lang w:val="hr-HR" w:eastAsia="en-US"/>
        </w:rPr>
        <w:t xml:space="preserve"> protiv Moldavije</w:t>
      </w:r>
      <w:r w:rsidRPr="007E66EE">
        <w:rPr>
          <w:lang w:val="hr-HR" w:eastAsia="en-US"/>
        </w:rPr>
        <w:t>, br. 20928/05</w:t>
      </w:r>
      <w:r w:rsidRPr="007E66EE">
        <w:rPr>
          <w:snapToGrid w:val="0"/>
          <w:lang w:val="hr-HR" w:eastAsia="en-US"/>
        </w:rPr>
        <w:t>, st. 54</w:t>
      </w:r>
      <w:r>
        <w:rPr>
          <w:snapToGrid w:val="0"/>
          <w:lang w:val="hr-HR" w:eastAsia="en-US"/>
        </w:rPr>
        <w:t>.</w:t>
      </w:r>
      <w:r w:rsidRPr="007E66EE">
        <w:rPr>
          <w:snapToGrid w:val="0"/>
          <w:lang w:val="hr-HR" w:eastAsia="en-US"/>
        </w:rPr>
        <w:t xml:space="preserve">, 30. ožujka 2010.; </w:t>
      </w:r>
      <w:proofErr w:type="spellStart"/>
      <w:r w:rsidRPr="007E66EE">
        <w:rPr>
          <w:i/>
          <w:lang w:val="hr-HR" w:eastAsia="en-US"/>
        </w:rPr>
        <w:t>Polanco</w:t>
      </w:r>
      <w:proofErr w:type="spellEnd"/>
      <w:r w:rsidRPr="007E66EE">
        <w:rPr>
          <w:i/>
          <w:lang w:val="hr-HR" w:eastAsia="en-US"/>
        </w:rPr>
        <w:t xml:space="preserve"> </w:t>
      </w:r>
      <w:proofErr w:type="spellStart"/>
      <w:r w:rsidRPr="007E66EE">
        <w:rPr>
          <w:i/>
          <w:lang w:val="hr-HR" w:eastAsia="en-US"/>
        </w:rPr>
        <w:t>Torres</w:t>
      </w:r>
      <w:proofErr w:type="spellEnd"/>
      <w:r w:rsidRPr="007E66EE">
        <w:rPr>
          <w:i/>
          <w:lang w:val="hr-HR" w:eastAsia="en-US"/>
        </w:rPr>
        <w:t xml:space="preserve"> i </w:t>
      </w:r>
      <w:proofErr w:type="spellStart"/>
      <w:r w:rsidRPr="007E66EE">
        <w:rPr>
          <w:i/>
          <w:lang w:val="hr-HR" w:eastAsia="en-US"/>
        </w:rPr>
        <w:t>Movilla</w:t>
      </w:r>
      <w:proofErr w:type="spellEnd"/>
      <w:r w:rsidRPr="007E66EE">
        <w:rPr>
          <w:i/>
          <w:lang w:val="hr-HR" w:eastAsia="en-US"/>
        </w:rPr>
        <w:t xml:space="preserve"> </w:t>
      </w:r>
      <w:proofErr w:type="spellStart"/>
      <w:r w:rsidRPr="007E66EE">
        <w:rPr>
          <w:i/>
          <w:lang w:val="hr-HR" w:eastAsia="en-US"/>
        </w:rPr>
        <w:t>Polanco</w:t>
      </w:r>
      <w:proofErr w:type="spellEnd"/>
      <w:r w:rsidRPr="007E66EE">
        <w:rPr>
          <w:i/>
          <w:lang w:val="hr-HR" w:eastAsia="en-US"/>
        </w:rPr>
        <w:t xml:space="preserve"> protiv Španjolske</w:t>
      </w:r>
      <w:r w:rsidRPr="007E66EE">
        <w:rPr>
          <w:lang w:val="hr-HR" w:eastAsia="en-US"/>
        </w:rPr>
        <w:t>, br. 34147/06</w:t>
      </w:r>
      <w:r w:rsidRPr="007E66EE">
        <w:rPr>
          <w:snapToGrid w:val="0"/>
          <w:szCs w:val="24"/>
          <w:lang w:val="hr-HR" w:eastAsia="en-US"/>
        </w:rPr>
        <w:t>, st. 41</w:t>
      </w:r>
      <w:r>
        <w:rPr>
          <w:snapToGrid w:val="0"/>
          <w:szCs w:val="24"/>
          <w:lang w:val="hr-HR" w:eastAsia="en-US"/>
        </w:rPr>
        <w:t>.</w:t>
      </w:r>
      <w:r w:rsidRPr="007E66EE">
        <w:rPr>
          <w:snapToGrid w:val="0"/>
          <w:szCs w:val="24"/>
          <w:lang w:val="hr-HR" w:eastAsia="en-US"/>
        </w:rPr>
        <w:t xml:space="preserve">, 21. rujna 2010.; i </w:t>
      </w:r>
      <w:r w:rsidRPr="007E66EE">
        <w:rPr>
          <w:i/>
          <w:snapToGrid w:val="0"/>
          <w:szCs w:val="24"/>
          <w:lang w:val="hr-HR" w:eastAsia="en-US"/>
        </w:rPr>
        <w:t>Petrov protiv Bugarske</w:t>
      </w:r>
      <w:r w:rsidRPr="007E66EE">
        <w:rPr>
          <w:snapToGrid w:val="0"/>
          <w:szCs w:val="24"/>
          <w:lang w:val="hr-HR" w:eastAsia="en-US"/>
        </w:rPr>
        <w:t xml:space="preserve"> (odluka), br. 27103/04, 2. studenog 2010.).</w:t>
      </w:r>
    </w:p>
    <w:p w:rsidR="000610A7" w:rsidRPr="007E66EE" w:rsidRDefault="000610A7" w:rsidP="00AF23DA">
      <w:pPr>
        <w:pStyle w:val="JuPara"/>
        <w:rPr>
          <w:lang w:val="hr-HR"/>
        </w:rPr>
      </w:pPr>
      <w:r w:rsidRPr="007E66EE">
        <w:rPr>
          <w:lang w:val="hr-HR"/>
        </w:rPr>
        <w:fldChar w:fldCharType="begin"/>
      </w:r>
      <w:r w:rsidRPr="007E66EE">
        <w:rPr>
          <w:lang w:val="hr-HR"/>
        </w:rPr>
        <w:instrText xml:space="preserve"> SEQ level0 \*arabic </w:instrText>
      </w:r>
      <w:r w:rsidRPr="007E66EE">
        <w:rPr>
          <w:lang w:val="hr-HR"/>
        </w:rPr>
        <w:fldChar w:fldCharType="separate"/>
      </w:r>
      <w:r w:rsidRPr="007E66EE">
        <w:rPr>
          <w:noProof/>
          <w:lang w:val="hr-HR"/>
        </w:rPr>
        <w:t>56</w:t>
      </w:r>
      <w:r w:rsidRPr="007E66EE">
        <w:rPr>
          <w:lang w:val="hr-HR"/>
        </w:rPr>
        <w:fldChar w:fldCharType="end"/>
      </w:r>
      <w:r w:rsidRPr="007E66EE">
        <w:rPr>
          <w:lang w:val="hr-HR"/>
        </w:rPr>
        <w:t xml:space="preserve">.  Sud smatra da članovi sindikata moraju biti u mogućnosti </w:t>
      </w:r>
      <w:r>
        <w:rPr>
          <w:lang w:val="hr-HR"/>
        </w:rPr>
        <w:t>postaviti</w:t>
      </w:r>
      <w:r w:rsidRPr="007E66EE">
        <w:rPr>
          <w:lang w:val="hr-HR"/>
        </w:rPr>
        <w:t xml:space="preserve"> poslodavcu svoje zahtjeve kojima žele poboljšati položaj radnika u njihovom društvu. U tom smislu, Sud primjećuje da je Inter-američki sud za ljudska prava u svom Savjetodavnom mišljenju OC-5/85193, naglasio da sloboda izražavanja predstavlja “</w:t>
      </w:r>
      <w:proofErr w:type="spellStart"/>
      <w:r w:rsidRPr="007E66EE">
        <w:rPr>
          <w:i/>
          <w:lang w:val="hr-HR"/>
        </w:rPr>
        <w:t>conditio</w:t>
      </w:r>
      <w:proofErr w:type="spellEnd"/>
      <w:r w:rsidRPr="007E66EE">
        <w:rPr>
          <w:i/>
          <w:lang w:val="hr-HR"/>
        </w:rPr>
        <w:t xml:space="preserve"> sine </w:t>
      </w:r>
      <w:proofErr w:type="spellStart"/>
      <w:r w:rsidRPr="007E66EE">
        <w:rPr>
          <w:i/>
          <w:lang w:val="hr-HR"/>
        </w:rPr>
        <w:t>qua</w:t>
      </w:r>
      <w:proofErr w:type="spellEnd"/>
      <w:r w:rsidRPr="007E66EE">
        <w:rPr>
          <w:i/>
          <w:lang w:val="hr-HR"/>
        </w:rPr>
        <w:t xml:space="preserve"> </w:t>
      </w:r>
      <w:proofErr w:type="spellStart"/>
      <w:r w:rsidRPr="007E66EE">
        <w:rPr>
          <w:i/>
          <w:lang w:val="hr-HR"/>
        </w:rPr>
        <w:t>non</w:t>
      </w:r>
      <w:proofErr w:type="spellEnd"/>
      <w:r w:rsidRPr="007E66EE">
        <w:rPr>
          <w:lang w:val="hr-HR"/>
        </w:rPr>
        <w:t xml:space="preserve"> za razvoj... sindikata” (vidi st. 26. gore; također vidi st. 24. te posebice u njemu citiranu točku 155.). Sindikat kojemu nije omogućeno slobodno izraziti svoje ideje u ovom smislu bio bi lišen bitnog sredstva djelovanja. Stoga za jamčenje smislene i učinkovite naravi sindikata domaće vlasti moraju osigurati da sindikalni zastupnici nisu obeshrabreni izražavati i braniti interese njihovih članova zbog nerazmjernih posljedica. Sindikalno izražavanje može se pojaviti u obliku novosti, pamfleta, publikacija i drugih dokumenata čiju distribuciju od strane zastupnika radnika koji zastupaju dotični sindikata uprava mora dozvoliti, kao što je to navedeno od strane Opće konferencije Međunar</w:t>
      </w:r>
      <w:r>
        <w:rPr>
          <w:lang w:val="hr-HR"/>
        </w:rPr>
        <w:t>odne organizacije rada u Prepor</w:t>
      </w:r>
      <w:r w:rsidRPr="007E66EE">
        <w:rPr>
          <w:lang w:val="hr-HR"/>
        </w:rPr>
        <w:t>uci br</w:t>
      </w:r>
      <w:r w:rsidRPr="007E66EE">
        <w:rPr>
          <w:lang w:val="hr-HR" w:eastAsia="en-US"/>
        </w:rPr>
        <w:t>. 143 od 23. lipnja 1971. (vidi st. 21</w:t>
      </w:r>
      <w:r>
        <w:rPr>
          <w:lang w:val="hr-HR" w:eastAsia="en-US"/>
        </w:rPr>
        <w:t>.</w:t>
      </w:r>
      <w:r w:rsidRPr="007E66EE">
        <w:rPr>
          <w:lang w:val="hr-HR" w:eastAsia="en-US"/>
        </w:rPr>
        <w:t xml:space="preserve"> gore).</w:t>
      </w:r>
    </w:p>
    <w:p w:rsidR="000610A7" w:rsidRPr="007E66EE" w:rsidRDefault="000610A7" w:rsidP="00AF23DA">
      <w:pPr>
        <w:pStyle w:val="JuPara"/>
        <w:rPr>
          <w:i/>
          <w:lang w:val="hr-HR" w:eastAsia="en-US"/>
        </w:rPr>
      </w:pPr>
      <w:r w:rsidRPr="007E66EE">
        <w:rPr>
          <w:lang w:val="hr-HR"/>
        </w:rPr>
        <w:fldChar w:fldCharType="begin"/>
      </w:r>
      <w:r w:rsidRPr="007E66EE">
        <w:rPr>
          <w:lang w:val="hr-HR"/>
        </w:rPr>
        <w:instrText xml:space="preserve"> SEQ level0 \*arabic </w:instrText>
      </w:r>
      <w:r w:rsidRPr="007E66EE">
        <w:rPr>
          <w:lang w:val="hr-HR"/>
        </w:rPr>
        <w:fldChar w:fldCharType="separate"/>
      </w:r>
      <w:r w:rsidRPr="007E66EE">
        <w:rPr>
          <w:noProof/>
          <w:lang w:val="hr-HR"/>
        </w:rPr>
        <w:t>57</w:t>
      </w:r>
      <w:r w:rsidRPr="007E66EE">
        <w:rPr>
          <w:lang w:val="hr-HR"/>
        </w:rPr>
        <w:fldChar w:fldCharType="end"/>
      </w:r>
      <w:r w:rsidRPr="007E66EE">
        <w:rPr>
          <w:lang w:val="hr-HR"/>
        </w:rPr>
        <w:t>.  U ovom slučaju španjolski su sudovi imal</w:t>
      </w:r>
      <w:r>
        <w:rPr>
          <w:lang w:val="hr-HR"/>
        </w:rPr>
        <w:t>i</w:t>
      </w:r>
      <w:r w:rsidRPr="007E66EE">
        <w:rPr>
          <w:lang w:val="hr-HR"/>
        </w:rPr>
        <w:t xml:space="preserve"> zadatak odmjeriti slobodu izražavanja podnositelja zahtjeva zajamčenu člankom 10. Konvencije s pravom na čast i dostojanstvo g. G., g. A. i g. B. (vidi st. 15-18</w:t>
      </w:r>
      <w:r>
        <w:rPr>
          <w:lang w:val="hr-HR"/>
        </w:rPr>
        <w:t>.</w:t>
      </w:r>
      <w:r w:rsidRPr="007E66EE">
        <w:rPr>
          <w:lang w:val="hr-HR"/>
        </w:rPr>
        <w:t xml:space="preserve"> gore) u kontekstu radnog odnosa. Članak 10. Konvencije ne jamči neograničenu slobodu izražavanja, te ugled osoba na koje su se odnosile dotične karikature i članci predstavlja legitiman </w:t>
      </w:r>
      <w:r>
        <w:rPr>
          <w:lang w:val="hr-HR"/>
        </w:rPr>
        <w:t>c</w:t>
      </w:r>
      <w:r w:rsidRPr="007E66EE">
        <w:rPr>
          <w:lang w:val="hr-HR"/>
        </w:rPr>
        <w:t>ilj koji dozvoljava ograničenje te slobode izražavanja. Ukoliko je obrazloženje domaćih sudova glede ograničenja slobode izražavanja u slučajevima koji se odnose na ugled pojedinca dovolj</w:t>
      </w:r>
      <w:r>
        <w:rPr>
          <w:lang w:val="hr-HR"/>
        </w:rPr>
        <w:t>a</w:t>
      </w:r>
      <w:r w:rsidRPr="007E66EE">
        <w:rPr>
          <w:lang w:val="hr-HR"/>
        </w:rPr>
        <w:t xml:space="preserve">n i u skladu s kriterijima ustanovljenim u praksi Suda, Sud bi trebao imati vrlo važne razloge da zamijeni svojim mišljenjem ono domaćih sudova (vidi </w:t>
      </w:r>
      <w:r w:rsidRPr="007E66EE">
        <w:rPr>
          <w:i/>
          <w:lang w:val="hr-HR" w:eastAsia="en-US"/>
        </w:rPr>
        <w:t xml:space="preserve">MGN </w:t>
      </w:r>
      <w:proofErr w:type="spellStart"/>
      <w:r w:rsidRPr="007E66EE">
        <w:rPr>
          <w:i/>
          <w:lang w:val="hr-HR" w:eastAsia="en-US"/>
        </w:rPr>
        <w:t>Limited</w:t>
      </w:r>
      <w:proofErr w:type="spellEnd"/>
      <w:r w:rsidRPr="007E66EE">
        <w:rPr>
          <w:i/>
          <w:lang w:val="hr-HR" w:eastAsia="en-US"/>
        </w:rPr>
        <w:t xml:space="preserve"> protiv Ujedinjenog Kraljevstva</w:t>
      </w:r>
      <w:r w:rsidRPr="007E66EE">
        <w:rPr>
          <w:lang w:val="hr-HR" w:eastAsia="en-US"/>
        </w:rPr>
        <w:t>, br. 39401/04</w:t>
      </w:r>
      <w:r w:rsidRPr="007E66EE">
        <w:rPr>
          <w:snapToGrid w:val="0"/>
          <w:lang w:val="hr-HR" w:eastAsia="en-US"/>
        </w:rPr>
        <w:t>, st. 150. i 155., 18. siječnja 2011.)</w:t>
      </w:r>
      <w:r w:rsidRPr="007E66EE">
        <w:rPr>
          <w:lang w:val="hr-HR"/>
        </w:rPr>
        <w:t>.</w:t>
      </w:r>
    </w:p>
    <w:p w:rsidR="000610A7" w:rsidRPr="007E66EE" w:rsidRDefault="000610A7" w:rsidP="004746D9">
      <w:pPr>
        <w:pStyle w:val="JuHa0"/>
        <w:rPr>
          <w:lang w:val="hr-HR"/>
        </w:rPr>
      </w:pPr>
      <w:r w:rsidRPr="007E66EE">
        <w:rPr>
          <w:lang w:val="hr-HR"/>
        </w:rPr>
        <w:t>(b) Pozitivne obveze tužene države pod člankom 10. Konvencije, shvaćen</w:t>
      </w:r>
      <w:r>
        <w:rPr>
          <w:lang w:val="hr-HR"/>
        </w:rPr>
        <w:t>e</w:t>
      </w:r>
      <w:r w:rsidRPr="007E66EE">
        <w:rPr>
          <w:lang w:val="hr-HR"/>
        </w:rPr>
        <w:t xml:space="preserve"> u svjetlu članka 11.</w:t>
      </w:r>
    </w:p>
    <w:p w:rsidR="000610A7" w:rsidRPr="007E66EE" w:rsidRDefault="000610A7" w:rsidP="00770057">
      <w:pPr>
        <w:pStyle w:val="JuPara"/>
        <w:rPr>
          <w:lang w:val="hr-HR"/>
        </w:rPr>
      </w:pPr>
      <w:r w:rsidRPr="007E66EE">
        <w:rPr>
          <w:lang w:val="hr-HR"/>
        </w:rPr>
        <w:fldChar w:fldCharType="begin"/>
      </w:r>
      <w:r w:rsidRPr="007E66EE">
        <w:rPr>
          <w:lang w:val="hr-HR"/>
        </w:rPr>
        <w:instrText xml:space="preserve"> SEQ level0 \*arabic </w:instrText>
      </w:r>
      <w:r w:rsidRPr="007E66EE">
        <w:rPr>
          <w:lang w:val="hr-HR"/>
        </w:rPr>
        <w:fldChar w:fldCharType="separate"/>
      </w:r>
      <w:r w:rsidRPr="007E66EE">
        <w:rPr>
          <w:noProof/>
          <w:lang w:val="hr-HR"/>
        </w:rPr>
        <w:t>58</w:t>
      </w:r>
      <w:r w:rsidRPr="007E66EE">
        <w:rPr>
          <w:lang w:val="hr-HR"/>
        </w:rPr>
        <w:fldChar w:fldCharType="end"/>
      </w:r>
      <w:r w:rsidRPr="007E66EE">
        <w:rPr>
          <w:lang w:val="hr-HR"/>
        </w:rPr>
        <w:t>.  Sud primjećuje da, sukladn</w:t>
      </w:r>
      <w:r>
        <w:rPr>
          <w:lang w:val="hr-HR"/>
        </w:rPr>
        <w:t>o</w:t>
      </w:r>
      <w:r w:rsidRPr="007E66EE">
        <w:rPr>
          <w:lang w:val="hr-HR"/>
        </w:rPr>
        <w:t xml:space="preserve"> članku 1. Konvencije, države ugovornice imaju „osigurati svima unutar njihove nadležnosti prava i slobode zajamčene </w:t>
      </w:r>
      <w:r>
        <w:rPr>
          <w:lang w:val="hr-HR"/>
        </w:rPr>
        <w:t>...</w:t>
      </w:r>
      <w:r w:rsidRPr="007E66EE">
        <w:rPr>
          <w:lang w:val="hr-HR"/>
        </w:rPr>
        <w:t xml:space="preserve"> Konvencijom“. Kao što je zaključio u predmetu </w:t>
      </w:r>
      <w:proofErr w:type="spellStart"/>
      <w:r w:rsidRPr="007E66EE">
        <w:rPr>
          <w:i/>
          <w:lang w:val="hr-HR" w:eastAsia="en-US"/>
        </w:rPr>
        <w:t>Marckx</w:t>
      </w:r>
      <w:proofErr w:type="spellEnd"/>
      <w:r w:rsidRPr="007E66EE">
        <w:rPr>
          <w:i/>
          <w:lang w:val="hr-HR" w:eastAsia="en-US"/>
        </w:rPr>
        <w:t xml:space="preserve"> protiv Belgije</w:t>
      </w:r>
      <w:r w:rsidRPr="007E66EE">
        <w:rPr>
          <w:lang w:val="hr-HR" w:eastAsia="en-US"/>
        </w:rPr>
        <w:t xml:space="preserve"> (13. lipnja 1979., st. 31</w:t>
      </w:r>
      <w:r>
        <w:rPr>
          <w:lang w:val="hr-HR" w:eastAsia="en-US"/>
        </w:rPr>
        <w:t>.</w:t>
      </w:r>
      <w:r w:rsidRPr="007E66EE">
        <w:rPr>
          <w:lang w:val="hr-HR" w:eastAsia="en-US"/>
        </w:rPr>
        <w:t xml:space="preserve">, Serija A br. 31; vidi također </w:t>
      </w:r>
      <w:r w:rsidRPr="007E66EE">
        <w:rPr>
          <w:i/>
          <w:lang w:val="hr-HR" w:eastAsia="en-US"/>
        </w:rPr>
        <w:t>Young</w:t>
      </w:r>
      <w:r w:rsidRPr="007E66EE">
        <w:rPr>
          <w:i/>
          <w:iCs/>
          <w:lang w:val="hr-HR" w:eastAsia="en-US"/>
        </w:rPr>
        <w:t>,</w:t>
      </w:r>
      <w:r w:rsidRPr="007E66EE">
        <w:rPr>
          <w:i/>
          <w:lang w:val="hr-HR" w:eastAsia="en-US"/>
        </w:rPr>
        <w:t xml:space="preserve"> James i </w:t>
      </w:r>
      <w:proofErr w:type="spellStart"/>
      <w:r w:rsidRPr="007E66EE">
        <w:rPr>
          <w:i/>
          <w:lang w:val="hr-HR" w:eastAsia="en-US"/>
        </w:rPr>
        <w:t>Webster</w:t>
      </w:r>
      <w:proofErr w:type="spellEnd"/>
      <w:r w:rsidRPr="007E66EE">
        <w:rPr>
          <w:i/>
          <w:lang w:val="hr-HR" w:eastAsia="en-US"/>
        </w:rPr>
        <w:t xml:space="preserve"> protiv Ujedinjenog Kraljevstva</w:t>
      </w:r>
      <w:r w:rsidRPr="007E66EE">
        <w:rPr>
          <w:lang w:val="hr-HR" w:eastAsia="en-US"/>
        </w:rPr>
        <w:t>, 13. travnja 1981., st. 49</w:t>
      </w:r>
      <w:r>
        <w:rPr>
          <w:lang w:val="hr-HR" w:eastAsia="en-US"/>
        </w:rPr>
        <w:t>.</w:t>
      </w:r>
      <w:r w:rsidRPr="007E66EE">
        <w:rPr>
          <w:lang w:val="hr-HR" w:eastAsia="en-US"/>
        </w:rPr>
        <w:t>, Serija A br. 44), uz temeljnu negativnu obvezu države da se ne miješa u prava zajamčena Konvencijom, „mogu postojati i pozitivne obveze svojstvene“ tim pravima</w:t>
      </w:r>
      <w:r w:rsidRPr="007E66EE">
        <w:rPr>
          <w:lang w:val="hr-HR"/>
        </w:rPr>
        <w:t>.</w:t>
      </w:r>
    </w:p>
    <w:p w:rsidR="000610A7" w:rsidRPr="007E66EE" w:rsidRDefault="000610A7" w:rsidP="00770057">
      <w:pPr>
        <w:pStyle w:val="JuPara"/>
        <w:rPr>
          <w:i/>
          <w:lang w:val="hr-HR" w:eastAsia="en-US"/>
        </w:rPr>
      </w:pPr>
      <w:r w:rsidRPr="007E66EE">
        <w:rPr>
          <w:lang w:val="hr-HR" w:eastAsia="en-US"/>
        </w:rPr>
        <w:lastRenderedPageBreak/>
        <w:fldChar w:fldCharType="begin"/>
      </w:r>
      <w:r w:rsidRPr="007E66EE">
        <w:rPr>
          <w:lang w:val="hr-HR" w:eastAsia="en-US"/>
        </w:rPr>
        <w:instrText xml:space="preserve"> SEQ level0 \*arabic </w:instrText>
      </w:r>
      <w:r w:rsidRPr="007E66EE">
        <w:rPr>
          <w:lang w:val="hr-HR" w:eastAsia="en-US"/>
        </w:rPr>
        <w:fldChar w:fldCharType="separate"/>
      </w:r>
      <w:r w:rsidRPr="007E66EE">
        <w:rPr>
          <w:noProof/>
          <w:lang w:val="hr-HR" w:eastAsia="en-US"/>
        </w:rPr>
        <w:t>59</w:t>
      </w:r>
      <w:r w:rsidRPr="007E66EE">
        <w:rPr>
          <w:lang w:val="hr-HR" w:eastAsia="en-US"/>
        </w:rPr>
        <w:fldChar w:fldCharType="end"/>
      </w:r>
      <w:r w:rsidRPr="007E66EE">
        <w:rPr>
          <w:lang w:val="hr-HR" w:eastAsia="en-US"/>
        </w:rPr>
        <w:t>.  Ovo je također slučaj u pogledu slobode iz</w:t>
      </w:r>
      <w:r>
        <w:rPr>
          <w:lang w:val="hr-HR" w:eastAsia="en-US"/>
        </w:rPr>
        <w:t>r</w:t>
      </w:r>
      <w:r w:rsidRPr="007E66EE">
        <w:rPr>
          <w:lang w:val="hr-HR" w:eastAsia="en-US"/>
        </w:rPr>
        <w:t>ažavanja, čije iskonsko i učinkovito ostvarivanje ne ovisi samo o dužnosti države da se ne miješa, nego također može zahtijevati pozitivne mjere zaštite čak i u području privatnih odnosa među pojedincima</w:t>
      </w:r>
      <w:r w:rsidRPr="007E66EE">
        <w:rPr>
          <w:lang w:val="hr-HR"/>
        </w:rPr>
        <w:t>. U određenim slučajevima država ima pozitivnu obvezu zaštiti</w:t>
      </w:r>
      <w:r>
        <w:rPr>
          <w:lang w:val="hr-HR"/>
        </w:rPr>
        <w:t>ti</w:t>
      </w:r>
      <w:r w:rsidRPr="007E66EE">
        <w:rPr>
          <w:lang w:val="hr-HR"/>
        </w:rPr>
        <w:t xml:space="preserve"> pravo na slobodu izražavanja čak i protiv miješanja od strane privatnih osoba (vidi </w:t>
      </w:r>
      <w:proofErr w:type="spellStart"/>
      <w:r w:rsidRPr="007E66EE">
        <w:rPr>
          <w:i/>
          <w:lang w:val="hr-HR" w:eastAsia="en-US"/>
        </w:rPr>
        <w:t>Fuentes</w:t>
      </w:r>
      <w:proofErr w:type="spellEnd"/>
      <w:r w:rsidRPr="007E66EE">
        <w:rPr>
          <w:i/>
          <w:lang w:val="hr-HR" w:eastAsia="en-US"/>
        </w:rPr>
        <w:t xml:space="preserve"> Bobo, </w:t>
      </w:r>
      <w:r w:rsidRPr="007E66EE">
        <w:rPr>
          <w:lang w:val="hr-HR" w:eastAsia="en-US"/>
        </w:rPr>
        <w:t>prethodno citirano, st. 38</w:t>
      </w:r>
      <w:r>
        <w:rPr>
          <w:lang w:val="hr-HR" w:eastAsia="en-US"/>
        </w:rPr>
        <w:t>.</w:t>
      </w:r>
      <w:r w:rsidRPr="007E66EE">
        <w:rPr>
          <w:lang w:val="hr-HR" w:eastAsia="en-US"/>
        </w:rPr>
        <w:t xml:space="preserve">; </w:t>
      </w:r>
      <w:proofErr w:type="spellStart"/>
      <w:r w:rsidRPr="004F17F1">
        <w:rPr>
          <w:i/>
          <w:lang w:val="hr-HR" w:eastAsia="en-US"/>
        </w:rPr>
        <w:t>Özgür</w:t>
      </w:r>
      <w:proofErr w:type="spellEnd"/>
      <w:r w:rsidRPr="004F17F1">
        <w:rPr>
          <w:i/>
          <w:lang w:val="hr-HR" w:eastAsia="en-US"/>
        </w:rPr>
        <w:t xml:space="preserve"> </w:t>
      </w:r>
      <w:proofErr w:type="spellStart"/>
      <w:r w:rsidRPr="004F17F1">
        <w:rPr>
          <w:i/>
          <w:lang w:val="hr-HR" w:eastAsia="en-US"/>
        </w:rPr>
        <w:t>Gündem</w:t>
      </w:r>
      <w:proofErr w:type="spellEnd"/>
      <w:r w:rsidRPr="007E66EE">
        <w:rPr>
          <w:i/>
          <w:lang w:val="hr-HR" w:eastAsia="en-US"/>
        </w:rPr>
        <w:t xml:space="preserve"> protiv Turske</w:t>
      </w:r>
      <w:r w:rsidRPr="007E66EE">
        <w:rPr>
          <w:lang w:val="hr-HR" w:eastAsia="en-US"/>
        </w:rPr>
        <w:t>, br. 23144/93, st</w:t>
      </w:r>
      <w:r>
        <w:rPr>
          <w:lang w:val="hr-HR" w:eastAsia="en-US"/>
        </w:rPr>
        <w:t>.</w:t>
      </w:r>
      <w:r w:rsidRPr="007E66EE">
        <w:rPr>
          <w:lang w:val="hr-HR" w:eastAsia="en-US"/>
        </w:rPr>
        <w:t xml:space="preserve"> 42-46</w:t>
      </w:r>
      <w:r>
        <w:rPr>
          <w:lang w:val="hr-HR" w:eastAsia="en-US"/>
        </w:rPr>
        <w:t>.</w:t>
      </w:r>
      <w:r w:rsidRPr="007E66EE">
        <w:rPr>
          <w:lang w:val="hr-HR" w:eastAsia="en-US"/>
        </w:rPr>
        <w:t>, ECHR 2000</w:t>
      </w:r>
      <w:r w:rsidRPr="007E66EE">
        <w:rPr>
          <w:lang w:val="hr-HR" w:eastAsia="en-US"/>
        </w:rPr>
        <w:noBreakHyphen/>
        <w:t xml:space="preserve">III; i </w:t>
      </w:r>
      <w:proofErr w:type="spellStart"/>
      <w:r w:rsidRPr="007E66EE">
        <w:rPr>
          <w:i/>
          <w:lang w:val="hr-HR" w:eastAsia="en-US"/>
        </w:rPr>
        <w:t>Dink</w:t>
      </w:r>
      <w:proofErr w:type="spellEnd"/>
      <w:r w:rsidRPr="007E66EE">
        <w:rPr>
          <w:lang w:val="hr-HR" w:eastAsia="en-US"/>
        </w:rPr>
        <w:t>, prethodno citirano, st. 106</w:t>
      </w:r>
      <w:r>
        <w:rPr>
          <w:lang w:val="hr-HR" w:eastAsia="en-US"/>
        </w:rPr>
        <w:t>.</w:t>
      </w:r>
      <w:r w:rsidRPr="007E66EE">
        <w:rPr>
          <w:lang w:val="hr-HR" w:eastAsia="en-US"/>
        </w:rPr>
        <w:t>).</w:t>
      </w:r>
    </w:p>
    <w:p w:rsidR="000610A7" w:rsidRPr="007E66EE" w:rsidRDefault="000610A7" w:rsidP="00770057">
      <w:pPr>
        <w:pStyle w:val="JuPara"/>
        <w:rPr>
          <w:lang w:val="hr-HR" w:eastAsia="en-US"/>
        </w:rPr>
      </w:pPr>
      <w:r w:rsidRPr="007E66EE">
        <w:rPr>
          <w:lang w:val="hr-HR" w:eastAsia="en-US"/>
        </w:rPr>
        <w:fldChar w:fldCharType="begin"/>
      </w:r>
      <w:r w:rsidRPr="007E66EE">
        <w:rPr>
          <w:lang w:val="hr-HR" w:eastAsia="en-US"/>
        </w:rPr>
        <w:instrText xml:space="preserve"> SEQ level0 \*arabic </w:instrText>
      </w:r>
      <w:r w:rsidRPr="007E66EE">
        <w:rPr>
          <w:lang w:val="hr-HR" w:eastAsia="en-US"/>
        </w:rPr>
        <w:fldChar w:fldCharType="separate"/>
      </w:r>
      <w:r w:rsidRPr="007E66EE">
        <w:rPr>
          <w:noProof/>
          <w:lang w:val="hr-HR" w:eastAsia="en-US"/>
        </w:rPr>
        <w:t>60</w:t>
      </w:r>
      <w:r w:rsidRPr="007E66EE">
        <w:rPr>
          <w:lang w:val="hr-HR" w:eastAsia="en-US"/>
        </w:rPr>
        <w:fldChar w:fldCharType="end"/>
      </w:r>
      <w:r w:rsidRPr="007E66EE">
        <w:rPr>
          <w:lang w:val="hr-HR" w:eastAsia="en-US"/>
        </w:rPr>
        <w:t>.  U ovom slučaju mjera na koju su se žalili podnositelji zahtjeva, naime njihov otkaz, nije poduzeta od strane državnih vlasti nego od strane privatnog trgovačkog društva. Nakon objavljivanja sindikalnog biltena i u njemu sadržanih izraza u ožujku 2002., poslodavac je podnositeljima zahtjeva izrekao disciplinsku mjeru otkaza radi ozbiljnog nedoličnog ponašanja (vidi st. 14. gore), koju su kasnije potvrdili i domaći sudovi. Otkaz podnositelja nije stoga bio rezultat izravnog djelovanja nacionalnih vlasti.</w:t>
      </w:r>
      <w:r>
        <w:rPr>
          <w:lang w:val="hr-HR" w:eastAsia="en-US"/>
        </w:rPr>
        <w:t xml:space="preserve"> </w:t>
      </w:r>
      <w:r w:rsidRPr="007E66EE">
        <w:rPr>
          <w:lang w:val="hr-HR" w:eastAsia="en-US"/>
        </w:rPr>
        <w:t xml:space="preserve">Odgovornost vlasti bi </w:t>
      </w:r>
      <w:proofErr w:type="spellStart"/>
      <w:r w:rsidRPr="007E66EE">
        <w:rPr>
          <w:lang w:val="hr-HR" w:eastAsia="en-US"/>
        </w:rPr>
        <w:t>sv</w:t>
      </w:r>
      <w:r>
        <w:rPr>
          <w:lang w:val="hr-HR" w:eastAsia="en-US"/>
        </w:rPr>
        <w:t>e</w:t>
      </w:r>
      <w:r w:rsidRPr="007E66EE">
        <w:rPr>
          <w:lang w:val="hr-HR" w:eastAsia="en-US"/>
        </w:rPr>
        <w:t>jedeno</w:t>
      </w:r>
      <w:proofErr w:type="spellEnd"/>
      <w:r w:rsidRPr="007E66EE">
        <w:rPr>
          <w:lang w:val="hr-HR" w:eastAsia="en-US"/>
        </w:rPr>
        <w:t xml:space="preserve"> bila dovedena u pitanje ukoliko bi činjenice na koje se podnositelji žale bile posljedica propusta od strane države da im osigura nesmetano uživanje prava zajamčenog člankom 10. Konvencije (vidi, </w:t>
      </w:r>
      <w:proofErr w:type="spellStart"/>
      <w:r w:rsidRPr="007E66EE">
        <w:rPr>
          <w:i/>
          <w:lang w:val="hr-HR" w:eastAsia="en-US"/>
        </w:rPr>
        <w:t>mutatis</w:t>
      </w:r>
      <w:proofErr w:type="spellEnd"/>
      <w:r w:rsidRPr="007E66EE">
        <w:rPr>
          <w:i/>
          <w:lang w:val="hr-HR" w:eastAsia="en-US"/>
        </w:rPr>
        <w:t xml:space="preserve"> </w:t>
      </w:r>
      <w:proofErr w:type="spellStart"/>
      <w:r w:rsidRPr="007E66EE">
        <w:rPr>
          <w:i/>
          <w:lang w:val="hr-HR" w:eastAsia="en-US"/>
        </w:rPr>
        <w:t>mutandis</w:t>
      </w:r>
      <w:proofErr w:type="spellEnd"/>
      <w:r w:rsidRPr="007E66EE">
        <w:rPr>
          <w:lang w:val="hr-HR" w:eastAsia="en-US"/>
        </w:rPr>
        <w:t xml:space="preserve">, </w:t>
      </w:r>
      <w:proofErr w:type="spellStart"/>
      <w:r w:rsidRPr="007E66EE">
        <w:rPr>
          <w:i/>
          <w:lang w:val="hr-HR" w:eastAsia="en-US"/>
        </w:rPr>
        <w:t>Gustafsson</w:t>
      </w:r>
      <w:proofErr w:type="spellEnd"/>
      <w:r w:rsidRPr="007E66EE">
        <w:rPr>
          <w:lang w:val="hr-HR" w:eastAsia="en-US"/>
        </w:rPr>
        <w:t>, prethodno citirano, st. 45.).</w:t>
      </w:r>
    </w:p>
    <w:p w:rsidR="000610A7" w:rsidRPr="007E66EE" w:rsidRDefault="000610A7" w:rsidP="00770057">
      <w:pPr>
        <w:pStyle w:val="JuPara"/>
        <w:rPr>
          <w:lang w:val="hr-HR" w:eastAsia="en-US"/>
        </w:rPr>
      </w:pPr>
      <w:r w:rsidRPr="007E66EE">
        <w:rPr>
          <w:lang w:val="hr-HR" w:eastAsia="en-US"/>
        </w:rPr>
        <w:fldChar w:fldCharType="begin"/>
      </w:r>
      <w:r w:rsidRPr="007E66EE">
        <w:rPr>
          <w:lang w:val="hr-HR" w:eastAsia="en-US"/>
        </w:rPr>
        <w:instrText xml:space="preserve"> SEQ level0 \*arabic </w:instrText>
      </w:r>
      <w:r w:rsidRPr="007E66EE">
        <w:rPr>
          <w:lang w:val="hr-HR" w:eastAsia="en-US"/>
        </w:rPr>
        <w:fldChar w:fldCharType="separate"/>
      </w:r>
      <w:r w:rsidRPr="007E66EE">
        <w:rPr>
          <w:noProof/>
          <w:lang w:val="hr-HR" w:eastAsia="en-US"/>
        </w:rPr>
        <w:t>61</w:t>
      </w:r>
      <w:r w:rsidRPr="007E66EE">
        <w:rPr>
          <w:lang w:val="hr-HR" w:eastAsia="en-US"/>
        </w:rPr>
        <w:fldChar w:fldCharType="end"/>
      </w:r>
      <w:r w:rsidRPr="007E66EE">
        <w:rPr>
          <w:lang w:val="hr-HR" w:eastAsia="en-US"/>
        </w:rPr>
        <w:t>.  U ovakvim okolnostima Sud zaključuje da je ove zahtjeve prikladno razmotriti u smislu pozitivnih obveza tužene države pod člankom 10. u svjet</w:t>
      </w:r>
      <w:r>
        <w:rPr>
          <w:lang w:val="hr-HR" w:eastAsia="en-US"/>
        </w:rPr>
        <w:t>lu članka 11. Sud će stoga utvr</w:t>
      </w:r>
      <w:r w:rsidRPr="007E66EE">
        <w:rPr>
          <w:lang w:val="hr-HR" w:eastAsia="en-US"/>
        </w:rPr>
        <w:t>diti da li su u konkretnom slučaju, odbivši pritužbe podnositelja zahtjeva, španjolske sudbene vlasti primjereno osigurale njihovo pravo na slobod</w:t>
      </w:r>
      <w:r>
        <w:rPr>
          <w:lang w:val="hr-HR" w:eastAsia="en-US"/>
        </w:rPr>
        <w:t xml:space="preserve">u izražavanja u kontekstu </w:t>
      </w:r>
      <w:proofErr w:type="spellStart"/>
      <w:r>
        <w:rPr>
          <w:lang w:val="hr-HR" w:eastAsia="en-US"/>
        </w:rPr>
        <w:t>radno</w:t>
      </w:r>
      <w:r w:rsidRPr="007E66EE">
        <w:rPr>
          <w:lang w:val="hr-HR" w:eastAsia="en-US"/>
        </w:rPr>
        <w:t>pravnih</w:t>
      </w:r>
      <w:proofErr w:type="spellEnd"/>
      <w:r w:rsidRPr="007E66EE">
        <w:rPr>
          <w:lang w:val="hr-HR" w:eastAsia="en-US"/>
        </w:rPr>
        <w:t xml:space="preserve"> odnosa.</w:t>
      </w:r>
    </w:p>
    <w:p w:rsidR="000610A7" w:rsidRPr="007E66EE" w:rsidRDefault="000610A7" w:rsidP="00770057">
      <w:pPr>
        <w:pStyle w:val="JuPara"/>
        <w:rPr>
          <w:lang w:val="hr-HR" w:eastAsia="en-US"/>
        </w:rPr>
      </w:pPr>
      <w:r w:rsidRPr="007E66EE">
        <w:rPr>
          <w:lang w:val="hr-HR"/>
        </w:rPr>
        <w:fldChar w:fldCharType="begin"/>
      </w:r>
      <w:r w:rsidRPr="007E66EE">
        <w:rPr>
          <w:lang w:val="hr-HR"/>
        </w:rPr>
        <w:instrText xml:space="preserve"> SEQ level0 \*arabic </w:instrText>
      </w:r>
      <w:r w:rsidRPr="007E66EE">
        <w:rPr>
          <w:lang w:val="hr-HR"/>
        </w:rPr>
        <w:fldChar w:fldCharType="separate"/>
      </w:r>
      <w:r w:rsidRPr="007E66EE">
        <w:rPr>
          <w:noProof/>
          <w:lang w:val="hr-HR"/>
        </w:rPr>
        <w:t>62</w:t>
      </w:r>
      <w:r w:rsidRPr="007E66EE">
        <w:rPr>
          <w:lang w:val="hr-HR"/>
        </w:rPr>
        <w:fldChar w:fldCharType="end"/>
      </w:r>
      <w:r w:rsidRPr="007E66EE">
        <w:rPr>
          <w:lang w:val="hr-HR"/>
        </w:rPr>
        <w:t xml:space="preserve">.  Iako se granice između pozitivnih i negativnih obveza države ne mogu precizno definirati, primjenjiva načela su slična. U oba konteksta mora se posebice uzeti u obzir pravična ravnoteža koja se mora postići između </w:t>
      </w:r>
      <w:r>
        <w:rPr>
          <w:lang w:val="hr-HR"/>
        </w:rPr>
        <w:t>suprotstavljenih</w:t>
      </w:r>
      <w:r w:rsidRPr="007E66EE">
        <w:rPr>
          <w:lang w:val="hr-HR"/>
        </w:rPr>
        <w:t xml:space="preserve"> interesa pojedinca i zajednice kao takve, kao i slobod</w:t>
      </w:r>
      <w:r>
        <w:rPr>
          <w:lang w:val="hr-HR"/>
        </w:rPr>
        <w:t>a</w:t>
      </w:r>
      <w:r w:rsidRPr="007E66EE">
        <w:rPr>
          <w:lang w:val="hr-HR"/>
        </w:rPr>
        <w:t xml:space="preserve"> procjene države (vidi </w:t>
      </w:r>
      <w:proofErr w:type="spellStart"/>
      <w:r w:rsidRPr="007E66EE">
        <w:rPr>
          <w:i/>
          <w:lang w:val="hr-HR"/>
        </w:rPr>
        <w:t>Karhuvaara</w:t>
      </w:r>
      <w:proofErr w:type="spellEnd"/>
      <w:r w:rsidRPr="007E66EE">
        <w:rPr>
          <w:i/>
          <w:lang w:val="hr-HR"/>
        </w:rPr>
        <w:t xml:space="preserve"> i </w:t>
      </w:r>
      <w:proofErr w:type="spellStart"/>
      <w:r w:rsidRPr="007E66EE">
        <w:rPr>
          <w:i/>
          <w:lang w:val="hr-HR"/>
        </w:rPr>
        <w:t>Iltalehti</w:t>
      </w:r>
      <w:proofErr w:type="spellEnd"/>
      <w:r w:rsidRPr="007E66EE">
        <w:rPr>
          <w:lang w:val="hr-HR"/>
        </w:rPr>
        <w:t>, gore citirano, st. 42.).</w:t>
      </w:r>
    </w:p>
    <w:p w:rsidR="000610A7" w:rsidRPr="007E66EE" w:rsidRDefault="000610A7" w:rsidP="00B42F88">
      <w:pPr>
        <w:pStyle w:val="JuHa0"/>
        <w:rPr>
          <w:lang w:val="hr-HR" w:eastAsia="en-US"/>
        </w:rPr>
      </w:pPr>
      <w:r w:rsidRPr="007E66EE">
        <w:rPr>
          <w:lang w:val="hr-HR" w:eastAsia="en-US"/>
        </w:rPr>
        <w:t>(c) Primjena tih načela u konkretnom predmetu</w:t>
      </w:r>
    </w:p>
    <w:p w:rsidR="000610A7" w:rsidRPr="007E66EE" w:rsidRDefault="000610A7" w:rsidP="00770057">
      <w:pPr>
        <w:pStyle w:val="JuPara"/>
        <w:rPr>
          <w:lang w:val="hr-HR" w:eastAsia="en-US"/>
        </w:rPr>
      </w:pPr>
      <w:r w:rsidRPr="007E66EE">
        <w:rPr>
          <w:lang w:val="hr-HR" w:eastAsia="en-US"/>
        </w:rPr>
        <w:fldChar w:fldCharType="begin"/>
      </w:r>
      <w:r w:rsidRPr="007E66EE">
        <w:rPr>
          <w:lang w:val="hr-HR" w:eastAsia="en-US"/>
        </w:rPr>
        <w:instrText xml:space="preserve"> SEQ level0 \*arabic </w:instrText>
      </w:r>
      <w:r w:rsidRPr="007E66EE">
        <w:rPr>
          <w:lang w:val="hr-HR" w:eastAsia="en-US"/>
        </w:rPr>
        <w:fldChar w:fldCharType="separate"/>
      </w:r>
      <w:r w:rsidRPr="007E66EE">
        <w:rPr>
          <w:noProof/>
          <w:lang w:val="hr-HR" w:eastAsia="en-US"/>
        </w:rPr>
        <w:t>63</w:t>
      </w:r>
      <w:r w:rsidRPr="007E66EE">
        <w:rPr>
          <w:lang w:val="hr-HR" w:eastAsia="en-US"/>
        </w:rPr>
        <w:fldChar w:fldCharType="end"/>
      </w:r>
      <w:r w:rsidRPr="007E66EE">
        <w:rPr>
          <w:lang w:val="hr-HR" w:eastAsia="en-US"/>
        </w:rPr>
        <w:t xml:space="preserve">.  Kao što je Sud već primijetio (vidi st. 61. gore), glavno pitanje u ovom predmetu je da li je država bila obvezna jamčiti poštivanje slobode izražavanja podnositelja zahtjeva poništenjem odluke o njihovom otkazu. Zadatak Suda je stoga odrediti, u svjetlu čitavog slučaja, da li je izrečena sankcija bila razmjerna cilju koji se štitio i da li su razlozi dani od strane domaćih vlasti da opravdaju takvo miješanje bili „bitni i dostatni (vidi </w:t>
      </w:r>
      <w:proofErr w:type="spellStart"/>
      <w:r w:rsidRPr="007E66EE">
        <w:rPr>
          <w:i/>
          <w:lang w:val="hr-HR" w:eastAsia="en-US"/>
        </w:rPr>
        <w:t>Fuentes</w:t>
      </w:r>
      <w:proofErr w:type="spellEnd"/>
      <w:r w:rsidRPr="007E66EE">
        <w:rPr>
          <w:i/>
          <w:lang w:val="hr-HR" w:eastAsia="en-US"/>
        </w:rPr>
        <w:t xml:space="preserve"> Bobo</w:t>
      </w:r>
      <w:r w:rsidRPr="007E66EE">
        <w:rPr>
          <w:lang w:val="hr-HR" w:eastAsia="en-US"/>
        </w:rPr>
        <w:t>, prethodno citirano, st. 44.).</w:t>
      </w:r>
    </w:p>
    <w:p w:rsidR="000610A7" w:rsidRDefault="000610A7" w:rsidP="001B725A">
      <w:pPr>
        <w:pStyle w:val="JuHi"/>
        <w:rPr>
          <w:lang w:val="hr-HR" w:eastAsia="en-US"/>
        </w:rPr>
      </w:pPr>
      <w:r w:rsidRPr="007E66EE">
        <w:rPr>
          <w:lang w:val="hr-HR" w:eastAsia="en-US"/>
        </w:rPr>
        <w:t>(i) Da li se komentari podnositelja zahtjeva mogu smatrati štetnima za ugled drugih</w:t>
      </w:r>
    </w:p>
    <w:p w:rsidR="000610A7" w:rsidRPr="007E66EE" w:rsidRDefault="000610A7" w:rsidP="00770057">
      <w:pPr>
        <w:pStyle w:val="JuPara"/>
        <w:rPr>
          <w:lang w:val="hr-HR" w:eastAsia="en-US"/>
        </w:rPr>
      </w:pPr>
      <w:r w:rsidRPr="007E66EE">
        <w:rPr>
          <w:lang w:val="hr-HR" w:eastAsia="en-US"/>
        </w:rPr>
        <w:fldChar w:fldCharType="begin"/>
      </w:r>
      <w:r w:rsidRPr="007E66EE">
        <w:rPr>
          <w:lang w:val="hr-HR" w:eastAsia="en-US"/>
        </w:rPr>
        <w:instrText xml:space="preserve"> SEQ level0 \*arabic </w:instrText>
      </w:r>
      <w:r w:rsidRPr="007E66EE">
        <w:rPr>
          <w:lang w:val="hr-HR" w:eastAsia="en-US"/>
        </w:rPr>
        <w:fldChar w:fldCharType="separate"/>
      </w:r>
      <w:r w:rsidRPr="007E66EE">
        <w:rPr>
          <w:noProof/>
          <w:lang w:val="hr-HR" w:eastAsia="en-US"/>
        </w:rPr>
        <w:t>64</w:t>
      </w:r>
      <w:r w:rsidRPr="007E66EE">
        <w:rPr>
          <w:lang w:val="hr-HR" w:eastAsia="en-US"/>
        </w:rPr>
        <w:fldChar w:fldCharType="end"/>
      </w:r>
      <w:r w:rsidRPr="007E66EE">
        <w:rPr>
          <w:lang w:val="hr-HR" w:eastAsia="en-US"/>
        </w:rPr>
        <w:t>.  Sud primjećuje da su domaći sudovi razmotrili da li je došlo do povrede temeljnih prava na koje s</w:t>
      </w:r>
      <w:r>
        <w:rPr>
          <w:lang w:val="hr-HR" w:eastAsia="en-US"/>
        </w:rPr>
        <w:t>u se pozivali podnositelji zaht</w:t>
      </w:r>
      <w:r w:rsidRPr="007E66EE">
        <w:rPr>
          <w:lang w:val="hr-HR" w:eastAsia="en-US"/>
        </w:rPr>
        <w:t>j</w:t>
      </w:r>
      <w:r>
        <w:rPr>
          <w:lang w:val="hr-HR" w:eastAsia="en-US"/>
        </w:rPr>
        <w:t>e</w:t>
      </w:r>
      <w:r w:rsidRPr="007E66EE">
        <w:rPr>
          <w:lang w:val="hr-HR" w:eastAsia="en-US"/>
        </w:rPr>
        <w:t xml:space="preserve">va; da je </w:t>
      </w:r>
      <w:r w:rsidRPr="007E66EE">
        <w:rPr>
          <w:lang w:val="hr-HR" w:eastAsia="en-US"/>
        </w:rPr>
        <w:lastRenderedPageBreak/>
        <w:t>došlo do povrede</w:t>
      </w:r>
      <w:r>
        <w:rPr>
          <w:lang w:val="hr-HR" w:eastAsia="en-US"/>
        </w:rPr>
        <w:t>, njihovi bi otkazi bili proglaš</w:t>
      </w:r>
      <w:r w:rsidRPr="007E66EE">
        <w:rPr>
          <w:lang w:val="hr-HR" w:eastAsia="en-US"/>
        </w:rPr>
        <w:t xml:space="preserve">eni ništavima. Sudovi su smatrali da nije došlo do miješanja u sindikalnu slobodu budući da je njihov otkaz bio </w:t>
      </w:r>
      <w:r>
        <w:rPr>
          <w:lang w:val="hr-HR" w:eastAsia="en-US"/>
        </w:rPr>
        <w:t>posljedica sadržaja uvredljivog</w:t>
      </w:r>
      <w:r w:rsidRPr="007E66EE">
        <w:rPr>
          <w:lang w:val="hr-HR" w:eastAsia="en-US"/>
        </w:rPr>
        <w:t xml:space="preserve"> biltena, a ne njihovog članstva u sindikatu N.A.A.</w:t>
      </w:r>
    </w:p>
    <w:p w:rsidR="000610A7" w:rsidRPr="007E66EE" w:rsidRDefault="000610A7" w:rsidP="00770057">
      <w:pPr>
        <w:pStyle w:val="JuPara"/>
        <w:rPr>
          <w:lang w:val="hr-HR" w:eastAsia="en-US"/>
        </w:rPr>
      </w:pPr>
      <w:r w:rsidRPr="007E66EE">
        <w:rPr>
          <w:lang w:val="hr-HR" w:eastAsia="en-US"/>
        </w:rPr>
        <w:fldChar w:fldCharType="begin"/>
      </w:r>
      <w:r w:rsidRPr="007E66EE">
        <w:rPr>
          <w:lang w:val="hr-HR" w:eastAsia="en-US"/>
        </w:rPr>
        <w:instrText xml:space="preserve"> SEQ level0 \*arabic </w:instrText>
      </w:r>
      <w:r w:rsidRPr="007E66EE">
        <w:rPr>
          <w:lang w:val="hr-HR" w:eastAsia="en-US"/>
        </w:rPr>
        <w:fldChar w:fldCharType="separate"/>
      </w:r>
      <w:r w:rsidRPr="007E66EE">
        <w:rPr>
          <w:noProof/>
          <w:lang w:val="hr-HR" w:eastAsia="en-US"/>
        </w:rPr>
        <w:t>65</w:t>
      </w:r>
      <w:r w:rsidRPr="007E66EE">
        <w:rPr>
          <w:lang w:val="hr-HR" w:eastAsia="en-US"/>
        </w:rPr>
        <w:fldChar w:fldCharType="end"/>
      </w:r>
      <w:r w:rsidRPr="007E66EE">
        <w:rPr>
          <w:lang w:val="hr-HR" w:eastAsia="en-US"/>
        </w:rPr>
        <w:t>.  Nadalje, domaći sudovi pozvali su se na ostvarivanje slobod</w:t>
      </w:r>
      <w:r>
        <w:rPr>
          <w:lang w:val="hr-HR" w:eastAsia="en-US"/>
        </w:rPr>
        <w:t xml:space="preserve">e izražavanja u kontekstu </w:t>
      </w:r>
      <w:proofErr w:type="spellStart"/>
      <w:r>
        <w:rPr>
          <w:lang w:val="hr-HR" w:eastAsia="en-US"/>
        </w:rPr>
        <w:t>radno</w:t>
      </w:r>
      <w:r w:rsidRPr="007E66EE">
        <w:rPr>
          <w:lang w:val="hr-HR" w:eastAsia="en-US"/>
        </w:rPr>
        <w:t>pravnih</w:t>
      </w:r>
      <w:proofErr w:type="spellEnd"/>
      <w:r w:rsidRPr="007E66EE">
        <w:rPr>
          <w:lang w:val="hr-HR" w:eastAsia="en-US"/>
        </w:rPr>
        <w:t xml:space="preserve"> odnosa te primijetili da to pravo nije bilo neograničeno; trebalo je uzeti u obzir i specifične karakteristike takvih odnosa. Radni sud u Barceloni br. 17 stoga je našao da su karikatura na naslovnici sindikalnog biltena, zajedno sa člancima unutar istog, bili uvredljivi i sporni za poštovanje osoba na koje su se odnosili, budući da su prekoračili granice slobode izražavanja i informiranja narušavajući ugled i dostojanstvo upravitelja kadrovske službe i dvaju radnika, kao i društva P. (vidi st. 15</w:t>
      </w:r>
      <w:r>
        <w:rPr>
          <w:lang w:val="hr-HR" w:eastAsia="en-US"/>
        </w:rPr>
        <w:t>.</w:t>
      </w:r>
      <w:r w:rsidRPr="007E66EE">
        <w:rPr>
          <w:lang w:val="hr-HR" w:eastAsia="en-US"/>
        </w:rPr>
        <w:t xml:space="preserve"> gore).</w:t>
      </w:r>
    </w:p>
    <w:p w:rsidR="000610A7" w:rsidRPr="007E66EE" w:rsidRDefault="000610A7" w:rsidP="00770057">
      <w:pPr>
        <w:pStyle w:val="JuPara"/>
        <w:rPr>
          <w:lang w:val="hr-HR" w:eastAsia="en-US"/>
        </w:rPr>
      </w:pPr>
      <w:r w:rsidRPr="007E66EE">
        <w:rPr>
          <w:lang w:val="hr-HR" w:eastAsia="en-US"/>
        </w:rPr>
        <w:fldChar w:fldCharType="begin"/>
      </w:r>
      <w:r w:rsidRPr="007E66EE">
        <w:rPr>
          <w:lang w:val="hr-HR" w:eastAsia="en-US"/>
        </w:rPr>
        <w:instrText xml:space="preserve"> SEQ level0 \*arabic </w:instrText>
      </w:r>
      <w:r w:rsidRPr="007E66EE">
        <w:rPr>
          <w:lang w:val="hr-HR" w:eastAsia="en-US"/>
        </w:rPr>
        <w:fldChar w:fldCharType="separate"/>
      </w:r>
      <w:r w:rsidRPr="007E66EE">
        <w:rPr>
          <w:noProof/>
          <w:lang w:val="hr-HR" w:eastAsia="en-US"/>
        </w:rPr>
        <w:t>66</w:t>
      </w:r>
      <w:r w:rsidRPr="007E66EE">
        <w:rPr>
          <w:lang w:val="hr-HR" w:eastAsia="en-US"/>
        </w:rPr>
        <w:fldChar w:fldCharType="end"/>
      </w:r>
      <w:r w:rsidRPr="007E66EE">
        <w:rPr>
          <w:lang w:val="hr-HR" w:eastAsia="en-US"/>
        </w:rPr>
        <w:t>.  Kako bi došao do ovog zaključka, Radni sud u Barceloni br. 17 proveo je detaljnu analizu spornih činjenica, posebice kontekst u kojem su podnositelji zahtjeva objavili sporni bilten. Sud ne vidi razlog dovoditi u pitanje zaključke domaćih sudova da su crtež i sporni članci bili uvredljivi i sposobni naškoditi ugledu drugih.</w:t>
      </w:r>
    </w:p>
    <w:p w:rsidR="000610A7" w:rsidRPr="007E66EE" w:rsidRDefault="000610A7" w:rsidP="00770057">
      <w:pPr>
        <w:pStyle w:val="JuPara"/>
        <w:rPr>
          <w:lang w:val="hr-HR" w:eastAsia="en-US"/>
        </w:rPr>
      </w:pPr>
      <w:r w:rsidRPr="007E66EE">
        <w:rPr>
          <w:lang w:val="hr-HR" w:eastAsia="en-US"/>
        </w:rPr>
        <w:fldChar w:fldCharType="begin"/>
      </w:r>
      <w:r w:rsidRPr="007E66EE">
        <w:rPr>
          <w:lang w:val="hr-HR" w:eastAsia="en-US"/>
        </w:rPr>
        <w:instrText xml:space="preserve"> SEQ level0 \*arabic </w:instrText>
      </w:r>
      <w:r w:rsidRPr="007E66EE">
        <w:rPr>
          <w:lang w:val="hr-HR" w:eastAsia="en-US"/>
        </w:rPr>
        <w:fldChar w:fldCharType="separate"/>
      </w:r>
      <w:r w:rsidRPr="007E66EE">
        <w:rPr>
          <w:noProof/>
          <w:lang w:val="hr-HR" w:eastAsia="en-US"/>
        </w:rPr>
        <w:t>67</w:t>
      </w:r>
      <w:r w:rsidRPr="007E66EE">
        <w:rPr>
          <w:lang w:val="hr-HR" w:eastAsia="en-US"/>
        </w:rPr>
        <w:fldChar w:fldCharType="end"/>
      </w:r>
      <w:r w:rsidRPr="007E66EE">
        <w:rPr>
          <w:lang w:val="hr-HR" w:eastAsia="en-US"/>
        </w:rPr>
        <w:t>.  S tim u svezi, mora se primijetiti da su se podnositelji zahtjeva izrazili kroz karikaturu koja je pokazivala u</w:t>
      </w:r>
      <w:r>
        <w:rPr>
          <w:lang w:val="hr-HR" w:eastAsia="en-US"/>
        </w:rPr>
        <w:t>pravitelja kadrovske službe G. k</w:t>
      </w:r>
      <w:r w:rsidRPr="007E66EE">
        <w:rPr>
          <w:lang w:val="hr-HR" w:eastAsia="en-US"/>
        </w:rPr>
        <w:t xml:space="preserve">ako sjedi za stolom ispod kojega se odostraga vidjela osoba </w:t>
      </w:r>
      <w:r>
        <w:rPr>
          <w:lang w:val="hr-HR" w:eastAsia="en-US"/>
        </w:rPr>
        <w:t>koja</w:t>
      </w:r>
      <w:r w:rsidRPr="007E66EE">
        <w:rPr>
          <w:lang w:val="hr-HR" w:eastAsia="en-US"/>
        </w:rPr>
        <w:t xml:space="preserve"> kleči na sve četiri, zajed</w:t>
      </w:r>
      <w:r>
        <w:rPr>
          <w:lang w:val="hr-HR" w:eastAsia="en-US"/>
        </w:rPr>
        <w:t>no s predstavnicima radnika A. i B. k</w:t>
      </w:r>
      <w:r w:rsidRPr="007E66EE">
        <w:rPr>
          <w:lang w:val="hr-HR" w:eastAsia="en-US"/>
        </w:rPr>
        <w:t xml:space="preserve">oji su promatrali prizor čekajući na svoj red da zadovolje upravitelja. Popratni tekst bio je dovoljno eksplicitan. Što se tiče dvaju članaka </w:t>
      </w:r>
      <w:r w:rsidRPr="007E66EE">
        <w:rPr>
          <w:lang w:val="hr-HR"/>
        </w:rPr>
        <w:t>(vidi st. 15</w:t>
      </w:r>
      <w:r>
        <w:rPr>
          <w:lang w:val="hr-HR"/>
        </w:rPr>
        <w:t>.</w:t>
      </w:r>
      <w:r w:rsidRPr="007E66EE">
        <w:rPr>
          <w:lang w:val="hr-HR"/>
        </w:rPr>
        <w:t xml:space="preserve"> gore), isti su sa</w:t>
      </w:r>
      <w:r>
        <w:rPr>
          <w:lang w:val="hr-HR"/>
        </w:rPr>
        <w:t>d</w:t>
      </w:r>
      <w:r w:rsidRPr="007E66EE">
        <w:rPr>
          <w:lang w:val="hr-HR"/>
        </w:rPr>
        <w:t>ržavali eksplicit</w:t>
      </w:r>
      <w:r>
        <w:rPr>
          <w:lang w:val="hr-HR"/>
        </w:rPr>
        <w:t>ne optužbe „sramote“ protiv A. i</w:t>
      </w:r>
      <w:r w:rsidRPr="007E66EE">
        <w:rPr>
          <w:lang w:val="hr-HR"/>
        </w:rPr>
        <w:t xml:space="preserve"> B., osuđujući ih za „prodaju“ ostalih radnika i za odricanje od svog dostojanstva radi zadržavanja svojih položaja. Optužbe su bile izražene uznemirujućim i štetnim izrazima glede dotičnih osoba. Sud ponavlja da se kritika mora jasno razlikovati od uvrede te da potonja u principu može opravdati sankcije (vidi, </w:t>
      </w:r>
      <w:proofErr w:type="spellStart"/>
      <w:r w:rsidRPr="007E66EE">
        <w:rPr>
          <w:i/>
          <w:lang w:val="hr-HR"/>
        </w:rPr>
        <w:t>mutatis</w:t>
      </w:r>
      <w:proofErr w:type="spellEnd"/>
      <w:r w:rsidRPr="007E66EE">
        <w:rPr>
          <w:i/>
          <w:lang w:val="hr-HR"/>
        </w:rPr>
        <w:t xml:space="preserve"> </w:t>
      </w:r>
      <w:proofErr w:type="spellStart"/>
      <w:r w:rsidRPr="007E66EE">
        <w:rPr>
          <w:i/>
          <w:lang w:val="hr-HR"/>
        </w:rPr>
        <w:t>mutandis</w:t>
      </w:r>
      <w:proofErr w:type="spellEnd"/>
      <w:r w:rsidRPr="007E66EE">
        <w:rPr>
          <w:lang w:val="hr-HR"/>
        </w:rPr>
        <w:t xml:space="preserve">, </w:t>
      </w:r>
      <w:proofErr w:type="spellStart"/>
      <w:r w:rsidRPr="007E66EE">
        <w:rPr>
          <w:i/>
          <w:lang w:val="hr-HR" w:eastAsia="en-US"/>
        </w:rPr>
        <w:t>Skałka</w:t>
      </w:r>
      <w:proofErr w:type="spellEnd"/>
      <w:r w:rsidRPr="007E66EE">
        <w:rPr>
          <w:i/>
          <w:lang w:val="hr-HR" w:eastAsia="en-US"/>
        </w:rPr>
        <w:t xml:space="preserve"> protiv Poljske</w:t>
      </w:r>
      <w:r w:rsidRPr="007E66EE">
        <w:rPr>
          <w:lang w:val="hr-HR" w:eastAsia="en-US"/>
        </w:rPr>
        <w:t>,</w:t>
      </w:r>
      <w:r w:rsidRPr="007E66EE">
        <w:rPr>
          <w:i/>
          <w:lang w:val="hr-HR" w:eastAsia="en-US"/>
        </w:rPr>
        <w:t xml:space="preserve"> </w:t>
      </w:r>
      <w:r w:rsidRPr="007E66EE">
        <w:rPr>
          <w:lang w:val="hr-HR" w:eastAsia="en-US"/>
        </w:rPr>
        <w:t>br. 43425/98, st. 34</w:t>
      </w:r>
      <w:r>
        <w:rPr>
          <w:lang w:val="hr-HR" w:eastAsia="en-US"/>
        </w:rPr>
        <w:t>.</w:t>
      </w:r>
      <w:r w:rsidRPr="007E66EE">
        <w:rPr>
          <w:lang w:val="hr-HR" w:eastAsia="en-US"/>
        </w:rPr>
        <w:t>, 27. svibnja 2003.). Sud nadalje upućuje na opća načela koja se odnose na slobodu misli i izražavanja sadržana u petom (izmijenjenom) izdanju Pregleda odluka i načela Odbora za slobodu udruživanja upravnih tijela Međunarodne organizacije rada, posebice točku 154</w:t>
      </w:r>
      <w:r>
        <w:rPr>
          <w:lang w:val="hr-HR" w:eastAsia="en-US"/>
        </w:rPr>
        <w:t>.</w:t>
      </w:r>
      <w:r w:rsidRPr="007E66EE">
        <w:rPr>
          <w:lang w:val="hr-HR" w:eastAsia="en-US"/>
        </w:rPr>
        <w:t xml:space="preserve"> prema kojoj „u izražavanju njihova mišljenja, sindikalne organizacije moraju poštivati granice pristojnosti i suzdržati se od korištenja uvredljivog jezika</w:t>
      </w:r>
      <w:r w:rsidRPr="007E66EE">
        <w:rPr>
          <w:lang w:val="hr-HR" w:eastAsia="en-GB"/>
        </w:rPr>
        <w:t>” (vidi st. 24 gore).</w:t>
      </w:r>
    </w:p>
    <w:p w:rsidR="000610A7" w:rsidRPr="007E66EE" w:rsidRDefault="000610A7" w:rsidP="00770057">
      <w:pPr>
        <w:pStyle w:val="JuPara"/>
        <w:rPr>
          <w:lang w:val="hr-HR" w:eastAsia="en-US"/>
        </w:rPr>
      </w:pPr>
      <w:r w:rsidRPr="007E66EE">
        <w:rPr>
          <w:lang w:val="hr-HR" w:eastAsia="en-US"/>
        </w:rPr>
        <w:fldChar w:fldCharType="begin"/>
      </w:r>
      <w:r w:rsidRPr="007E66EE">
        <w:rPr>
          <w:lang w:val="hr-HR" w:eastAsia="en-US"/>
        </w:rPr>
        <w:instrText xml:space="preserve"> SEQ level0 \*arabic </w:instrText>
      </w:r>
      <w:r w:rsidRPr="007E66EE">
        <w:rPr>
          <w:lang w:val="hr-HR" w:eastAsia="en-US"/>
        </w:rPr>
        <w:fldChar w:fldCharType="separate"/>
      </w:r>
      <w:r w:rsidRPr="007E66EE">
        <w:rPr>
          <w:noProof/>
          <w:lang w:val="hr-HR" w:eastAsia="en-US"/>
        </w:rPr>
        <w:t>68</w:t>
      </w:r>
      <w:r w:rsidRPr="007E66EE">
        <w:rPr>
          <w:lang w:val="hr-HR" w:eastAsia="en-US"/>
        </w:rPr>
        <w:fldChar w:fldCharType="end"/>
      </w:r>
      <w:r w:rsidRPr="007E66EE">
        <w:rPr>
          <w:lang w:val="hr-HR" w:eastAsia="en-US"/>
        </w:rPr>
        <w:t>.  U svjetlu svega što prethodi, Sud zauzima stajalište da su razlozi navedeni od strane domaćih sudova bili sukladni legitimnom cilju zaštite ugleda pojedinaca ciljanih spornom karikaturom i tekstovima, te da s</w:t>
      </w:r>
      <w:r>
        <w:rPr>
          <w:lang w:val="hr-HR" w:eastAsia="en-US"/>
        </w:rPr>
        <w:t>e</w:t>
      </w:r>
      <w:r w:rsidRPr="007E66EE">
        <w:rPr>
          <w:lang w:val="hr-HR" w:eastAsia="en-US"/>
        </w:rPr>
        <w:t xml:space="preserve"> zaključci tih sudova</w:t>
      </w:r>
      <w:r>
        <w:rPr>
          <w:lang w:val="hr-HR" w:eastAsia="en-US"/>
        </w:rPr>
        <w:t>,</w:t>
      </w:r>
      <w:r w:rsidRPr="007E66EE">
        <w:rPr>
          <w:lang w:val="hr-HR" w:eastAsia="en-US"/>
        </w:rPr>
        <w:t xml:space="preserve"> u smislu da su podnositelji zahtjeva prekoračili granice dopuštene kritike u radnim odnosima</w:t>
      </w:r>
      <w:r>
        <w:rPr>
          <w:lang w:val="hr-HR" w:eastAsia="en-US"/>
        </w:rPr>
        <w:t>,</w:t>
      </w:r>
      <w:r w:rsidRPr="007E66EE">
        <w:rPr>
          <w:lang w:val="hr-HR" w:eastAsia="en-US"/>
        </w:rPr>
        <w:t xml:space="preserve"> ne mogu smatrati neutemeljenima ili bez razumnog utemeljenja u činjenicama.</w:t>
      </w:r>
    </w:p>
    <w:p w:rsidR="000610A7" w:rsidRPr="007E66EE" w:rsidRDefault="000610A7" w:rsidP="00C92533">
      <w:pPr>
        <w:pStyle w:val="JuHi"/>
        <w:rPr>
          <w:lang w:val="hr-HR" w:eastAsia="en-US"/>
        </w:rPr>
      </w:pPr>
      <w:r w:rsidRPr="007E66EE">
        <w:rPr>
          <w:lang w:val="hr-HR" w:eastAsia="en-US"/>
        </w:rPr>
        <w:lastRenderedPageBreak/>
        <w:t>(ii) Da li je sankcija u vidu otkaza bila razmjerna stupnju ozbiljnosti spornih komentara</w:t>
      </w:r>
    </w:p>
    <w:p w:rsidR="000610A7" w:rsidRDefault="000610A7" w:rsidP="00770057">
      <w:pPr>
        <w:pStyle w:val="JuPara"/>
        <w:rPr>
          <w:lang w:val="hr-HR" w:eastAsia="en-US"/>
        </w:rPr>
      </w:pPr>
      <w:r w:rsidRPr="007E66EE">
        <w:rPr>
          <w:lang w:val="hr-HR" w:eastAsia="en-US"/>
        </w:rPr>
        <w:fldChar w:fldCharType="begin"/>
      </w:r>
      <w:r w:rsidRPr="007E66EE">
        <w:rPr>
          <w:lang w:val="hr-HR" w:eastAsia="en-US"/>
        </w:rPr>
        <w:instrText xml:space="preserve"> SEQ level0 \*arabic </w:instrText>
      </w:r>
      <w:r w:rsidRPr="007E66EE">
        <w:rPr>
          <w:lang w:val="hr-HR" w:eastAsia="en-US"/>
        </w:rPr>
        <w:fldChar w:fldCharType="separate"/>
      </w:r>
      <w:r w:rsidRPr="007E66EE">
        <w:rPr>
          <w:noProof/>
          <w:lang w:val="hr-HR" w:eastAsia="en-US"/>
        </w:rPr>
        <w:t>69</w:t>
      </w:r>
      <w:r w:rsidRPr="007E66EE">
        <w:rPr>
          <w:lang w:val="hr-HR" w:eastAsia="en-US"/>
        </w:rPr>
        <w:fldChar w:fldCharType="end"/>
      </w:r>
      <w:r w:rsidRPr="007E66EE">
        <w:rPr>
          <w:lang w:val="hr-HR" w:eastAsia="en-US"/>
        </w:rPr>
        <w:t>.  Što ostaje utvrditi jeste da li je sankcija nametnuta podnositeljima zahtjeva od strane njihova poslodavca, njihov otkaz, bila razmjerna činjenicama ovog slučaja.</w:t>
      </w:r>
    </w:p>
    <w:p w:rsidR="000610A7" w:rsidRDefault="000610A7" w:rsidP="00770057">
      <w:pPr>
        <w:pStyle w:val="JuPara"/>
        <w:rPr>
          <w:lang w:val="hr-HR" w:eastAsia="en-US"/>
        </w:rPr>
      </w:pPr>
      <w:r w:rsidRPr="007E66EE">
        <w:rPr>
          <w:lang w:val="hr-HR" w:eastAsia="en-US"/>
        </w:rPr>
        <w:fldChar w:fldCharType="begin"/>
      </w:r>
      <w:r w:rsidRPr="007E66EE">
        <w:rPr>
          <w:lang w:val="hr-HR" w:eastAsia="en-US"/>
        </w:rPr>
        <w:instrText xml:space="preserve"> SEQ level0 \*arabic </w:instrText>
      </w:r>
      <w:r w:rsidRPr="007E66EE">
        <w:rPr>
          <w:lang w:val="hr-HR" w:eastAsia="en-US"/>
        </w:rPr>
        <w:fldChar w:fldCharType="separate"/>
      </w:r>
      <w:r w:rsidRPr="007E66EE">
        <w:rPr>
          <w:noProof/>
          <w:lang w:val="hr-HR" w:eastAsia="en-US"/>
        </w:rPr>
        <w:t>70</w:t>
      </w:r>
      <w:r w:rsidRPr="007E66EE">
        <w:rPr>
          <w:lang w:val="hr-HR" w:eastAsia="en-US"/>
        </w:rPr>
        <w:fldChar w:fldCharType="end"/>
      </w:r>
      <w:r w:rsidRPr="007E66EE">
        <w:rPr>
          <w:lang w:val="hr-HR" w:eastAsia="en-US"/>
        </w:rPr>
        <w:t>.  Odlučujući o ovom pitanju, Sud će naročito uzeti u obzir način izražavanja u spornoj karikaturi i člancima kao i profesionalni kontekst u kojem su se pojavili.</w:t>
      </w:r>
    </w:p>
    <w:p w:rsidR="000610A7" w:rsidRPr="007E66EE" w:rsidRDefault="000610A7" w:rsidP="007F5CC1">
      <w:pPr>
        <w:pStyle w:val="JuPara"/>
        <w:outlineLvl w:val="0"/>
        <w:rPr>
          <w:lang w:val="hr-HR" w:eastAsia="en-US"/>
        </w:rPr>
      </w:pPr>
      <w:r w:rsidRPr="007E66EE">
        <w:rPr>
          <w:lang w:val="hr-HR" w:eastAsia="en-US"/>
        </w:rPr>
        <w:fldChar w:fldCharType="begin"/>
      </w:r>
      <w:r w:rsidRPr="007E66EE">
        <w:rPr>
          <w:lang w:val="hr-HR" w:eastAsia="en-US"/>
        </w:rPr>
        <w:instrText xml:space="preserve"> SEQ level0 \*arabic </w:instrText>
      </w:r>
      <w:r w:rsidRPr="007E66EE">
        <w:rPr>
          <w:lang w:val="hr-HR" w:eastAsia="en-US"/>
        </w:rPr>
        <w:fldChar w:fldCharType="separate"/>
      </w:r>
      <w:r w:rsidRPr="007E66EE">
        <w:rPr>
          <w:noProof/>
          <w:lang w:val="hr-HR" w:eastAsia="en-US"/>
        </w:rPr>
        <w:t>71</w:t>
      </w:r>
      <w:r w:rsidRPr="007E66EE">
        <w:rPr>
          <w:lang w:val="hr-HR" w:eastAsia="en-US"/>
        </w:rPr>
        <w:fldChar w:fldCharType="end"/>
      </w:r>
      <w:r w:rsidRPr="007E66EE">
        <w:rPr>
          <w:lang w:val="hr-HR" w:eastAsia="en-US"/>
        </w:rPr>
        <w:t xml:space="preserve">.  Kao prvo, Sud primjećuje da su sporne primjedbe izražene u specifičnom kontekstu. Podnositelji zahtjeva kao članovi sindikata bili su pokrenuli postupak protiv poslodavca pred radnim sudovima. U tom postupku dostavljači koji nisu primali plaću, A. i B., svjedočili su u korist društva P. </w:t>
      </w:r>
      <w:r>
        <w:rPr>
          <w:lang w:val="hr-HR" w:eastAsia="en-US"/>
        </w:rPr>
        <w:t>i</w:t>
      </w:r>
      <w:r w:rsidRPr="007E66EE">
        <w:rPr>
          <w:lang w:val="hr-HR" w:eastAsia="en-US"/>
        </w:rPr>
        <w:t xml:space="preserve"> time protiv podnositelja zahtjeva (vidi st. 11</w:t>
      </w:r>
      <w:r>
        <w:rPr>
          <w:lang w:val="hr-HR" w:eastAsia="en-US"/>
        </w:rPr>
        <w:t>.</w:t>
      </w:r>
      <w:r w:rsidRPr="007E66EE">
        <w:rPr>
          <w:lang w:val="hr-HR" w:eastAsia="en-US"/>
        </w:rPr>
        <w:t xml:space="preserve"> gore). Potom su u biltenu ogranka si</w:t>
      </w:r>
      <w:r>
        <w:rPr>
          <w:lang w:val="hr-HR" w:eastAsia="en-US"/>
        </w:rPr>
        <w:t>n</w:t>
      </w:r>
      <w:r w:rsidRPr="007E66EE">
        <w:rPr>
          <w:lang w:val="hr-HR" w:eastAsia="en-US"/>
        </w:rPr>
        <w:t xml:space="preserve">dikata kojem su pripadali podnositelji zahtjeva objavljene sporna karikatura i članci, a sve u kontekstu spora između podnositelja i društva P. Unatoč tome, nisu sadržavali kritiku niti optužbe izravno protiv društva već </w:t>
      </w:r>
      <w:r>
        <w:rPr>
          <w:lang w:val="hr-HR" w:eastAsia="en-US"/>
        </w:rPr>
        <w:t xml:space="preserve">protiv </w:t>
      </w:r>
      <w:r w:rsidRPr="007E66EE">
        <w:rPr>
          <w:lang w:val="hr-HR" w:eastAsia="en-US"/>
        </w:rPr>
        <w:t>dva dostavljača koji nisu primal</w:t>
      </w:r>
      <w:r>
        <w:rPr>
          <w:lang w:val="hr-HR" w:eastAsia="en-US"/>
        </w:rPr>
        <w:t>i</w:t>
      </w:r>
      <w:r w:rsidRPr="007E66EE">
        <w:rPr>
          <w:lang w:val="hr-HR" w:eastAsia="en-US"/>
        </w:rPr>
        <w:t xml:space="preserve"> plaću kao i direktora kadrovske službe. Sud ponavlja s time u svezi da je opseg prihvatljive kritike uži s obzirom na privatne osobe nego s obzirom na političare ili javne službenike prilikom obavljanja njihovih dužnosti </w:t>
      </w:r>
      <w:r w:rsidRPr="007E66EE">
        <w:rPr>
          <w:lang w:val="hr-HR"/>
        </w:rPr>
        <w:t xml:space="preserve">(usporedi </w:t>
      </w:r>
      <w:proofErr w:type="spellStart"/>
      <w:r w:rsidRPr="007E66EE">
        <w:rPr>
          <w:i/>
          <w:lang w:val="hr-HR" w:eastAsia="en-US"/>
        </w:rPr>
        <w:t>Lingens</w:t>
      </w:r>
      <w:proofErr w:type="spellEnd"/>
      <w:r w:rsidRPr="007E66EE">
        <w:rPr>
          <w:i/>
          <w:lang w:val="hr-HR" w:eastAsia="en-US"/>
        </w:rPr>
        <w:t xml:space="preserve"> protiv Austrije</w:t>
      </w:r>
      <w:r w:rsidRPr="007E66EE">
        <w:rPr>
          <w:lang w:val="hr-HR" w:eastAsia="en-US"/>
        </w:rPr>
        <w:t>, 8. srpnja 1986., st. 42</w:t>
      </w:r>
      <w:r>
        <w:rPr>
          <w:lang w:val="hr-HR" w:eastAsia="en-US"/>
        </w:rPr>
        <w:t>.</w:t>
      </w:r>
      <w:r w:rsidRPr="007E66EE">
        <w:rPr>
          <w:lang w:val="hr-HR" w:eastAsia="en-US"/>
        </w:rPr>
        <w:t xml:space="preserve">, Serija A br. 103, i </w:t>
      </w:r>
      <w:proofErr w:type="spellStart"/>
      <w:r w:rsidRPr="007E66EE">
        <w:rPr>
          <w:i/>
          <w:lang w:val="hr-HR" w:eastAsia="en-US"/>
        </w:rPr>
        <w:t>Nikula</w:t>
      </w:r>
      <w:proofErr w:type="spellEnd"/>
      <w:r w:rsidRPr="007E66EE">
        <w:rPr>
          <w:i/>
          <w:lang w:val="hr-HR" w:eastAsia="en-US"/>
        </w:rPr>
        <w:t xml:space="preserve"> protiv Finske</w:t>
      </w:r>
      <w:r w:rsidRPr="007E66EE">
        <w:rPr>
          <w:lang w:val="hr-HR" w:eastAsia="en-US"/>
        </w:rPr>
        <w:t>, br. 31611/96, st. 48</w:t>
      </w:r>
      <w:r>
        <w:rPr>
          <w:lang w:val="hr-HR" w:eastAsia="en-US"/>
        </w:rPr>
        <w:t>.</w:t>
      </w:r>
      <w:r w:rsidRPr="007E66EE">
        <w:rPr>
          <w:lang w:val="hr-HR" w:eastAsia="en-US"/>
        </w:rPr>
        <w:t>, ECHR 2002</w:t>
      </w:r>
      <w:r w:rsidRPr="007E66EE">
        <w:rPr>
          <w:lang w:val="hr-HR" w:eastAsia="en-US"/>
        </w:rPr>
        <w:noBreakHyphen/>
        <w:t>II).</w:t>
      </w:r>
    </w:p>
    <w:p w:rsidR="000610A7" w:rsidRPr="007E66EE" w:rsidRDefault="000610A7" w:rsidP="00B36F50">
      <w:pPr>
        <w:pStyle w:val="JuPara"/>
        <w:rPr>
          <w:szCs w:val="24"/>
          <w:lang w:val="hr-HR" w:eastAsia="en-US"/>
        </w:rPr>
      </w:pPr>
      <w:r w:rsidRPr="007E66EE">
        <w:rPr>
          <w:lang w:val="hr-HR" w:eastAsia="en-US"/>
        </w:rPr>
        <w:fldChar w:fldCharType="begin"/>
      </w:r>
      <w:r w:rsidRPr="007E66EE">
        <w:rPr>
          <w:lang w:val="hr-HR" w:eastAsia="en-US"/>
        </w:rPr>
        <w:instrText xml:space="preserve"> SEQ level0 \*arabic </w:instrText>
      </w:r>
      <w:r w:rsidRPr="007E66EE">
        <w:rPr>
          <w:lang w:val="hr-HR" w:eastAsia="en-US"/>
        </w:rPr>
        <w:fldChar w:fldCharType="separate"/>
      </w:r>
      <w:r w:rsidRPr="007E66EE">
        <w:rPr>
          <w:noProof/>
          <w:lang w:val="hr-HR" w:eastAsia="en-US"/>
        </w:rPr>
        <w:t>72</w:t>
      </w:r>
      <w:r w:rsidRPr="007E66EE">
        <w:rPr>
          <w:lang w:val="hr-HR" w:eastAsia="en-US"/>
        </w:rPr>
        <w:fldChar w:fldCharType="end"/>
      </w:r>
      <w:r w:rsidRPr="007E66EE">
        <w:rPr>
          <w:lang w:val="hr-HR" w:eastAsia="en-US"/>
        </w:rPr>
        <w:t>.  Sud ne dijeli stajalište Vlade da se sadržaj spornih članaka nije odnosio na pitanja od općeg interesa (vidi st. 44</w:t>
      </w:r>
      <w:r>
        <w:rPr>
          <w:lang w:val="hr-HR" w:eastAsia="en-US"/>
        </w:rPr>
        <w:t>.</w:t>
      </w:r>
      <w:r w:rsidRPr="007E66EE">
        <w:rPr>
          <w:lang w:val="hr-HR" w:eastAsia="en-US"/>
        </w:rPr>
        <w:t xml:space="preserve"> gore). Sporna publikacija objavljena je u kontekstu radnog spora unutar društva</w:t>
      </w:r>
      <w:r>
        <w:rPr>
          <w:lang w:val="hr-HR" w:eastAsia="en-US"/>
        </w:rPr>
        <w:t xml:space="preserve"> u</w:t>
      </w:r>
      <w:r w:rsidRPr="007E66EE">
        <w:rPr>
          <w:lang w:val="hr-HR" w:eastAsia="en-US"/>
        </w:rPr>
        <w:t xml:space="preserve"> kojem su podnositelji postavili određene zahtjeve. Osnovni cilj publikacije ove vrste „trebao bi biti bavljenje pitanjima koja se uglavnom odnose na zaštitu i promicanje interesa članova sindikata posebno i na pitanja rada općenito</w:t>
      </w:r>
      <w:r w:rsidRPr="007E66EE">
        <w:rPr>
          <w:lang w:val="hr-HR" w:eastAsia="en-GB"/>
        </w:rPr>
        <w:t>” (vidi st. 24</w:t>
      </w:r>
      <w:r>
        <w:rPr>
          <w:lang w:val="hr-HR" w:eastAsia="en-GB"/>
        </w:rPr>
        <w:t>.</w:t>
      </w:r>
      <w:r w:rsidRPr="007E66EE">
        <w:rPr>
          <w:lang w:val="hr-HR" w:eastAsia="en-GB"/>
        </w:rPr>
        <w:t xml:space="preserve"> gore, posebice točku 170 citiranog Pregleda odluka Međunarodnog </w:t>
      </w:r>
      <w:r>
        <w:rPr>
          <w:lang w:val="hr-HR" w:eastAsia="en-GB"/>
        </w:rPr>
        <w:t>organizacije</w:t>
      </w:r>
      <w:r w:rsidRPr="007E66EE">
        <w:rPr>
          <w:lang w:val="hr-HR" w:eastAsia="en-GB"/>
        </w:rPr>
        <w:t xml:space="preserve"> rada). Debat</w:t>
      </w:r>
      <w:r>
        <w:rPr>
          <w:lang w:val="hr-HR" w:eastAsia="en-GB"/>
        </w:rPr>
        <w:t>a</w:t>
      </w:r>
      <w:r w:rsidRPr="007E66EE">
        <w:rPr>
          <w:lang w:val="hr-HR" w:eastAsia="en-GB"/>
        </w:rPr>
        <w:t xml:space="preserve"> stoga nije bila isključivo privatne prirode; </w:t>
      </w:r>
      <w:r>
        <w:rPr>
          <w:lang w:val="hr-HR" w:eastAsia="en-GB"/>
        </w:rPr>
        <w:t xml:space="preserve">već je </w:t>
      </w:r>
      <w:r w:rsidRPr="007E66EE">
        <w:rPr>
          <w:lang w:val="hr-HR" w:eastAsia="en-GB"/>
        </w:rPr>
        <w:t xml:space="preserve">bila u najmanju ruku barem od općeg interesa za radnike društva P. (vidi, </w:t>
      </w:r>
      <w:proofErr w:type="spellStart"/>
      <w:r w:rsidRPr="007E66EE">
        <w:rPr>
          <w:i/>
          <w:lang w:val="hr-HR" w:eastAsia="en-GB"/>
        </w:rPr>
        <w:t>mutatis</w:t>
      </w:r>
      <w:proofErr w:type="spellEnd"/>
      <w:r w:rsidRPr="007E66EE">
        <w:rPr>
          <w:i/>
          <w:lang w:val="hr-HR" w:eastAsia="en-GB"/>
        </w:rPr>
        <w:t xml:space="preserve"> </w:t>
      </w:r>
      <w:proofErr w:type="spellStart"/>
      <w:r w:rsidRPr="007E66EE">
        <w:rPr>
          <w:i/>
          <w:lang w:val="hr-HR" w:eastAsia="en-GB"/>
        </w:rPr>
        <w:t>mutandis</w:t>
      </w:r>
      <w:proofErr w:type="spellEnd"/>
      <w:r w:rsidRPr="007E66EE">
        <w:rPr>
          <w:lang w:val="hr-HR" w:eastAsia="en-GB"/>
        </w:rPr>
        <w:t xml:space="preserve">, </w:t>
      </w:r>
      <w:proofErr w:type="spellStart"/>
      <w:r w:rsidRPr="007E66EE">
        <w:rPr>
          <w:i/>
          <w:lang w:val="hr-HR" w:eastAsia="en-US"/>
        </w:rPr>
        <w:t>Fressoz</w:t>
      </w:r>
      <w:proofErr w:type="spellEnd"/>
      <w:r w:rsidRPr="007E66EE">
        <w:rPr>
          <w:i/>
          <w:lang w:val="hr-HR" w:eastAsia="en-US"/>
        </w:rPr>
        <w:t xml:space="preserve"> i </w:t>
      </w:r>
      <w:proofErr w:type="spellStart"/>
      <w:r w:rsidRPr="007E66EE">
        <w:rPr>
          <w:i/>
          <w:lang w:val="hr-HR" w:eastAsia="en-US"/>
        </w:rPr>
        <w:t>Roire</w:t>
      </w:r>
      <w:proofErr w:type="spellEnd"/>
      <w:r w:rsidRPr="007E66EE">
        <w:rPr>
          <w:i/>
          <w:lang w:val="hr-HR" w:eastAsia="en-US"/>
        </w:rPr>
        <w:t xml:space="preserve"> protiv Francuske</w:t>
      </w:r>
      <w:r w:rsidRPr="007E66EE">
        <w:rPr>
          <w:lang w:val="hr-HR" w:eastAsia="en-US"/>
        </w:rPr>
        <w:t xml:space="preserve"> [GC], br. 29183/95, st. 50</w:t>
      </w:r>
      <w:r>
        <w:rPr>
          <w:lang w:val="hr-HR" w:eastAsia="en-US"/>
        </w:rPr>
        <w:t>.</w:t>
      </w:r>
      <w:r w:rsidRPr="007E66EE">
        <w:rPr>
          <w:lang w:val="hr-HR" w:eastAsia="en-US"/>
        </w:rPr>
        <w:t>, ECHR 1999</w:t>
      </w:r>
      <w:r w:rsidRPr="007E66EE">
        <w:rPr>
          <w:lang w:val="hr-HR" w:eastAsia="en-US"/>
        </w:rPr>
        <w:noBreakHyphen/>
        <w:t xml:space="preserve">I, i </w:t>
      </w:r>
      <w:proofErr w:type="spellStart"/>
      <w:r w:rsidRPr="007E66EE">
        <w:rPr>
          <w:i/>
          <w:szCs w:val="24"/>
          <w:lang w:val="hr-HR" w:eastAsia="en-US"/>
        </w:rPr>
        <w:t>Boldea</w:t>
      </w:r>
      <w:proofErr w:type="spellEnd"/>
      <w:r w:rsidRPr="007E66EE">
        <w:rPr>
          <w:i/>
          <w:szCs w:val="24"/>
          <w:lang w:val="hr-HR" w:eastAsia="en-US"/>
        </w:rPr>
        <w:t xml:space="preserve"> protiv Rumunjske</w:t>
      </w:r>
      <w:r w:rsidRPr="007E66EE">
        <w:rPr>
          <w:szCs w:val="24"/>
          <w:lang w:val="hr-HR" w:eastAsia="en-US"/>
        </w:rPr>
        <w:t>, br. 19997/02, st. 57</w:t>
      </w:r>
      <w:r>
        <w:rPr>
          <w:szCs w:val="24"/>
          <w:lang w:val="hr-HR" w:eastAsia="en-US"/>
        </w:rPr>
        <w:t>.</w:t>
      </w:r>
      <w:r w:rsidRPr="007E66EE">
        <w:rPr>
          <w:szCs w:val="24"/>
          <w:lang w:val="hr-HR" w:eastAsia="en-US"/>
        </w:rPr>
        <w:t>, ECHR 2007</w:t>
      </w:r>
      <w:r w:rsidRPr="007E66EE">
        <w:rPr>
          <w:szCs w:val="24"/>
          <w:lang w:val="hr-HR" w:eastAsia="en-US"/>
        </w:rPr>
        <w:noBreakHyphen/>
        <w:t>II).</w:t>
      </w:r>
    </w:p>
    <w:p w:rsidR="000610A7" w:rsidRPr="007E66EE" w:rsidRDefault="000610A7" w:rsidP="007F5CC1">
      <w:pPr>
        <w:pStyle w:val="JuPara"/>
        <w:outlineLvl w:val="0"/>
        <w:rPr>
          <w:lang w:val="hr-HR"/>
        </w:rPr>
      </w:pPr>
      <w:r w:rsidRPr="007E66EE">
        <w:rPr>
          <w:lang w:val="hr-HR" w:eastAsia="en-US"/>
        </w:rPr>
        <w:fldChar w:fldCharType="begin"/>
      </w:r>
      <w:r w:rsidRPr="007E66EE">
        <w:rPr>
          <w:lang w:val="hr-HR" w:eastAsia="en-US"/>
        </w:rPr>
        <w:instrText xml:space="preserve"> SEQ level0 \*arabic </w:instrText>
      </w:r>
      <w:r w:rsidRPr="007E66EE">
        <w:rPr>
          <w:lang w:val="hr-HR" w:eastAsia="en-US"/>
        </w:rPr>
        <w:fldChar w:fldCharType="separate"/>
      </w:r>
      <w:r w:rsidRPr="007E66EE">
        <w:rPr>
          <w:noProof/>
          <w:lang w:val="hr-HR" w:eastAsia="en-US"/>
        </w:rPr>
        <w:t>73</w:t>
      </w:r>
      <w:r w:rsidRPr="007E66EE">
        <w:rPr>
          <w:lang w:val="hr-HR" w:eastAsia="en-US"/>
        </w:rPr>
        <w:fldChar w:fldCharType="end"/>
      </w:r>
      <w:r w:rsidRPr="007E66EE">
        <w:rPr>
          <w:lang w:val="hr-HR" w:eastAsia="en-US"/>
        </w:rPr>
        <w:t>.  Unatoč tome, postojanje takvih pitanja nije moglo opravdati korištenje uvredljivih karikatura ili izraza čak ni u kontekstu radnih odnosa (vidi st. 24</w:t>
      </w:r>
      <w:r>
        <w:rPr>
          <w:lang w:val="hr-HR" w:eastAsia="en-US"/>
        </w:rPr>
        <w:t>.</w:t>
      </w:r>
      <w:r w:rsidRPr="007E66EE">
        <w:rPr>
          <w:lang w:val="hr-HR" w:eastAsia="en-US"/>
        </w:rPr>
        <w:t xml:space="preserve"> gore, točka 154. citiranog Pregleda). Štoviše, sporni navodi nisu predstavljali trenutnu pogrešno odmjerenu reakciju u kontekstu brze i spontane usmene razmjene kao što je to sluča</w:t>
      </w:r>
      <w:r>
        <w:rPr>
          <w:lang w:val="hr-HR" w:eastAsia="en-US"/>
        </w:rPr>
        <w:t>j</w:t>
      </w:r>
      <w:r w:rsidRPr="007E66EE">
        <w:rPr>
          <w:lang w:val="hr-HR" w:eastAsia="en-US"/>
        </w:rPr>
        <w:t xml:space="preserve"> kod verbalnog pretjerivanja. Upravo suprotno, radilo se o pisanim navodima objavljenim na prilično lucidan način i izloženim u prostorijama društva </w:t>
      </w:r>
      <w:r w:rsidRPr="007E66EE">
        <w:rPr>
          <w:lang w:val="hr-HR"/>
        </w:rPr>
        <w:t xml:space="preserve">P. (usporedi </w:t>
      </w:r>
      <w:r w:rsidRPr="007E66EE">
        <w:rPr>
          <w:i/>
          <w:lang w:val="hr-HR"/>
        </w:rPr>
        <w:t xml:space="preserve">De Diego </w:t>
      </w:r>
      <w:proofErr w:type="spellStart"/>
      <w:r w:rsidRPr="007E66EE">
        <w:rPr>
          <w:i/>
          <w:lang w:val="hr-HR"/>
        </w:rPr>
        <w:t>Nafria</w:t>
      </w:r>
      <w:proofErr w:type="spellEnd"/>
      <w:r w:rsidRPr="007E66EE">
        <w:rPr>
          <w:lang w:val="hr-HR"/>
        </w:rPr>
        <w:t>, prethodno citirano, st. 41.).</w:t>
      </w:r>
    </w:p>
    <w:p w:rsidR="000610A7" w:rsidRPr="007E66EE" w:rsidRDefault="000610A7" w:rsidP="007F5CC1">
      <w:pPr>
        <w:pStyle w:val="JuPara"/>
        <w:outlineLvl w:val="0"/>
        <w:rPr>
          <w:lang w:val="hr-HR"/>
        </w:rPr>
      </w:pPr>
      <w:r w:rsidRPr="007E66EE">
        <w:rPr>
          <w:lang w:val="hr-HR"/>
        </w:rPr>
        <w:fldChar w:fldCharType="begin"/>
      </w:r>
      <w:r w:rsidRPr="007E66EE">
        <w:rPr>
          <w:lang w:val="hr-HR"/>
        </w:rPr>
        <w:instrText xml:space="preserve"> SEQ level0 \*arabic </w:instrText>
      </w:r>
      <w:r w:rsidRPr="007E66EE">
        <w:rPr>
          <w:lang w:val="hr-HR"/>
        </w:rPr>
        <w:fldChar w:fldCharType="separate"/>
      </w:r>
      <w:r w:rsidRPr="007E66EE">
        <w:rPr>
          <w:noProof/>
          <w:lang w:val="hr-HR"/>
        </w:rPr>
        <w:t>74</w:t>
      </w:r>
      <w:r w:rsidRPr="007E66EE">
        <w:rPr>
          <w:lang w:val="hr-HR"/>
        </w:rPr>
        <w:fldChar w:fldCharType="end"/>
      </w:r>
      <w:r w:rsidRPr="007E66EE">
        <w:rPr>
          <w:lang w:val="hr-HR"/>
        </w:rPr>
        <w:t xml:space="preserve">.  Prilikom odlučivanja o tužbi podnositelja zahtjeva, domaći sudovi uzeli su u obzir sve ove okolnosti. Detaljno su razmotrili sve činjenice slučaja </w:t>
      </w:r>
      <w:r w:rsidRPr="007E66EE">
        <w:rPr>
          <w:lang w:val="hr-HR"/>
        </w:rPr>
        <w:lastRenderedPageBreak/>
        <w:t>te su detaljno odvagali interese u pitanju, uzimajući u obzir granice prava na slobodu izražavanja kao i uzajamna prava i obveze specifičn</w:t>
      </w:r>
      <w:r>
        <w:rPr>
          <w:lang w:val="hr-HR"/>
        </w:rPr>
        <w:t>e</w:t>
      </w:r>
      <w:r w:rsidRPr="007E66EE">
        <w:rPr>
          <w:lang w:val="hr-HR"/>
        </w:rPr>
        <w:t xml:space="preserve"> za ugovore o radu i profesionalnu okolinu. Potvrdili su kazne izrečene od strane poslodavca, zaključivši da nisu bile nerazmjerne legitimnom cilju kojem su težile, naime zaštiti ugleda g. G., g. A i g. B. Nadalje su smatrali da sporno ponašanje nije izravno predstavljalo sindikalnu aktivnost podnositelja zahtjeva nego da je naprotiv povrijedilo načelo dobre vjere u radnim odnosima i nije ispunilo minimalne uvjete suživota u profesionalnoj okolini (vidi st. 15</w:t>
      </w:r>
      <w:r>
        <w:rPr>
          <w:lang w:val="hr-HR"/>
        </w:rPr>
        <w:t>.</w:t>
      </w:r>
      <w:r w:rsidRPr="007E66EE">
        <w:rPr>
          <w:lang w:val="hr-HR"/>
        </w:rPr>
        <w:t xml:space="preserve"> gore). Naposljetku, sudovi su se ovom slučaju uvelike pozivali na praksu Ustavnog suda koja se odnosi na pravo slobode izražavanja u radnim odnosima, te koja naglašava da ta sloboda nije neograničena. Prema mišljenju Suda, zaključci domaćih sudova ne mogu se smatrati nerazumnima. S tim u svezi primjećuje da, osim što su bili uvredljivi, sporna </w:t>
      </w:r>
      <w:proofErr w:type="spellStart"/>
      <w:r w:rsidRPr="007E66EE">
        <w:rPr>
          <w:lang w:val="hr-HR"/>
        </w:rPr>
        <w:t>kartikatura</w:t>
      </w:r>
      <w:proofErr w:type="spellEnd"/>
      <w:r w:rsidRPr="007E66EE">
        <w:rPr>
          <w:lang w:val="hr-HR"/>
        </w:rPr>
        <w:t xml:space="preserve"> i tekstovi bili su više namijenjeni kao napad na kolege koji su svjedočili pred sudovima nego sredstvo promicanja njihove sindikalne aktivnosti </w:t>
      </w:r>
      <w:r w:rsidRPr="007E66EE">
        <w:rPr>
          <w:i/>
          <w:lang w:val="hr-HR"/>
        </w:rPr>
        <w:t>vis-à-vis</w:t>
      </w:r>
      <w:r w:rsidRPr="007E66EE">
        <w:rPr>
          <w:lang w:val="hr-HR"/>
        </w:rPr>
        <w:t xml:space="preserve"> poslodavca.</w:t>
      </w:r>
    </w:p>
    <w:p w:rsidR="000610A7" w:rsidRPr="007E66EE" w:rsidRDefault="000610A7" w:rsidP="007F5CC1">
      <w:pPr>
        <w:pStyle w:val="JuPara"/>
        <w:outlineLvl w:val="0"/>
        <w:rPr>
          <w:lang w:val="hr-HR"/>
        </w:rPr>
      </w:pPr>
      <w:r w:rsidRPr="007E66EE">
        <w:rPr>
          <w:lang w:val="hr-HR"/>
        </w:rPr>
        <w:fldChar w:fldCharType="begin"/>
      </w:r>
      <w:r w:rsidRPr="007E66EE">
        <w:rPr>
          <w:lang w:val="hr-HR"/>
        </w:rPr>
        <w:instrText xml:space="preserve"> SEQ level0 \*arabic </w:instrText>
      </w:r>
      <w:r w:rsidRPr="007E66EE">
        <w:rPr>
          <w:lang w:val="hr-HR"/>
        </w:rPr>
        <w:fldChar w:fldCharType="separate"/>
      </w:r>
      <w:r w:rsidRPr="007E66EE">
        <w:rPr>
          <w:noProof/>
          <w:lang w:val="hr-HR"/>
        </w:rPr>
        <w:t>75</w:t>
      </w:r>
      <w:r w:rsidRPr="007E66EE">
        <w:rPr>
          <w:lang w:val="hr-HR"/>
        </w:rPr>
        <w:fldChar w:fldCharType="end"/>
      </w:r>
      <w:r w:rsidRPr="007E66EE">
        <w:rPr>
          <w:lang w:val="hr-HR"/>
        </w:rPr>
        <w:t>.  </w:t>
      </w:r>
      <w:r>
        <w:rPr>
          <w:lang w:val="hr-HR"/>
        </w:rPr>
        <w:t xml:space="preserve">Štoviše, studija </w:t>
      </w:r>
      <w:proofErr w:type="spellStart"/>
      <w:r>
        <w:rPr>
          <w:lang w:val="hr-HR"/>
        </w:rPr>
        <w:t>komparativno</w:t>
      </w:r>
      <w:r w:rsidRPr="007E66EE">
        <w:rPr>
          <w:lang w:val="hr-HR"/>
        </w:rPr>
        <w:t>pravnih</w:t>
      </w:r>
      <w:proofErr w:type="spellEnd"/>
      <w:r w:rsidRPr="007E66EE">
        <w:rPr>
          <w:lang w:val="hr-HR"/>
        </w:rPr>
        <w:t xml:space="preserve"> materijala dostupnih Sudu pokazuje da poslodavci općenito imaju široko polje diskrecije u odlučivanju o sankciji koja je najpodobnija za konkretne optužbe protiv zaposlenika</w:t>
      </w:r>
      <w:r w:rsidRPr="007E66EE">
        <w:rPr>
          <w:lang w:val="hr-HR" w:eastAsia="en-US"/>
        </w:rPr>
        <w:t>; paleta mogućih sankcija obuhvaća prav</w:t>
      </w:r>
      <w:r>
        <w:rPr>
          <w:lang w:val="hr-HR" w:eastAsia="en-US"/>
        </w:rPr>
        <w:t>o</w:t>
      </w:r>
      <w:r w:rsidRPr="007E66EE">
        <w:rPr>
          <w:lang w:val="hr-HR" w:eastAsia="en-US"/>
        </w:rPr>
        <w:t xml:space="preserve"> otkaza osobi koja je na ozbiljan način dovela u pitanje interese društva. U razmotrenim zemljama domaće zakonodavstvo pokušava pomiriti prava zaposlenika na slobodu izražavanja s pravima i povlasticama poslodavca </w:t>
      </w:r>
      <w:r>
        <w:rPr>
          <w:lang w:val="hr-HR" w:eastAsia="en-US"/>
        </w:rPr>
        <w:t>što</w:t>
      </w:r>
      <w:r w:rsidRPr="007E66EE">
        <w:rPr>
          <w:lang w:val="hr-HR" w:eastAsia="en-US"/>
        </w:rPr>
        <w:t xml:space="preserve"> prvenstveno zahtijeva da svaka mjera otkaza bude razmjerna ponašanju zaposlenika protiv kojeg se poduzima </w:t>
      </w:r>
      <w:r w:rsidRPr="007E66EE">
        <w:rPr>
          <w:lang w:val="hr-HR"/>
        </w:rPr>
        <w:t>(vidi st. 27. i 30-31. gore). Homogenost europskih pravnih sustava u ovom području je bitan faktor prilikom balansiranja različitih prava i interesa koja su u pitanju u ovom slučaju.</w:t>
      </w:r>
    </w:p>
    <w:p w:rsidR="000610A7" w:rsidRPr="007E66EE" w:rsidRDefault="000610A7" w:rsidP="003E4288">
      <w:pPr>
        <w:pStyle w:val="JuPara"/>
        <w:rPr>
          <w:lang w:val="hr-HR" w:eastAsia="en-US"/>
        </w:rPr>
      </w:pPr>
      <w:r w:rsidRPr="007E66EE">
        <w:rPr>
          <w:lang w:val="hr-HR"/>
        </w:rPr>
        <w:fldChar w:fldCharType="begin"/>
      </w:r>
      <w:r w:rsidRPr="007E66EE">
        <w:rPr>
          <w:lang w:val="hr-HR"/>
        </w:rPr>
        <w:instrText xml:space="preserve"> SEQ level0 \*arabic </w:instrText>
      </w:r>
      <w:r w:rsidRPr="007E66EE">
        <w:rPr>
          <w:lang w:val="hr-HR"/>
        </w:rPr>
        <w:fldChar w:fldCharType="separate"/>
      </w:r>
      <w:r w:rsidRPr="007E66EE">
        <w:rPr>
          <w:noProof/>
          <w:lang w:val="hr-HR"/>
        </w:rPr>
        <w:t>76</w:t>
      </w:r>
      <w:r w:rsidRPr="007E66EE">
        <w:rPr>
          <w:lang w:val="hr-HR"/>
        </w:rPr>
        <w:fldChar w:fldCharType="end"/>
      </w:r>
      <w:r w:rsidRPr="007E66EE">
        <w:rPr>
          <w:lang w:val="hr-HR"/>
        </w:rPr>
        <w:t xml:space="preserve">.  Sud primjećuje da se radni odnosi, kako bi bili uspješni, moraju temeljiti na uzajamnom povjerenju. Kao što je to Radni sud pravilno istaknuo, čak i ako zahtjev za ponašanjem u dobroj vjeri ne podrazumijeva i apsolutnu dužnost lojalnosti prema poslodavcu kao niti dužnost diskrecije do te mjere da radnik bude podvrgnut interesima poslodavca, određene pojave prava slobode izražavanja koje mogu biti legitimne u drugim kontekstima, nisu nužno legitimne i u radnim odnosima (vidi, </w:t>
      </w:r>
      <w:proofErr w:type="spellStart"/>
      <w:r w:rsidRPr="007E66EE">
        <w:rPr>
          <w:i/>
          <w:lang w:val="hr-HR"/>
        </w:rPr>
        <w:t>mutatis</w:t>
      </w:r>
      <w:proofErr w:type="spellEnd"/>
      <w:r w:rsidRPr="007E66EE">
        <w:rPr>
          <w:i/>
          <w:lang w:val="hr-HR"/>
        </w:rPr>
        <w:t xml:space="preserve"> </w:t>
      </w:r>
      <w:proofErr w:type="spellStart"/>
      <w:r w:rsidRPr="007E66EE">
        <w:rPr>
          <w:i/>
          <w:lang w:val="hr-HR"/>
        </w:rPr>
        <w:t>mutandis</w:t>
      </w:r>
      <w:proofErr w:type="spellEnd"/>
      <w:r w:rsidRPr="007E66EE">
        <w:rPr>
          <w:lang w:val="hr-HR"/>
        </w:rPr>
        <w:t xml:space="preserve">, </w:t>
      </w:r>
      <w:proofErr w:type="spellStart"/>
      <w:r w:rsidRPr="007E66EE">
        <w:rPr>
          <w:i/>
          <w:lang w:val="hr-HR" w:eastAsia="en-US"/>
        </w:rPr>
        <w:t>Vogt</w:t>
      </w:r>
      <w:proofErr w:type="spellEnd"/>
      <w:r w:rsidRPr="007E66EE">
        <w:rPr>
          <w:i/>
          <w:lang w:val="hr-HR" w:eastAsia="en-US"/>
        </w:rPr>
        <w:t xml:space="preserve"> protiv Njemačke</w:t>
      </w:r>
      <w:r w:rsidRPr="007E66EE">
        <w:rPr>
          <w:lang w:val="hr-HR" w:eastAsia="en-US"/>
        </w:rPr>
        <w:t>, 26. rujna 1995., st 51. i 59., Serija A br. 323). Nadalje, napad na ugled pojedinaca korištenjem grubo vrijeđajućih ili uvredljivih izraza u profesionalnoj okolini je zbog svog razornog učinka posebice ozbiljan oblik nedoličnog ponašanja koje može imati za posljedicu vrlo oštre sankcije.</w:t>
      </w:r>
    </w:p>
    <w:p w:rsidR="000610A7" w:rsidRDefault="000610A7" w:rsidP="003E4288">
      <w:pPr>
        <w:pStyle w:val="JuPara"/>
        <w:rPr>
          <w:lang w:val="hr-HR" w:eastAsia="en-US"/>
        </w:rPr>
      </w:pPr>
      <w:r w:rsidRPr="007E66EE">
        <w:rPr>
          <w:lang w:val="hr-HR" w:eastAsia="en-US"/>
        </w:rPr>
        <w:fldChar w:fldCharType="begin"/>
      </w:r>
      <w:r w:rsidRPr="007E66EE">
        <w:rPr>
          <w:lang w:val="hr-HR" w:eastAsia="en-US"/>
        </w:rPr>
        <w:instrText xml:space="preserve"> SEQ level0 \*arabic </w:instrText>
      </w:r>
      <w:r w:rsidRPr="007E66EE">
        <w:rPr>
          <w:lang w:val="hr-HR" w:eastAsia="en-US"/>
        </w:rPr>
        <w:fldChar w:fldCharType="separate"/>
      </w:r>
      <w:r w:rsidRPr="007E66EE">
        <w:rPr>
          <w:noProof/>
          <w:lang w:val="hr-HR" w:eastAsia="en-US"/>
        </w:rPr>
        <w:t>77</w:t>
      </w:r>
      <w:r w:rsidRPr="007E66EE">
        <w:rPr>
          <w:lang w:val="hr-HR" w:eastAsia="en-US"/>
        </w:rPr>
        <w:fldChar w:fldCharType="end"/>
      </w:r>
      <w:r w:rsidRPr="007E66EE">
        <w:rPr>
          <w:lang w:val="hr-HR" w:eastAsia="en-US"/>
        </w:rPr>
        <w:t>.  Na temelju navedenog Sud zaključuje da u specifičnim okolnostima ovog slučaja mjera otkaza izrečena podnositeljima zahtjeva nije bila očito nerazm</w:t>
      </w:r>
      <w:r>
        <w:rPr>
          <w:lang w:val="hr-HR" w:eastAsia="en-US"/>
        </w:rPr>
        <w:t>jerna ili prekomjerna sankcija k</w:t>
      </w:r>
      <w:r w:rsidRPr="007E66EE">
        <w:rPr>
          <w:lang w:val="hr-HR" w:eastAsia="en-US"/>
        </w:rPr>
        <w:t>oja bi zahtijevala od države da poništi istu ili ju zamijeni blažom mjerom.</w:t>
      </w:r>
    </w:p>
    <w:p w:rsidR="000610A7" w:rsidRPr="007E66EE" w:rsidRDefault="000610A7" w:rsidP="00324550">
      <w:pPr>
        <w:pStyle w:val="JuHi"/>
        <w:rPr>
          <w:lang w:val="hr-HR"/>
        </w:rPr>
      </w:pPr>
      <w:r w:rsidRPr="007E66EE">
        <w:rPr>
          <w:lang w:val="hr-HR"/>
        </w:rPr>
        <w:lastRenderedPageBreak/>
        <w:t>(iii) Zaključak</w:t>
      </w:r>
    </w:p>
    <w:p w:rsidR="000610A7" w:rsidRDefault="000610A7" w:rsidP="007F5CC1">
      <w:pPr>
        <w:pStyle w:val="JuPara"/>
        <w:outlineLvl w:val="0"/>
        <w:rPr>
          <w:lang w:val="hr-HR"/>
        </w:rPr>
      </w:pPr>
      <w:r w:rsidRPr="007E66EE">
        <w:rPr>
          <w:lang w:val="hr-HR"/>
        </w:rPr>
        <w:fldChar w:fldCharType="begin"/>
      </w:r>
      <w:r w:rsidRPr="007E66EE">
        <w:rPr>
          <w:lang w:val="hr-HR"/>
        </w:rPr>
        <w:instrText xml:space="preserve"> SEQ level0 \*arabic </w:instrText>
      </w:r>
      <w:r w:rsidRPr="007E66EE">
        <w:rPr>
          <w:lang w:val="hr-HR"/>
        </w:rPr>
        <w:fldChar w:fldCharType="separate"/>
      </w:r>
      <w:r w:rsidRPr="007E66EE">
        <w:rPr>
          <w:noProof/>
          <w:lang w:val="hr-HR"/>
        </w:rPr>
        <w:t>78</w:t>
      </w:r>
      <w:r w:rsidRPr="007E66EE">
        <w:rPr>
          <w:lang w:val="hr-HR"/>
        </w:rPr>
        <w:fldChar w:fldCharType="end"/>
      </w:r>
      <w:r w:rsidRPr="007E66EE">
        <w:rPr>
          <w:lang w:val="hr-HR"/>
        </w:rPr>
        <w:t>.  U takvim okolnostima, Sud zaključuje da tužena država nije propustila ispuniti svoje pozitivne obveze prema podnositeljima zahtjeva pod člankom 10., shvaćenim u svjetlu članka 11.</w:t>
      </w:r>
    </w:p>
    <w:p w:rsidR="000610A7" w:rsidRDefault="000610A7" w:rsidP="007F5CC1">
      <w:pPr>
        <w:pStyle w:val="JuPara"/>
        <w:outlineLvl w:val="0"/>
        <w:rPr>
          <w:lang w:val="hr-HR"/>
        </w:rPr>
      </w:pPr>
      <w:r w:rsidRPr="007E66EE">
        <w:rPr>
          <w:lang w:val="hr-HR"/>
        </w:rPr>
        <w:fldChar w:fldCharType="begin"/>
      </w:r>
      <w:r w:rsidRPr="007E66EE">
        <w:rPr>
          <w:lang w:val="hr-HR"/>
        </w:rPr>
        <w:instrText xml:space="preserve"> SEQ level0 \*arabic </w:instrText>
      </w:r>
      <w:r w:rsidRPr="007E66EE">
        <w:rPr>
          <w:lang w:val="hr-HR"/>
        </w:rPr>
        <w:fldChar w:fldCharType="separate"/>
      </w:r>
      <w:r w:rsidRPr="007E66EE">
        <w:rPr>
          <w:noProof/>
          <w:lang w:val="hr-HR"/>
        </w:rPr>
        <w:t>79</w:t>
      </w:r>
      <w:r w:rsidRPr="007E66EE">
        <w:rPr>
          <w:lang w:val="hr-HR"/>
        </w:rPr>
        <w:fldChar w:fldCharType="end"/>
      </w:r>
      <w:r w:rsidRPr="007E66EE">
        <w:rPr>
          <w:lang w:val="hr-HR"/>
        </w:rPr>
        <w:t>.  Stoga nije došlo do povrede članka 10., shvaćenog u svjetlu članka 11.</w:t>
      </w:r>
    </w:p>
    <w:p w:rsidR="000610A7" w:rsidRPr="007E66EE" w:rsidRDefault="000610A7" w:rsidP="00AF23DA">
      <w:pPr>
        <w:pStyle w:val="JuHHead"/>
        <w:rPr>
          <w:lang w:val="hr-HR"/>
        </w:rPr>
      </w:pPr>
      <w:r w:rsidRPr="007E66EE">
        <w:rPr>
          <w:lang w:val="hr-HR"/>
        </w:rPr>
        <w:t>IZ TIH RAZLOGA, SUD</w:t>
      </w:r>
    </w:p>
    <w:p w:rsidR="000610A7" w:rsidRPr="007E66EE" w:rsidRDefault="000610A7" w:rsidP="00E23565">
      <w:pPr>
        <w:pStyle w:val="JuList"/>
        <w:ind w:firstLine="0"/>
        <w:rPr>
          <w:lang w:val="hr-HR"/>
        </w:rPr>
      </w:pPr>
      <w:r w:rsidRPr="007E66EE">
        <w:rPr>
          <w:i/>
          <w:lang w:val="hr-HR"/>
        </w:rPr>
        <w:t>Presuđuje,</w:t>
      </w:r>
      <w:r w:rsidRPr="007E66EE">
        <w:rPr>
          <w:lang w:val="hr-HR"/>
        </w:rPr>
        <w:t xml:space="preserve"> s dvanaest glasova za i pet protiv, da nije došlo do povrede članka 10</w:t>
      </w:r>
      <w:r>
        <w:rPr>
          <w:lang w:val="hr-HR"/>
        </w:rPr>
        <w:t>.</w:t>
      </w:r>
      <w:r w:rsidRPr="007E66EE">
        <w:rPr>
          <w:lang w:val="hr-HR"/>
        </w:rPr>
        <w:t xml:space="preserve"> Konvencije, shvaćenog u svjetlu članka 11.</w:t>
      </w:r>
    </w:p>
    <w:p w:rsidR="000610A7" w:rsidRPr="007E66EE" w:rsidRDefault="000610A7" w:rsidP="000C5228">
      <w:pPr>
        <w:pStyle w:val="JuParaLast"/>
        <w:rPr>
          <w:lang w:val="hr-HR"/>
        </w:rPr>
      </w:pPr>
      <w:r w:rsidRPr="007E66EE">
        <w:rPr>
          <w:szCs w:val="24"/>
          <w:lang w:val="hr-HR"/>
        </w:rPr>
        <w:t xml:space="preserve">Sastavljeno na engleskom i francuskom jeziku i objavljeno na javnoj raspravi u Zgradi ljudskih prava u </w:t>
      </w:r>
      <w:proofErr w:type="spellStart"/>
      <w:r w:rsidRPr="007E66EE">
        <w:rPr>
          <w:szCs w:val="24"/>
          <w:lang w:val="hr-HR"/>
        </w:rPr>
        <w:t>Strasbourgu</w:t>
      </w:r>
      <w:proofErr w:type="spellEnd"/>
      <w:r w:rsidRPr="007E66EE">
        <w:rPr>
          <w:szCs w:val="24"/>
          <w:lang w:val="hr-HR"/>
        </w:rPr>
        <w:t xml:space="preserve"> dana </w:t>
      </w:r>
      <w:r w:rsidRPr="007E66EE">
        <w:rPr>
          <w:lang w:val="hr-HR"/>
        </w:rPr>
        <w:t>12. rujna 2011.</w:t>
      </w:r>
    </w:p>
    <w:p w:rsidR="000610A7" w:rsidRPr="007E66EE" w:rsidRDefault="000610A7" w:rsidP="007815D2">
      <w:pPr>
        <w:pStyle w:val="JuSigned"/>
        <w:keepNext/>
        <w:keepLines/>
        <w:rPr>
          <w:lang w:val="hr-HR"/>
        </w:rPr>
      </w:pPr>
      <w:r w:rsidRPr="007E66EE">
        <w:rPr>
          <w:lang w:val="hr-HR"/>
        </w:rPr>
        <w:tab/>
        <w:t xml:space="preserve">Vincent </w:t>
      </w:r>
      <w:proofErr w:type="spellStart"/>
      <w:r w:rsidRPr="007E66EE">
        <w:rPr>
          <w:lang w:val="hr-HR"/>
        </w:rPr>
        <w:t>Berger</w:t>
      </w:r>
      <w:proofErr w:type="spellEnd"/>
      <w:r w:rsidRPr="007E66EE">
        <w:rPr>
          <w:lang w:val="hr-HR"/>
        </w:rPr>
        <w:tab/>
        <w:t xml:space="preserve">Nicolas </w:t>
      </w:r>
      <w:proofErr w:type="spellStart"/>
      <w:r w:rsidRPr="007E66EE">
        <w:rPr>
          <w:lang w:val="hr-HR"/>
        </w:rPr>
        <w:t>Bratza</w:t>
      </w:r>
      <w:proofErr w:type="spellEnd"/>
      <w:r w:rsidRPr="007E66EE">
        <w:rPr>
          <w:lang w:val="hr-HR"/>
        </w:rPr>
        <w:br/>
      </w:r>
      <w:r w:rsidRPr="007E66EE">
        <w:rPr>
          <w:lang w:val="hr-HR"/>
        </w:rPr>
        <w:tab/>
      </w:r>
      <w:proofErr w:type="spellStart"/>
      <w:r w:rsidRPr="007E66EE">
        <w:rPr>
          <w:iCs/>
          <w:lang w:val="hr-HR"/>
        </w:rPr>
        <w:t>Jurisconsult</w:t>
      </w:r>
      <w:proofErr w:type="spellEnd"/>
      <w:r w:rsidRPr="007E66EE">
        <w:rPr>
          <w:lang w:val="hr-HR"/>
        </w:rPr>
        <w:tab/>
        <w:t>Predsjednik</w:t>
      </w:r>
    </w:p>
    <w:p w:rsidR="000610A7" w:rsidRPr="006237C8" w:rsidRDefault="000610A7" w:rsidP="008C0136">
      <w:pPr>
        <w:pStyle w:val="JuParaLast"/>
        <w:rPr>
          <w:lang w:val="hr-HR"/>
        </w:rPr>
      </w:pPr>
      <w:r>
        <w:rPr>
          <w:lang w:val="hr-HR"/>
        </w:rPr>
        <w:t xml:space="preserve">U skladu s člankom </w:t>
      </w:r>
      <w:r w:rsidRPr="006237C8">
        <w:rPr>
          <w:lang w:val="hr-HR"/>
        </w:rPr>
        <w:t>45</w:t>
      </w:r>
      <w:r>
        <w:rPr>
          <w:lang w:val="hr-HR"/>
        </w:rPr>
        <w:t xml:space="preserve">. st. </w:t>
      </w:r>
      <w:r w:rsidRPr="006237C8">
        <w:rPr>
          <w:lang w:val="hr-HR"/>
        </w:rPr>
        <w:t>2</w:t>
      </w:r>
      <w:r>
        <w:rPr>
          <w:lang w:val="hr-HR"/>
        </w:rPr>
        <w:t>. Konvencije i pravilom</w:t>
      </w:r>
      <w:r w:rsidRPr="006237C8">
        <w:rPr>
          <w:lang w:val="hr-HR"/>
        </w:rPr>
        <w:t xml:space="preserve"> 74</w:t>
      </w:r>
      <w:r>
        <w:rPr>
          <w:lang w:val="hr-HR"/>
        </w:rPr>
        <w:t xml:space="preserve">. st. </w:t>
      </w:r>
      <w:r w:rsidRPr="006237C8">
        <w:rPr>
          <w:lang w:val="hr-HR"/>
        </w:rPr>
        <w:t>2</w:t>
      </w:r>
      <w:r>
        <w:rPr>
          <w:lang w:val="hr-HR"/>
        </w:rPr>
        <w:t xml:space="preserve">. Poslovnika Suda, izdvojeno mišljenje sudaca </w:t>
      </w:r>
      <w:proofErr w:type="spellStart"/>
      <w:r>
        <w:rPr>
          <w:lang w:val="hr-HR"/>
        </w:rPr>
        <w:t>Tulkens</w:t>
      </w:r>
      <w:proofErr w:type="spellEnd"/>
      <w:r>
        <w:rPr>
          <w:lang w:val="hr-HR"/>
        </w:rPr>
        <w:t xml:space="preserve">, David </w:t>
      </w:r>
      <w:proofErr w:type="spellStart"/>
      <w:r w:rsidRPr="007E66EE">
        <w:rPr>
          <w:rStyle w:val="JuJudgesChar"/>
          <w:lang w:val="hr-HR"/>
        </w:rPr>
        <w:t>Thór</w:t>
      </w:r>
      <w:proofErr w:type="spellEnd"/>
      <w:r w:rsidRPr="007E66EE">
        <w:rPr>
          <w:rStyle w:val="JuJudgesChar"/>
          <w:lang w:val="hr-HR"/>
        </w:rPr>
        <w:t xml:space="preserve"> </w:t>
      </w:r>
      <w:proofErr w:type="spellStart"/>
      <w:r w:rsidRPr="007E66EE">
        <w:rPr>
          <w:rStyle w:val="JuJudgesChar"/>
          <w:lang w:val="hr-HR"/>
        </w:rPr>
        <w:t>Björgvinsson</w:t>
      </w:r>
      <w:r>
        <w:rPr>
          <w:rStyle w:val="JuJudgesChar"/>
          <w:lang w:val="hr-HR"/>
        </w:rPr>
        <w:t>a</w:t>
      </w:r>
      <w:proofErr w:type="spellEnd"/>
      <w:r>
        <w:rPr>
          <w:lang w:val="hr-HR"/>
        </w:rPr>
        <w:t xml:space="preserve">, </w:t>
      </w:r>
      <w:proofErr w:type="spellStart"/>
      <w:r w:rsidRPr="007E66EE">
        <w:rPr>
          <w:rStyle w:val="JuJudgesChar"/>
          <w:lang w:val="hr-HR"/>
        </w:rPr>
        <w:t>Jočienė</w:t>
      </w:r>
      <w:proofErr w:type="spellEnd"/>
      <w:r>
        <w:rPr>
          <w:lang w:val="hr-HR"/>
        </w:rPr>
        <w:t xml:space="preserve">, Popovića i </w:t>
      </w:r>
      <w:proofErr w:type="spellStart"/>
      <w:r>
        <w:rPr>
          <w:lang w:val="hr-HR"/>
        </w:rPr>
        <w:t>Vučinića</w:t>
      </w:r>
      <w:proofErr w:type="spellEnd"/>
      <w:r>
        <w:rPr>
          <w:lang w:val="hr-HR"/>
        </w:rPr>
        <w:t xml:space="preserve"> nalazi se u aneksu ove presude</w:t>
      </w:r>
      <w:r w:rsidRPr="006237C8">
        <w:rPr>
          <w:lang w:val="hr-HR"/>
        </w:rPr>
        <w:t>.</w:t>
      </w:r>
    </w:p>
    <w:p w:rsidR="000610A7" w:rsidRDefault="000610A7" w:rsidP="00C502B3">
      <w:pPr>
        <w:jc w:val="both"/>
        <w:rPr>
          <w:sz w:val="20"/>
          <w:lang w:val="hr-HR"/>
        </w:rPr>
      </w:pPr>
    </w:p>
    <w:p w:rsidR="000610A7" w:rsidRDefault="000610A7" w:rsidP="00C502B3">
      <w:pPr>
        <w:jc w:val="both"/>
        <w:rPr>
          <w:sz w:val="20"/>
          <w:lang w:val="hr-HR"/>
        </w:rPr>
      </w:pPr>
      <w:r w:rsidRPr="007E66EE">
        <w:rPr>
          <w:sz w:val="20"/>
          <w:lang w:val="hr-HR"/>
        </w:rPr>
        <w:t>© Vijeće Europe/Europski sud za ljudska prava, 2012.</w:t>
      </w:r>
    </w:p>
    <w:p w:rsidR="000610A7" w:rsidRPr="007E66EE" w:rsidRDefault="000610A7" w:rsidP="00C502B3">
      <w:pPr>
        <w:jc w:val="both"/>
        <w:rPr>
          <w:sz w:val="20"/>
          <w:lang w:val="hr-HR"/>
        </w:rPr>
      </w:pPr>
      <w:r w:rsidRPr="007E66EE">
        <w:rPr>
          <w:sz w:val="20"/>
          <w:lang w:val="hr-HR"/>
        </w:rPr>
        <w:t>Službeni jezici Europskog suda za ljudska prava su engleski i francuski. Ovaj prijevod je financiran uz podršku Zaklade za ljudska prava Vijeća Europe (</w:t>
      </w:r>
      <w:hyperlink r:id="rId14" w:history="1">
        <w:r w:rsidRPr="007E66EE">
          <w:rPr>
            <w:rStyle w:val="Hyperlink"/>
            <w:sz w:val="20"/>
            <w:lang w:val="hr-HR"/>
          </w:rPr>
          <w:t>www.coe.int/humanrightstrustfund</w:t>
        </w:r>
      </w:hyperlink>
      <w:r w:rsidRPr="007E66EE">
        <w:rPr>
          <w:sz w:val="20"/>
          <w:lang w:val="hr-HR"/>
        </w:rPr>
        <w:t>). Ovaj prijevod ne obvezuje Sud niti je isti odgovoran za njegovu kvalitetu. Prijevod se može preuzeti iz HUDOC baze podataka sudske prakse Europskog suda za ljudska prava (</w:t>
      </w:r>
      <w:hyperlink r:id="rId15" w:history="1">
        <w:r w:rsidRPr="007E66EE">
          <w:rPr>
            <w:rStyle w:val="Hyperlink"/>
            <w:sz w:val="20"/>
            <w:lang w:val="hr-HR"/>
          </w:rPr>
          <w:t>http://hudoc.echr.coe.int</w:t>
        </w:r>
      </w:hyperlink>
      <w:r w:rsidRPr="007E66EE">
        <w:rPr>
          <w:sz w:val="20"/>
          <w:lang w:val="hr-HR"/>
        </w:rPr>
        <w:t xml:space="preserve">) ili iz bilo koje druge baze podataka s kojom ga je Sud podijelio. Prijevod se može umnožavati u nekomercijalne svrhe pod uvjetom da se navede puni naziv predmeta, zajedno s naznakom autorskih prava i referencom na Zakladu za ljudska prava. Ukoliko se bilo koji dio ovog prijevoda namjerava koristiti u komercijalne svrhe, molimo kontaktirajte </w:t>
      </w:r>
      <w:hyperlink r:id="rId16" w:history="1">
        <w:r w:rsidRPr="007E66EE">
          <w:rPr>
            <w:rStyle w:val="Hyperlink"/>
            <w:sz w:val="20"/>
            <w:lang w:val="hr-HR"/>
          </w:rPr>
          <w:t>publishing@echr.coe.int</w:t>
        </w:r>
      </w:hyperlink>
      <w:r w:rsidRPr="007E66EE">
        <w:rPr>
          <w:sz w:val="20"/>
          <w:lang w:val="hr-HR"/>
        </w:rPr>
        <w:t>.</w:t>
      </w:r>
    </w:p>
    <w:p w:rsidR="000610A7" w:rsidRPr="007E66EE" w:rsidRDefault="000610A7" w:rsidP="00C502B3">
      <w:pPr>
        <w:jc w:val="both"/>
        <w:rPr>
          <w:sz w:val="20"/>
          <w:lang w:val="hr-HR"/>
        </w:rPr>
      </w:pPr>
    </w:p>
    <w:p w:rsidR="000610A7" w:rsidRDefault="000610A7" w:rsidP="00C502B3">
      <w:pPr>
        <w:jc w:val="both"/>
        <w:rPr>
          <w:sz w:val="20"/>
          <w:lang w:val="hr-HR"/>
        </w:rPr>
      </w:pPr>
      <w:r w:rsidRPr="007E66EE">
        <w:rPr>
          <w:sz w:val="20"/>
          <w:lang w:val="hr-HR"/>
        </w:rPr>
        <w:t xml:space="preserve">© </w:t>
      </w:r>
      <w:proofErr w:type="spellStart"/>
      <w:r w:rsidRPr="007E66EE">
        <w:rPr>
          <w:sz w:val="20"/>
          <w:lang w:val="hr-HR"/>
        </w:rPr>
        <w:t>Council</w:t>
      </w:r>
      <w:proofErr w:type="spellEnd"/>
      <w:r w:rsidRPr="007E66EE">
        <w:rPr>
          <w:sz w:val="20"/>
          <w:lang w:val="hr-HR"/>
        </w:rPr>
        <w:t xml:space="preserve"> </w:t>
      </w:r>
      <w:proofErr w:type="spellStart"/>
      <w:r w:rsidRPr="007E66EE">
        <w:rPr>
          <w:sz w:val="20"/>
          <w:lang w:val="hr-HR"/>
        </w:rPr>
        <w:t>of</w:t>
      </w:r>
      <w:proofErr w:type="spellEnd"/>
      <w:r w:rsidRPr="007E66EE">
        <w:rPr>
          <w:sz w:val="20"/>
          <w:lang w:val="hr-HR"/>
        </w:rPr>
        <w:t xml:space="preserve"> Europe/European Court </w:t>
      </w:r>
      <w:proofErr w:type="spellStart"/>
      <w:r w:rsidRPr="007E66EE">
        <w:rPr>
          <w:sz w:val="20"/>
          <w:lang w:val="hr-HR"/>
        </w:rPr>
        <w:t>of</w:t>
      </w:r>
      <w:proofErr w:type="spellEnd"/>
      <w:r w:rsidRPr="007E66EE">
        <w:rPr>
          <w:sz w:val="20"/>
          <w:lang w:val="hr-HR"/>
        </w:rPr>
        <w:t xml:space="preserve"> Human Rights 2012.</w:t>
      </w:r>
    </w:p>
    <w:p w:rsidR="000610A7" w:rsidRPr="007E66EE" w:rsidRDefault="000610A7" w:rsidP="00C502B3">
      <w:pPr>
        <w:jc w:val="both"/>
        <w:rPr>
          <w:sz w:val="20"/>
          <w:lang w:val="hr-HR"/>
        </w:rPr>
      </w:pPr>
      <w:proofErr w:type="spellStart"/>
      <w:r w:rsidRPr="007E66EE">
        <w:rPr>
          <w:sz w:val="20"/>
          <w:lang w:val="hr-HR"/>
        </w:rPr>
        <w:t>The</w:t>
      </w:r>
      <w:proofErr w:type="spellEnd"/>
      <w:r w:rsidRPr="007E66EE">
        <w:rPr>
          <w:sz w:val="20"/>
          <w:lang w:val="hr-HR"/>
        </w:rPr>
        <w:t xml:space="preserve"> </w:t>
      </w:r>
      <w:proofErr w:type="spellStart"/>
      <w:r w:rsidRPr="007E66EE">
        <w:rPr>
          <w:sz w:val="20"/>
          <w:lang w:val="hr-HR"/>
        </w:rPr>
        <w:t>official</w:t>
      </w:r>
      <w:proofErr w:type="spellEnd"/>
      <w:r w:rsidRPr="007E66EE">
        <w:rPr>
          <w:sz w:val="20"/>
          <w:lang w:val="hr-HR"/>
        </w:rPr>
        <w:t xml:space="preserve"> </w:t>
      </w:r>
      <w:proofErr w:type="spellStart"/>
      <w:r w:rsidRPr="007E66EE">
        <w:rPr>
          <w:sz w:val="20"/>
          <w:lang w:val="hr-HR"/>
        </w:rPr>
        <w:t>languages</w:t>
      </w:r>
      <w:proofErr w:type="spellEnd"/>
      <w:r w:rsidRPr="007E66EE">
        <w:rPr>
          <w:sz w:val="20"/>
          <w:lang w:val="hr-HR"/>
        </w:rPr>
        <w:t xml:space="preserve"> </w:t>
      </w:r>
      <w:proofErr w:type="spellStart"/>
      <w:r w:rsidRPr="007E66EE">
        <w:rPr>
          <w:sz w:val="20"/>
          <w:lang w:val="hr-HR"/>
        </w:rPr>
        <w:t>of</w:t>
      </w:r>
      <w:proofErr w:type="spellEnd"/>
      <w:r w:rsidRPr="007E66EE">
        <w:rPr>
          <w:sz w:val="20"/>
          <w:lang w:val="hr-HR"/>
        </w:rPr>
        <w:t xml:space="preserve"> </w:t>
      </w:r>
      <w:proofErr w:type="spellStart"/>
      <w:r w:rsidRPr="007E66EE">
        <w:rPr>
          <w:sz w:val="20"/>
          <w:lang w:val="hr-HR"/>
        </w:rPr>
        <w:t>the</w:t>
      </w:r>
      <w:proofErr w:type="spellEnd"/>
      <w:r w:rsidRPr="007E66EE">
        <w:rPr>
          <w:sz w:val="20"/>
          <w:lang w:val="hr-HR"/>
        </w:rPr>
        <w:t xml:space="preserve"> European Court </w:t>
      </w:r>
      <w:proofErr w:type="spellStart"/>
      <w:r w:rsidRPr="007E66EE">
        <w:rPr>
          <w:sz w:val="20"/>
          <w:lang w:val="hr-HR"/>
        </w:rPr>
        <w:t>of</w:t>
      </w:r>
      <w:proofErr w:type="spellEnd"/>
      <w:r w:rsidRPr="007E66EE">
        <w:rPr>
          <w:sz w:val="20"/>
          <w:lang w:val="hr-HR"/>
        </w:rPr>
        <w:t xml:space="preserve"> Human Rights are English </w:t>
      </w:r>
      <w:proofErr w:type="spellStart"/>
      <w:r w:rsidRPr="007E66EE">
        <w:rPr>
          <w:sz w:val="20"/>
          <w:lang w:val="hr-HR"/>
        </w:rPr>
        <w:t>and</w:t>
      </w:r>
      <w:proofErr w:type="spellEnd"/>
      <w:r w:rsidRPr="007E66EE">
        <w:rPr>
          <w:sz w:val="20"/>
          <w:lang w:val="hr-HR"/>
        </w:rPr>
        <w:t xml:space="preserve"> </w:t>
      </w:r>
      <w:proofErr w:type="spellStart"/>
      <w:r w:rsidRPr="007E66EE">
        <w:rPr>
          <w:sz w:val="20"/>
          <w:lang w:val="hr-HR"/>
        </w:rPr>
        <w:t>French</w:t>
      </w:r>
      <w:proofErr w:type="spellEnd"/>
      <w:r w:rsidRPr="007E66EE">
        <w:rPr>
          <w:sz w:val="20"/>
          <w:lang w:val="hr-HR"/>
        </w:rPr>
        <w:t xml:space="preserve">. </w:t>
      </w:r>
      <w:proofErr w:type="spellStart"/>
      <w:r w:rsidRPr="007E66EE">
        <w:rPr>
          <w:sz w:val="20"/>
          <w:lang w:val="hr-HR"/>
        </w:rPr>
        <w:t>This</w:t>
      </w:r>
      <w:proofErr w:type="spellEnd"/>
      <w:r w:rsidRPr="007E66EE">
        <w:rPr>
          <w:sz w:val="20"/>
          <w:lang w:val="hr-HR"/>
        </w:rPr>
        <w:t xml:space="preserve"> </w:t>
      </w:r>
      <w:proofErr w:type="spellStart"/>
      <w:r w:rsidRPr="007E66EE">
        <w:rPr>
          <w:sz w:val="20"/>
          <w:lang w:val="hr-HR"/>
        </w:rPr>
        <w:t>translation</w:t>
      </w:r>
      <w:proofErr w:type="spellEnd"/>
      <w:r w:rsidRPr="007E66EE">
        <w:rPr>
          <w:sz w:val="20"/>
          <w:lang w:val="hr-HR"/>
        </w:rPr>
        <w:t xml:space="preserve"> </w:t>
      </w:r>
      <w:proofErr w:type="spellStart"/>
      <w:r w:rsidRPr="007E66EE">
        <w:rPr>
          <w:sz w:val="20"/>
          <w:lang w:val="hr-HR"/>
        </w:rPr>
        <w:t>was</w:t>
      </w:r>
      <w:proofErr w:type="spellEnd"/>
      <w:r w:rsidRPr="007E66EE">
        <w:rPr>
          <w:sz w:val="20"/>
          <w:lang w:val="hr-HR"/>
        </w:rPr>
        <w:t xml:space="preserve"> </w:t>
      </w:r>
      <w:proofErr w:type="spellStart"/>
      <w:r w:rsidRPr="007E66EE">
        <w:rPr>
          <w:sz w:val="20"/>
          <w:lang w:val="hr-HR"/>
        </w:rPr>
        <w:t>commissioned</w:t>
      </w:r>
      <w:proofErr w:type="spellEnd"/>
      <w:r w:rsidRPr="007E66EE">
        <w:rPr>
          <w:sz w:val="20"/>
          <w:lang w:val="hr-HR"/>
        </w:rPr>
        <w:t xml:space="preserve"> </w:t>
      </w:r>
      <w:proofErr w:type="spellStart"/>
      <w:r w:rsidRPr="007E66EE">
        <w:rPr>
          <w:sz w:val="20"/>
          <w:lang w:val="hr-HR"/>
        </w:rPr>
        <w:t>with</w:t>
      </w:r>
      <w:proofErr w:type="spellEnd"/>
      <w:r w:rsidRPr="007E66EE">
        <w:rPr>
          <w:sz w:val="20"/>
          <w:lang w:val="hr-HR"/>
        </w:rPr>
        <w:t xml:space="preserve"> </w:t>
      </w:r>
      <w:proofErr w:type="spellStart"/>
      <w:r w:rsidRPr="007E66EE">
        <w:rPr>
          <w:sz w:val="20"/>
          <w:lang w:val="hr-HR"/>
        </w:rPr>
        <w:t>the</w:t>
      </w:r>
      <w:proofErr w:type="spellEnd"/>
      <w:r w:rsidRPr="007E66EE">
        <w:rPr>
          <w:sz w:val="20"/>
          <w:lang w:val="hr-HR"/>
        </w:rPr>
        <w:t xml:space="preserve"> </w:t>
      </w:r>
      <w:proofErr w:type="spellStart"/>
      <w:r w:rsidRPr="007E66EE">
        <w:rPr>
          <w:sz w:val="20"/>
          <w:lang w:val="hr-HR"/>
        </w:rPr>
        <w:t>support</w:t>
      </w:r>
      <w:proofErr w:type="spellEnd"/>
      <w:r w:rsidRPr="007E66EE">
        <w:rPr>
          <w:sz w:val="20"/>
          <w:lang w:val="hr-HR"/>
        </w:rPr>
        <w:t xml:space="preserve"> </w:t>
      </w:r>
      <w:proofErr w:type="spellStart"/>
      <w:r w:rsidRPr="007E66EE">
        <w:rPr>
          <w:sz w:val="20"/>
          <w:lang w:val="hr-HR"/>
        </w:rPr>
        <w:t>of</w:t>
      </w:r>
      <w:proofErr w:type="spellEnd"/>
      <w:r w:rsidRPr="007E66EE">
        <w:rPr>
          <w:sz w:val="20"/>
          <w:lang w:val="hr-HR"/>
        </w:rPr>
        <w:t xml:space="preserve"> </w:t>
      </w:r>
      <w:proofErr w:type="spellStart"/>
      <w:r w:rsidRPr="007E66EE">
        <w:rPr>
          <w:sz w:val="20"/>
          <w:lang w:val="hr-HR"/>
        </w:rPr>
        <w:t>the</w:t>
      </w:r>
      <w:proofErr w:type="spellEnd"/>
      <w:r w:rsidRPr="007E66EE">
        <w:rPr>
          <w:sz w:val="20"/>
          <w:lang w:val="hr-HR"/>
        </w:rPr>
        <w:t xml:space="preserve"> Human Rights Trust </w:t>
      </w:r>
      <w:proofErr w:type="spellStart"/>
      <w:r w:rsidRPr="007E66EE">
        <w:rPr>
          <w:sz w:val="20"/>
          <w:lang w:val="hr-HR"/>
        </w:rPr>
        <w:t>Fund</w:t>
      </w:r>
      <w:proofErr w:type="spellEnd"/>
      <w:r w:rsidRPr="007E66EE">
        <w:rPr>
          <w:sz w:val="20"/>
          <w:lang w:val="hr-HR"/>
        </w:rPr>
        <w:t xml:space="preserve"> </w:t>
      </w:r>
      <w:proofErr w:type="spellStart"/>
      <w:r w:rsidRPr="007E66EE">
        <w:rPr>
          <w:sz w:val="20"/>
          <w:lang w:val="hr-HR"/>
        </w:rPr>
        <w:t>of</w:t>
      </w:r>
      <w:proofErr w:type="spellEnd"/>
      <w:r w:rsidRPr="007E66EE">
        <w:rPr>
          <w:sz w:val="20"/>
          <w:lang w:val="hr-HR"/>
        </w:rPr>
        <w:t xml:space="preserve"> </w:t>
      </w:r>
      <w:proofErr w:type="spellStart"/>
      <w:r w:rsidRPr="007E66EE">
        <w:rPr>
          <w:sz w:val="20"/>
          <w:lang w:val="hr-HR"/>
        </w:rPr>
        <w:t>the</w:t>
      </w:r>
      <w:proofErr w:type="spellEnd"/>
      <w:r w:rsidRPr="007E66EE">
        <w:rPr>
          <w:sz w:val="20"/>
          <w:lang w:val="hr-HR"/>
        </w:rPr>
        <w:t xml:space="preserve"> </w:t>
      </w:r>
      <w:proofErr w:type="spellStart"/>
      <w:r w:rsidRPr="007E66EE">
        <w:rPr>
          <w:sz w:val="20"/>
          <w:lang w:val="hr-HR"/>
        </w:rPr>
        <w:t>Council</w:t>
      </w:r>
      <w:proofErr w:type="spellEnd"/>
      <w:r w:rsidRPr="007E66EE">
        <w:rPr>
          <w:sz w:val="20"/>
          <w:lang w:val="hr-HR"/>
        </w:rPr>
        <w:t xml:space="preserve"> </w:t>
      </w:r>
      <w:proofErr w:type="spellStart"/>
      <w:r w:rsidRPr="007E66EE">
        <w:rPr>
          <w:sz w:val="20"/>
          <w:lang w:val="hr-HR"/>
        </w:rPr>
        <w:t>of</w:t>
      </w:r>
      <w:proofErr w:type="spellEnd"/>
      <w:r w:rsidRPr="007E66EE">
        <w:rPr>
          <w:sz w:val="20"/>
          <w:lang w:val="hr-HR"/>
        </w:rPr>
        <w:t xml:space="preserve"> Europe (</w:t>
      </w:r>
      <w:hyperlink r:id="rId17" w:history="1">
        <w:r w:rsidRPr="007E66EE">
          <w:rPr>
            <w:rStyle w:val="Hyperlink"/>
            <w:sz w:val="20"/>
            <w:lang w:val="hr-HR"/>
          </w:rPr>
          <w:t>www.coe.int/humanrightstrustfund</w:t>
        </w:r>
      </w:hyperlink>
      <w:r w:rsidRPr="007E66EE">
        <w:rPr>
          <w:sz w:val="20"/>
          <w:lang w:val="hr-HR"/>
        </w:rPr>
        <w:t xml:space="preserve">). </w:t>
      </w:r>
      <w:proofErr w:type="spellStart"/>
      <w:r w:rsidRPr="007E66EE">
        <w:rPr>
          <w:sz w:val="20"/>
          <w:lang w:val="hr-HR"/>
        </w:rPr>
        <w:t>It</w:t>
      </w:r>
      <w:proofErr w:type="spellEnd"/>
      <w:r w:rsidRPr="007E66EE">
        <w:rPr>
          <w:sz w:val="20"/>
          <w:lang w:val="hr-HR"/>
        </w:rPr>
        <w:t xml:space="preserve"> </w:t>
      </w:r>
      <w:proofErr w:type="spellStart"/>
      <w:r w:rsidRPr="007E66EE">
        <w:rPr>
          <w:sz w:val="20"/>
          <w:lang w:val="hr-HR"/>
        </w:rPr>
        <w:t>does</w:t>
      </w:r>
      <w:proofErr w:type="spellEnd"/>
      <w:r w:rsidRPr="007E66EE">
        <w:rPr>
          <w:sz w:val="20"/>
          <w:lang w:val="hr-HR"/>
        </w:rPr>
        <w:t xml:space="preserve"> </w:t>
      </w:r>
      <w:proofErr w:type="spellStart"/>
      <w:r w:rsidRPr="007E66EE">
        <w:rPr>
          <w:sz w:val="20"/>
          <w:lang w:val="hr-HR"/>
        </w:rPr>
        <w:t>not</w:t>
      </w:r>
      <w:proofErr w:type="spellEnd"/>
      <w:r w:rsidRPr="007E66EE">
        <w:rPr>
          <w:sz w:val="20"/>
          <w:lang w:val="hr-HR"/>
        </w:rPr>
        <w:t xml:space="preserve"> </w:t>
      </w:r>
      <w:proofErr w:type="spellStart"/>
      <w:r w:rsidRPr="007E66EE">
        <w:rPr>
          <w:sz w:val="20"/>
          <w:lang w:val="hr-HR"/>
        </w:rPr>
        <w:t>bind</w:t>
      </w:r>
      <w:proofErr w:type="spellEnd"/>
      <w:r w:rsidRPr="007E66EE">
        <w:rPr>
          <w:sz w:val="20"/>
          <w:lang w:val="hr-HR"/>
        </w:rPr>
        <w:t xml:space="preserve"> </w:t>
      </w:r>
      <w:proofErr w:type="spellStart"/>
      <w:r w:rsidRPr="007E66EE">
        <w:rPr>
          <w:sz w:val="20"/>
          <w:lang w:val="hr-HR"/>
        </w:rPr>
        <w:t>the</w:t>
      </w:r>
      <w:proofErr w:type="spellEnd"/>
      <w:r w:rsidRPr="007E66EE">
        <w:rPr>
          <w:sz w:val="20"/>
          <w:lang w:val="hr-HR"/>
        </w:rPr>
        <w:t xml:space="preserve"> Court </w:t>
      </w:r>
      <w:proofErr w:type="spellStart"/>
      <w:r w:rsidRPr="007E66EE">
        <w:rPr>
          <w:sz w:val="20"/>
          <w:lang w:val="hr-HR"/>
        </w:rPr>
        <w:t>not</w:t>
      </w:r>
      <w:proofErr w:type="spellEnd"/>
      <w:r w:rsidRPr="007E66EE">
        <w:rPr>
          <w:sz w:val="20"/>
          <w:lang w:val="hr-HR"/>
        </w:rPr>
        <w:t xml:space="preserve"> </w:t>
      </w:r>
      <w:proofErr w:type="spellStart"/>
      <w:r w:rsidRPr="007E66EE">
        <w:rPr>
          <w:sz w:val="20"/>
          <w:lang w:val="hr-HR"/>
        </w:rPr>
        <w:t>does</w:t>
      </w:r>
      <w:proofErr w:type="spellEnd"/>
      <w:r w:rsidRPr="007E66EE">
        <w:rPr>
          <w:sz w:val="20"/>
          <w:lang w:val="hr-HR"/>
        </w:rPr>
        <w:t xml:space="preserve"> </w:t>
      </w:r>
      <w:proofErr w:type="spellStart"/>
      <w:r w:rsidRPr="007E66EE">
        <w:rPr>
          <w:sz w:val="20"/>
          <w:lang w:val="hr-HR"/>
        </w:rPr>
        <w:t>the</w:t>
      </w:r>
      <w:proofErr w:type="spellEnd"/>
      <w:r w:rsidRPr="007E66EE">
        <w:rPr>
          <w:sz w:val="20"/>
          <w:lang w:val="hr-HR"/>
        </w:rPr>
        <w:t xml:space="preserve"> Court take </w:t>
      </w:r>
      <w:proofErr w:type="spellStart"/>
      <w:r w:rsidRPr="007E66EE">
        <w:rPr>
          <w:sz w:val="20"/>
          <w:lang w:val="hr-HR"/>
        </w:rPr>
        <w:t>any</w:t>
      </w:r>
      <w:proofErr w:type="spellEnd"/>
      <w:r w:rsidRPr="007E66EE">
        <w:rPr>
          <w:sz w:val="20"/>
          <w:lang w:val="hr-HR"/>
        </w:rPr>
        <w:t xml:space="preserve"> </w:t>
      </w:r>
      <w:proofErr w:type="spellStart"/>
      <w:r w:rsidRPr="007E66EE">
        <w:rPr>
          <w:sz w:val="20"/>
          <w:lang w:val="hr-HR"/>
        </w:rPr>
        <w:t>responsibility</w:t>
      </w:r>
      <w:proofErr w:type="spellEnd"/>
      <w:r w:rsidRPr="007E66EE">
        <w:rPr>
          <w:sz w:val="20"/>
          <w:lang w:val="hr-HR"/>
        </w:rPr>
        <w:t xml:space="preserve"> for </w:t>
      </w:r>
      <w:proofErr w:type="spellStart"/>
      <w:r w:rsidRPr="007E66EE">
        <w:rPr>
          <w:sz w:val="20"/>
          <w:lang w:val="hr-HR"/>
        </w:rPr>
        <w:t>the</w:t>
      </w:r>
      <w:proofErr w:type="spellEnd"/>
      <w:r w:rsidRPr="007E66EE">
        <w:rPr>
          <w:sz w:val="20"/>
          <w:lang w:val="hr-HR"/>
        </w:rPr>
        <w:t xml:space="preserve"> </w:t>
      </w:r>
      <w:proofErr w:type="spellStart"/>
      <w:r w:rsidRPr="007E66EE">
        <w:rPr>
          <w:sz w:val="20"/>
          <w:lang w:val="hr-HR"/>
        </w:rPr>
        <w:t>quality</w:t>
      </w:r>
      <w:proofErr w:type="spellEnd"/>
      <w:r w:rsidRPr="007E66EE">
        <w:rPr>
          <w:sz w:val="20"/>
          <w:lang w:val="hr-HR"/>
        </w:rPr>
        <w:t xml:space="preserve"> </w:t>
      </w:r>
      <w:proofErr w:type="spellStart"/>
      <w:r w:rsidRPr="007E66EE">
        <w:rPr>
          <w:sz w:val="20"/>
          <w:lang w:val="hr-HR"/>
        </w:rPr>
        <w:t>thereof</w:t>
      </w:r>
      <w:proofErr w:type="spellEnd"/>
      <w:r w:rsidRPr="007E66EE">
        <w:rPr>
          <w:sz w:val="20"/>
          <w:lang w:val="hr-HR"/>
        </w:rPr>
        <w:t xml:space="preserve">. </w:t>
      </w:r>
      <w:proofErr w:type="spellStart"/>
      <w:r w:rsidRPr="007E66EE">
        <w:rPr>
          <w:sz w:val="20"/>
          <w:lang w:val="hr-HR"/>
        </w:rPr>
        <w:t>It</w:t>
      </w:r>
      <w:proofErr w:type="spellEnd"/>
      <w:r w:rsidRPr="007E66EE">
        <w:rPr>
          <w:sz w:val="20"/>
          <w:lang w:val="hr-HR"/>
        </w:rPr>
        <w:t xml:space="preserve"> </w:t>
      </w:r>
      <w:proofErr w:type="spellStart"/>
      <w:r w:rsidRPr="007E66EE">
        <w:rPr>
          <w:sz w:val="20"/>
          <w:lang w:val="hr-HR"/>
        </w:rPr>
        <w:t>may</w:t>
      </w:r>
      <w:proofErr w:type="spellEnd"/>
      <w:r w:rsidRPr="007E66EE">
        <w:rPr>
          <w:sz w:val="20"/>
          <w:lang w:val="hr-HR"/>
        </w:rPr>
        <w:t xml:space="preserve"> </w:t>
      </w:r>
      <w:proofErr w:type="spellStart"/>
      <w:r w:rsidRPr="007E66EE">
        <w:rPr>
          <w:sz w:val="20"/>
          <w:lang w:val="hr-HR"/>
        </w:rPr>
        <w:t>be</w:t>
      </w:r>
      <w:proofErr w:type="spellEnd"/>
      <w:r w:rsidRPr="007E66EE">
        <w:rPr>
          <w:sz w:val="20"/>
          <w:lang w:val="hr-HR"/>
        </w:rPr>
        <w:t xml:space="preserve"> </w:t>
      </w:r>
      <w:proofErr w:type="spellStart"/>
      <w:r w:rsidRPr="007E66EE">
        <w:rPr>
          <w:sz w:val="20"/>
          <w:lang w:val="hr-HR"/>
        </w:rPr>
        <w:t>downloaded</w:t>
      </w:r>
      <w:proofErr w:type="spellEnd"/>
      <w:r w:rsidRPr="007E66EE">
        <w:rPr>
          <w:sz w:val="20"/>
          <w:lang w:val="hr-HR"/>
        </w:rPr>
        <w:t xml:space="preserve"> </w:t>
      </w:r>
      <w:proofErr w:type="spellStart"/>
      <w:r w:rsidRPr="007E66EE">
        <w:rPr>
          <w:sz w:val="20"/>
          <w:lang w:val="hr-HR"/>
        </w:rPr>
        <w:t>from</w:t>
      </w:r>
      <w:proofErr w:type="spellEnd"/>
      <w:r w:rsidRPr="007E66EE">
        <w:rPr>
          <w:sz w:val="20"/>
          <w:lang w:val="hr-HR"/>
        </w:rPr>
        <w:t xml:space="preserve"> </w:t>
      </w:r>
      <w:proofErr w:type="spellStart"/>
      <w:r w:rsidRPr="007E66EE">
        <w:rPr>
          <w:sz w:val="20"/>
          <w:lang w:val="hr-HR"/>
        </w:rPr>
        <w:t>the</w:t>
      </w:r>
      <w:proofErr w:type="spellEnd"/>
      <w:r w:rsidRPr="007E66EE">
        <w:rPr>
          <w:sz w:val="20"/>
          <w:lang w:val="hr-HR"/>
        </w:rPr>
        <w:t xml:space="preserve"> HUDOC </w:t>
      </w:r>
      <w:proofErr w:type="spellStart"/>
      <w:r w:rsidRPr="007E66EE">
        <w:rPr>
          <w:sz w:val="20"/>
          <w:lang w:val="hr-HR"/>
        </w:rPr>
        <w:t>case-law</w:t>
      </w:r>
      <w:proofErr w:type="spellEnd"/>
      <w:r w:rsidRPr="007E66EE">
        <w:rPr>
          <w:sz w:val="20"/>
          <w:lang w:val="hr-HR"/>
        </w:rPr>
        <w:t xml:space="preserve"> </w:t>
      </w:r>
      <w:proofErr w:type="spellStart"/>
      <w:r w:rsidRPr="007E66EE">
        <w:rPr>
          <w:sz w:val="20"/>
          <w:lang w:val="hr-HR"/>
        </w:rPr>
        <w:t>database</w:t>
      </w:r>
      <w:proofErr w:type="spellEnd"/>
      <w:r w:rsidRPr="007E66EE">
        <w:rPr>
          <w:sz w:val="20"/>
          <w:lang w:val="hr-HR"/>
        </w:rPr>
        <w:t xml:space="preserve"> </w:t>
      </w:r>
      <w:proofErr w:type="spellStart"/>
      <w:r w:rsidRPr="007E66EE">
        <w:rPr>
          <w:sz w:val="20"/>
          <w:lang w:val="hr-HR"/>
        </w:rPr>
        <w:t>of</w:t>
      </w:r>
      <w:proofErr w:type="spellEnd"/>
      <w:r w:rsidRPr="007E66EE">
        <w:rPr>
          <w:sz w:val="20"/>
          <w:lang w:val="hr-HR"/>
        </w:rPr>
        <w:t xml:space="preserve"> </w:t>
      </w:r>
      <w:proofErr w:type="spellStart"/>
      <w:r w:rsidRPr="007E66EE">
        <w:rPr>
          <w:sz w:val="20"/>
          <w:lang w:val="hr-HR"/>
        </w:rPr>
        <w:t>the</w:t>
      </w:r>
      <w:proofErr w:type="spellEnd"/>
      <w:r w:rsidRPr="007E66EE">
        <w:rPr>
          <w:sz w:val="20"/>
          <w:lang w:val="hr-HR"/>
        </w:rPr>
        <w:t xml:space="preserve"> European Court </w:t>
      </w:r>
      <w:proofErr w:type="spellStart"/>
      <w:r w:rsidRPr="007E66EE">
        <w:rPr>
          <w:sz w:val="20"/>
          <w:lang w:val="hr-HR"/>
        </w:rPr>
        <w:t>of</w:t>
      </w:r>
      <w:proofErr w:type="spellEnd"/>
      <w:r w:rsidRPr="007E66EE">
        <w:rPr>
          <w:sz w:val="20"/>
          <w:lang w:val="hr-HR"/>
        </w:rPr>
        <w:t xml:space="preserve"> Human Rights (</w:t>
      </w:r>
      <w:hyperlink r:id="rId18" w:history="1">
        <w:r w:rsidRPr="007E66EE">
          <w:rPr>
            <w:rStyle w:val="Hyperlink"/>
            <w:sz w:val="20"/>
            <w:lang w:val="hr-HR"/>
          </w:rPr>
          <w:t>http://hudoc.echr.coe.int</w:t>
        </w:r>
      </w:hyperlink>
      <w:r w:rsidRPr="007E66EE">
        <w:rPr>
          <w:sz w:val="20"/>
          <w:lang w:val="hr-HR"/>
        </w:rPr>
        <w:t xml:space="preserve">) </w:t>
      </w:r>
      <w:proofErr w:type="spellStart"/>
      <w:r w:rsidRPr="007E66EE">
        <w:rPr>
          <w:sz w:val="20"/>
          <w:lang w:val="hr-HR"/>
        </w:rPr>
        <w:t>or</w:t>
      </w:r>
      <w:proofErr w:type="spellEnd"/>
      <w:r w:rsidRPr="007E66EE">
        <w:rPr>
          <w:sz w:val="20"/>
          <w:lang w:val="hr-HR"/>
        </w:rPr>
        <w:t xml:space="preserve"> </w:t>
      </w:r>
      <w:proofErr w:type="spellStart"/>
      <w:r w:rsidRPr="007E66EE">
        <w:rPr>
          <w:sz w:val="20"/>
          <w:lang w:val="hr-HR"/>
        </w:rPr>
        <w:t>from</w:t>
      </w:r>
      <w:proofErr w:type="spellEnd"/>
      <w:r w:rsidRPr="007E66EE">
        <w:rPr>
          <w:sz w:val="20"/>
          <w:lang w:val="hr-HR"/>
        </w:rPr>
        <w:t xml:space="preserve"> </w:t>
      </w:r>
      <w:proofErr w:type="spellStart"/>
      <w:r w:rsidRPr="007E66EE">
        <w:rPr>
          <w:sz w:val="20"/>
          <w:lang w:val="hr-HR"/>
        </w:rPr>
        <w:t>any</w:t>
      </w:r>
      <w:proofErr w:type="spellEnd"/>
      <w:r w:rsidRPr="007E66EE">
        <w:rPr>
          <w:sz w:val="20"/>
          <w:lang w:val="hr-HR"/>
        </w:rPr>
        <w:t xml:space="preserve"> </w:t>
      </w:r>
      <w:proofErr w:type="spellStart"/>
      <w:r w:rsidRPr="007E66EE">
        <w:rPr>
          <w:sz w:val="20"/>
          <w:lang w:val="hr-HR"/>
        </w:rPr>
        <w:t>other</w:t>
      </w:r>
      <w:proofErr w:type="spellEnd"/>
      <w:r w:rsidRPr="007E66EE">
        <w:rPr>
          <w:sz w:val="20"/>
          <w:lang w:val="hr-HR"/>
        </w:rPr>
        <w:t xml:space="preserve"> </w:t>
      </w:r>
      <w:proofErr w:type="spellStart"/>
      <w:r w:rsidRPr="007E66EE">
        <w:rPr>
          <w:sz w:val="20"/>
          <w:lang w:val="hr-HR"/>
        </w:rPr>
        <w:t>database</w:t>
      </w:r>
      <w:proofErr w:type="spellEnd"/>
      <w:r w:rsidRPr="007E66EE">
        <w:rPr>
          <w:sz w:val="20"/>
          <w:lang w:val="hr-HR"/>
        </w:rPr>
        <w:t xml:space="preserve"> </w:t>
      </w:r>
      <w:proofErr w:type="spellStart"/>
      <w:r w:rsidRPr="007E66EE">
        <w:rPr>
          <w:sz w:val="20"/>
          <w:lang w:val="hr-HR"/>
        </w:rPr>
        <w:t>with</w:t>
      </w:r>
      <w:proofErr w:type="spellEnd"/>
      <w:r w:rsidRPr="007E66EE">
        <w:rPr>
          <w:sz w:val="20"/>
          <w:lang w:val="hr-HR"/>
        </w:rPr>
        <w:t xml:space="preserve"> </w:t>
      </w:r>
      <w:proofErr w:type="spellStart"/>
      <w:r w:rsidRPr="007E66EE">
        <w:rPr>
          <w:sz w:val="20"/>
          <w:lang w:val="hr-HR"/>
        </w:rPr>
        <w:t>which</w:t>
      </w:r>
      <w:proofErr w:type="spellEnd"/>
      <w:r w:rsidRPr="007E66EE">
        <w:rPr>
          <w:sz w:val="20"/>
          <w:lang w:val="hr-HR"/>
        </w:rPr>
        <w:t xml:space="preserve"> </w:t>
      </w:r>
      <w:proofErr w:type="spellStart"/>
      <w:r w:rsidRPr="007E66EE">
        <w:rPr>
          <w:sz w:val="20"/>
          <w:lang w:val="hr-HR"/>
        </w:rPr>
        <w:t>the</w:t>
      </w:r>
      <w:proofErr w:type="spellEnd"/>
      <w:r w:rsidRPr="007E66EE">
        <w:rPr>
          <w:sz w:val="20"/>
          <w:lang w:val="hr-HR"/>
        </w:rPr>
        <w:t xml:space="preserve"> Court </w:t>
      </w:r>
      <w:proofErr w:type="spellStart"/>
      <w:r w:rsidRPr="007E66EE">
        <w:rPr>
          <w:sz w:val="20"/>
          <w:lang w:val="hr-HR"/>
        </w:rPr>
        <w:t>has</w:t>
      </w:r>
      <w:proofErr w:type="spellEnd"/>
      <w:r w:rsidRPr="007E66EE">
        <w:rPr>
          <w:sz w:val="20"/>
          <w:lang w:val="hr-HR"/>
        </w:rPr>
        <w:t xml:space="preserve"> </w:t>
      </w:r>
      <w:proofErr w:type="spellStart"/>
      <w:r w:rsidRPr="007E66EE">
        <w:rPr>
          <w:sz w:val="20"/>
          <w:lang w:val="hr-HR"/>
        </w:rPr>
        <w:t>shared</w:t>
      </w:r>
      <w:proofErr w:type="spellEnd"/>
      <w:r w:rsidRPr="007E66EE">
        <w:rPr>
          <w:sz w:val="20"/>
          <w:lang w:val="hr-HR"/>
        </w:rPr>
        <w:t xml:space="preserve"> </w:t>
      </w:r>
      <w:proofErr w:type="spellStart"/>
      <w:r w:rsidRPr="007E66EE">
        <w:rPr>
          <w:sz w:val="20"/>
          <w:lang w:val="hr-HR"/>
        </w:rPr>
        <w:t>it</w:t>
      </w:r>
      <w:proofErr w:type="spellEnd"/>
      <w:r w:rsidRPr="007E66EE">
        <w:rPr>
          <w:sz w:val="20"/>
          <w:lang w:val="hr-HR"/>
        </w:rPr>
        <w:t xml:space="preserve">. </w:t>
      </w:r>
      <w:proofErr w:type="spellStart"/>
      <w:r w:rsidRPr="007E66EE">
        <w:rPr>
          <w:sz w:val="20"/>
          <w:lang w:val="hr-HR"/>
        </w:rPr>
        <w:t>It</w:t>
      </w:r>
      <w:proofErr w:type="spellEnd"/>
      <w:r w:rsidRPr="007E66EE">
        <w:rPr>
          <w:sz w:val="20"/>
          <w:lang w:val="hr-HR"/>
        </w:rPr>
        <w:t xml:space="preserve"> </w:t>
      </w:r>
      <w:proofErr w:type="spellStart"/>
      <w:r w:rsidRPr="007E66EE">
        <w:rPr>
          <w:sz w:val="20"/>
          <w:lang w:val="hr-HR"/>
        </w:rPr>
        <w:t>may</w:t>
      </w:r>
      <w:proofErr w:type="spellEnd"/>
      <w:r w:rsidRPr="007E66EE">
        <w:rPr>
          <w:sz w:val="20"/>
          <w:lang w:val="hr-HR"/>
        </w:rPr>
        <w:t xml:space="preserve"> </w:t>
      </w:r>
      <w:proofErr w:type="spellStart"/>
      <w:r w:rsidRPr="007E66EE">
        <w:rPr>
          <w:sz w:val="20"/>
          <w:lang w:val="hr-HR"/>
        </w:rPr>
        <w:t>be</w:t>
      </w:r>
      <w:proofErr w:type="spellEnd"/>
      <w:r w:rsidRPr="007E66EE">
        <w:rPr>
          <w:sz w:val="20"/>
          <w:lang w:val="hr-HR"/>
        </w:rPr>
        <w:t xml:space="preserve"> </w:t>
      </w:r>
      <w:proofErr w:type="spellStart"/>
      <w:r w:rsidRPr="007E66EE">
        <w:rPr>
          <w:sz w:val="20"/>
          <w:lang w:val="hr-HR"/>
        </w:rPr>
        <w:t>reproduced</w:t>
      </w:r>
      <w:proofErr w:type="spellEnd"/>
      <w:r w:rsidRPr="007E66EE">
        <w:rPr>
          <w:sz w:val="20"/>
          <w:lang w:val="hr-HR"/>
        </w:rPr>
        <w:t xml:space="preserve"> for </w:t>
      </w:r>
      <w:proofErr w:type="spellStart"/>
      <w:r w:rsidRPr="007E66EE">
        <w:rPr>
          <w:sz w:val="20"/>
          <w:lang w:val="hr-HR"/>
        </w:rPr>
        <w:t>non-commercial</w:t>
      </w:r>
      <w:proofErr w:type="spellEnd"/>
      <w:r w:rsidRPr="007E66EE">
        <w:rPr>
          <w:sz w:val="20"/>
          <w:lang w:val="hr-HR"/>
        </w:rPr>
        <w:t xml:space="preserve"> </w:t>
      </w:r>
      <w:proofErr w:type="spellStart"/>
      <w:r w:rsidRPr="007E66EE">
        <w:rPr>
          <w:sz w:val="20"/>
          <w:lang w:val="hr-HR"/>
        </w:rPr>
        <w:t>purposes</w:t>
      </w:r>
      <w:proofErr w:type="spellEnd"/>
      <w:r w:rsidRPr="007E66EE">
        <w:rPr>
          <w:sz w:val="20"/>
          <w:lang w:val="hr-HR"/>
        </w:rPr>
        <w:t xml:space="preserve"> on </w:t>
      </w:r>
      <w:proofErr w:type="spellStart"/>
      <w:r w:rsidRPr="007E66EE">
        <w:rPr>
          <w:sz w:val="20"/>
          <w:lang w:val="hr-HR"/>
        </w:rPr>
        <w:t>condition</w:t>
      </w:r>
      <w:proofErr w:type="spellEnd"/>
      <w:r w:rsidRPr="007E66EE">
        <w:rPr>
          <w:sz w:val="20"/>
          <w:lang w:val="hr-HR"/>
        </w:rPr>
        <w:t xml:space="preserve"> </w:t>
      </w:r>
      <w:proofErr w:type="spellStart"/>
      <w:r w:rsidRPr="007E66EE">
        <w:rPr>
          <w:sz w:val="20"/>
          <w:lang w:val="hr-HR"/>
        </w:rPr>
        <w:t>that</w:t>
      </w:r>
      <w:proofErr w:type="spellEnd"/>
      <w:r w:rsidRPr="007E66EE">
        <w:rPr>
          <w:sz w:val="20"/>
          <w:lang w:val="hr-HR"/>
        </w:rPr>
        <w:t xml:space="preserve"> </w:t>
      </w:r>
      <w:proofErr w:type="spellStart"/>
      <w:r w:rsidRPr="007E66EE">
        <w:rPr>
          <w:sz w:val="20"/>
          <w:lang w:val="hr-HR"/>
        </w:rPr>
        <w:t>the</w:t>
      </w:r>
      <w:proofErr w:type="spellEnd"/>
      <w:r w:rsidRPr="007E66EE">
        <w:rPr>
          <w:sz w:val="20"/>
          <w:lang w:val="hr-HR"/>
        </w:rPr>
        <w:t xml:space="preserve"> </w:t>
      </w:r>
      <w:proofErr w:type="spellStart"/>
      <w:r w:rsidRPr="007E66EE">
        <w:rPr>
          <w:sz w:val="20"/>
          <w:lang w:val="hr-HR"/>
        </w:rPr>
        <w:t>full</w:t>
      </w:r>
      <w:proofErr w:type="spellEnd"/>
      <w:r w:rsidRPr="007E66EE">
        <w:rPr>
          <w:sz w:val="20"/>
          <w:lang w:val="hr-HR"/>
        </w:rPr>
        <w:t xml:space="preserve"> title </w:t>
      </w:r>
      <w:proofErr w:type="spellStart"/>
      <w:r w:rsidRPr="007E66EE">
        <w:rPr>
          <w:sz w:val="20"/>
          <w:lang w:val="hr-HR"/>
        </w:rPr>
        <w:t>of</w:t>
      </w:r>
      <w:proofErr w:type="spellEnd"/>
      <w:r w:rsidRPr="007E66EE">
        <w:rPr>
          <w:sz w:val="20"/>
          <w:lang w:val="hr-HR"/>
        </w:rPr>
        <w:t xml:space="preserve"> </w:t>
      </w:r>
      <w:proofErr w:type="spellStart"/>
      <w:r w:rsidRPr="007E66EE">
        <w:rPr>
          <w:sz w:val="20"/>
          <w:lang w:val="hr-HR"/>
        </w:rPr>
        <w:t>the</w:t>
      </w:r>
      <w:proofErr w:type="spellEnd"/>
      <w:r w:rsidRPr="007E66EE">
        <w:rPr>
          <w:sz w:val="20"/>
          <w:lang w:val="hr-HR"/>
        </w:rPr>
        <w:t xml:space="preserve"> </w:t>
      </w:r>
      <w:proofErr w:type="spellStart"/>
      <w:r w:rsidRPr="007E66EE">
        <w:rPr>
          <w:sz w:val="20"/>
          <w:lang w:val="hr-HR"/>
        </w:rPr>
        <w:t>case</w:t>
      </w:r>
      <w:proofErr w:type="spellEnd"/>
      <w:r w:rsidRPr="007E66EE">
        <w:rPr>
          <w:sz w:val="20"/>
          <w:lang w:val="hr-HR"/>
        </w:rPr>
        <w:t xml:space="preserve"> </w:t>
      </w:r>
      <w:proofErr w:type="spellStart"/>
      <w:r w:rsidRPr="007E66EE">
        <w:rPr>
          <w:sz w:val="20"/>
          <w:lang w:val="hr-HR"/>
        </w:rPr>
        <w:t>is</w:t>
      </w:r>
      <w:proofErr w:type="spellEnd"/>
      <w:r w:rsidRPr="007E66EE">
        <w:rPr>
          <w:sz w:val="20"/>
          <w:lang w:val="hr-HR"/>
        </w:rPr>
        <w:t xml:space="preserve"> </w:t>
      </w:r>
      <w:proofErr w:type="spellStart"/>
      <w:r w:rsidRPr="007E66EE">
        <w:rPr>
          <w:sz w:val="20"/>
          <w:lang w:val="hr-HR"/>
        </w:rPr>
        <w:t>cited</w:t>
      </w:r>
      <w:proofErr w:type="spellEnd"/>
      <w:r w:rsidRPr="007E66EE">
        <w:rPr>
          <w:sz w:val="20"/>
          <w:lang w:val="hr-HR"/>
        </w:rPr>
        <w:t xml:space="preserve">, </w:t>
      </w:r>
      <w:proofErr w:type="spellStart"/>
      <w:r w:rsidRPr="007E66EE">
        <w:rPr>
          <w:sz w:val="20"/>
          <w:lang w:val="hr-HR"/>
        </w:rPr>
        <w:t>together</w:t>
      </w:r>
      <w:proofErr w:type="spellEnd"/>
      <w:r w:rsidRPr="007E66EE">
        <w:rPr>
          <w:sz w:val="20"/>
          <w:lang w:val="hr-HR"/>
        </w:rPr>
        <w:t xml:space="preserve"> </w:t>
      </w:r>
      <w:proofErr w:type="spellStart"/>
      <w:r w:rsidRPr="007E66EE">
        <w:rPr>
          <w:sz w:val="20"/>
          <w:lang w:val="hr-HR"/>
        </w:rPr>
        <w:t>with</w:t>
      </w:r>
      <w:proofErr w:type="spellEnd"/>
      <w:r w:rsidRPr="007E66EE">
        <w:rPr>
          <w:sz w:val="20"/>
          <w:lang w:val="hr-HR"/>
        </w:rPr>
        <w:t xml:space="preserve"> </w:t>
      </w:r>
      <w:proofErr w:type="spellStart"/>
      <w:r w:rsidRPr="007E66EE">
        <w:rPr>
          <w:sz w:val="20"/>
          <w:lang w:val="hr-HR"/>
        </w:rPr>
        <w:t>the</w:t>
      </w:r>
      <w:proofErr w:type="spellEnd"/>
      <w:r w:rsidRPr="007E66EE">
        <w:rPr>
          <w:sz w:val="20"/>
          <w:lang w:val="hr-HR"/>
        </w:rPr>
        <w:t xml:space="preserve"> </w:t>
      </w:r>
      <w:proofErr w:type="spellStart"/>
      <w:r w:rsidRPr="007E66EE">
        <w:rPr>
          <w:sz w:val="20"/>
          <w:lang w:val="hr-HR"/>
        </w:rPr>
        <w:t>above</w:t>
      </w:r>
      <w:proofErr w:type="spellEnd"/>
      <w:r w:rsidRPr="007E66EE">
        <w:rPr>
          <w:sz w:val="20"/>
          <w:lang w:val="hr-HR"/>
        </w:rPr>
        <w:t xml:space="preserve"> copyright </w:t>
      </w:r>
      <w:proofErr w:type="spellStart"/>
      <w:r w:rsidRPr="007E66EE">
        <w:rPr>
          <w:sz w:val="20"/>
          <w:lang w:val="hr-HR"/>
        </w:rPr>
        <w:t>indication</w:t>
      </w:r>
      <w:proofErr w:type="spellEnd"/>
      <w:r w:rsidRPr="007E66EE">
        <w:rPr>
          <w:sz w:val="20"/>
          <w:lang w:val="hr-HR"/>
        </w:rPr>
        <w:t xml:space="preserve"> </w:t>
      </w:r>
      <w:proofErr w:type="spellStart"/>
      <w:r w:rsidRPr="007E66EE">
        <w:rPr>
          <w:sz w:val="20"/>
          <w:lang w:val="hr-HR"/>
        </w:rPr>
        <w:t>and</w:t>
      </w:r>
      <w:proofErr w:type="spellEnd"/>
      <w:r w:rsidRPr="007E66EE">
        <w:rPr>
          <w:sz w:val="20"/>
          <w:lang w:val="hr-HR"/>
        </w:rPr>
        <w:t xml:space="preserve"> reference to </w:t>
      </w:r>
      <w:proofErr w:type="spellStart"/>
      <w:r w:rsidRPr="007E66EE">
        <w:rPr>
          <w:sz w:val="20"/>
          <w:lang w:val="hr-HR"/>
        </w:rPr>
        <w:t>the</w:t>
      </w:r>
      <w:proofErr w:type="spellEnd"/>
      <w:r w:rsidRPr="007E66EE">
        <w:rPr>
          <w:sz w:val="20"/>
          <w:lang w:val="hr-HR"/>
        </w:rPr>
        <w:t xml:space="preserve"> Human Rights Trust </w:t>
      </w:r>
      <w:proofErr w:type="spellStart"/>
      <w:r w:rsidRPr="007E66EE">
        <w:rPr>
          <w:sz w:val="20"/>
          <w:lang w:val="hr-HR"/>
        </w:rPr>
        <w:t>Fund</w:t>
      </w:r>
      <w:proofErr w:type="spellEnd"/>
      <w:r w:rsidRPr="007E66EE">
        <w:rPr>
          <w:sz w:val="20"/>
          <w:lang w:val="hr-HR"/>
        </w:rPr>
        <w:t xml:space="preserve">. </w:t>
      </w:r>
      <w:proofErr w:type="spellStart"/>
      <w:r w:rsidRPr="007E66EE">
        <w:rPr>
          <w:sz w:val="20"/>
          <w:lang w:val="hr-HR"/>
        </w:rPr>
        <w:t>If</w:t>
      </w:r>
      <w:proofErr w:type="spellEnd"/>
      <w:r w:rsidRPr="007E66EE">
        <w:rPr>
          <w:sz w:val="20"/>
          <w:lang w:val="hr-HR"/>
        </w:rPr>
        <w:t xml:space="preserve"> </w:t>
      </w:r>
      <w:proofErr w:type="spellStart"/>
      <w:r w:rsidRPr="007E66EE">
        <w:rPr>
          <w:sz w:val="20"/>
          <w:lang w:val="hr-HR"/>
        </w:rPr>
        <w:t>it</w:t>
      </w:r>
      <w:proofErr w:type="spellEnd"/>
      <w:r w:rsidRPr="007E66EE">
        <w:rPr>
          <w:sz w:val="20"/>
          <w:lang w:val="hr-HR"/>
        </w:rPr>
        <w:t xml:space="preserve"> </w:t>
      </w:r>
      <w:proofErr w:type="spellStart"/>
      <w:r w:rsidRPr="007E66EE">
        <w:rPr>
          <w:sz w:val="20"/>
          <w:lang w:val="hr-HR"/>
        </w:rPr>
        <w:t>is</w:t>
      </w:r>
      <w:proofErr w:type="spellEnd"/>
      <w:r w:rsidRPr="007E66EE">
        <w:rPr>
          <w:sz w:val="20"/>
          <w:lang w:val="hr-HR"/>
        </w:rPr>
        <w:t xml:space="preserve"> </w:t>
      </w:r>
      <w:proofErr w:type="spellStart"/>
      <w:r w:rsidRPr="007E66EE">
        <w:rPr>
          <w:sz w:val="20"/>
          <w:lang w:val="hr-HR"/>
        </w:rPr>
        <w:t>intended</w:t>
      </w:r>
      <w:proofErr w:type="spellEnd"/>
      <w:r w:rsidRPr="007E66EE">
        <w:rPr>
          <w:sz w:val="20"/>
          <w:lang w:val="hr-HR"/>
        </w:rPr>
        <w:t xml:space="preserve"> to use </w:t>
      </w:r>
      <w:proofErr w:type="spellStart"/>
      <w:r w:rsidRPr="007E66EE">
        <w:rPr>
          <w:sz w:val="20"/>
          <w:lang w:val="hr-HR"/>
        </w:rPr>
        <w:t>any</w:t>
      </w:r>
      <w:proofErr w:type="spellEnd"/>
      <w:r w:rsidRPr="007E66EE">
        <w:rPr>
          <w:sz w:val="20"/>
          <w:lang w:val="hr-HR"/>
        </w:rPr>
        <w:t xml:space="preserve"> </w:t>
      </w:r>
      <w:proofErr w:type="spellStart"/>
      <w:r w:rsidRPr="007E66EE">
        <w:rPr>
          <w:sz w:val="20"/>
          <w:lang w:val="hr-HR"/>
        </w:rPr>
        <w:t>part</w:t>
      </w:r>
      <w:proofErr w:type="spellEnd"/>
      <w:r w:rsidRPr="007E66EE">
        <w:rPr>
          <w:sz w:val="20"/>
          <w:lang w:val="hr-HR"/>
        </w:rPr>
        <w:t xml:space="preserve"> </w:t>
      </w:r>
      <w:proofErr w:type="spellStart"/>
      <w:r w:rsidRPr="007E66EE">
        <w:rPr>
          <w:sz w:val="20"/>
          <w:lang w:val="hr-HR"/>
        </w:rPr>
        <w:t>of</w:t>
      </w:r>
      <w:proofErr w:type="spellEnd"/>
      <w:r w:rsidRPr="007E66EE">
        <w:rPr>
          <w:sz w:val="20"/>
          <w:lang w:val="hr-HR"/>
        </w:rPr>
        <w:t xml:space="preserve"> </w:t>
      </w:r>
      <w:proofErr w:type="spellStart"/>
      <w:r w:rsidRPr="007E66EE">
        <w:rPr>
          <w:sz w:val="20"/>
          <w:lang w:val="hr-HR"/>
        </w:rPr>
        <w:t>this</w:t>
      </w:r>
      <w:proofErr w:type="spellEnd"/>
      <w:r w:rsidRPr="007E66EE">
        <w:rPr>
          <w:sz w:val="20"/>
          <w:lang w:val="hr-HR"/>
        </w:rPr>
        <w:t xml:space="preserve"> </w:t>
      </w:r>
      <w:proofErr w:type="spellStart"/>
      <w:r w:rsidRPr="007E66EE">
        <w:rPr>
          <w:sz w:val="20"/>
          <w:lang w:val="hr-HR"/>
        </w:rPr>
        <w:t>translation</w:t>
      </w:r>
      <w:proofErr w:type="spellEnd"/>
      <w:r w:rsidRPr="007E66EE">
        <w:rPr>
          <w:sz w:val="20"/>
          <w:lang w:val="hr-HR"/>
        </w:rPr>
        <w:t xml:space="preserve"> for </w:t>
      </w:r>
      <w:proofErr w:type="spellStart"/>
      <w:r w:rsidRPr="007E66EE">
        <w:rPr>
          <w:sz w:val="20"/>
          <w:lang w:val="hr-HR"/>
        </w:rPr>
        <w:t>commercial</w:t>
      </w:r>
      <w:proofErr w:type="spellEnd"/>
      <w:r w:rsidRPr="007E66EE">
        <w:rPr>
          <w:sz w:val="20"/>
          <w:lang w:val="hr-HR"/>
        </w:rPr>
        <w:t xml:space="preserve"> </w:t>
      </w:r>
      <w:proofErr w:type="spellStart"/>
      <w:r w:rsidRPr="007E66EE">
        <w:rPr>
          <w:sz w:val="20"/>
          <w:lang w:val="hr-HR"/>
        </w:rPr>
        <w:t>purposes</w:t>
      </w:r>
      <w:proofErr w:type="spellEnd"/>
      <w:r w:rsidRPr="007E66EE">
        <w:rPr>
          <w:sz w:val="20"/>
          <w:lang w:val="hr-HR"/>
        </w:rPr>
        <w:t xml:space="preserve">, </w:t>
      </w:r>
      <w:proofErr w:type="spellStart"/>
      <w:r w:rsidRPr="007E66EE">
        <w:rPr>
          <w:sz w:val="20"/>
          <w:lang w:val="hr-HR"/>
        </w:rPr>
        <w:t>please</w:t>
      </w:r>
      <w:proofErr w:type="spellEnd"/>
      <w:r w:rsidRPr="007E66EE">
        <w:rPr>
          <w:sz w:val="20"/>
          <w:lang w:val="hr-HR"/>
        </w:rPr>
        <w:t xml:space="preserve"> </w:t>
      </w:r>
      <w:proofErr w:type="spellStart"/>
      <w:r w:rsidRPr="007E66EE">
        <w:rPr>
          <w:sz w:val="20"/>
          <w:lang w:val="hr-HR"/>
        </w:rPr>
        <w:t>contact</w:t>
      </w:r>
      <w:proofErr w:type="spellEnd"/>
      <w:r w:rsidRPr="007E66EE">
        <w:rPr>
          <w:sz w:val="20"/>
          <w:lang w:val="hr-HR"/>
        </w:rPr>
        <w:t xml:space="preserve"> </w:t>
      </w:r>
      <w:hyperlink r:id="rId19" w:history="1">
        <w:r w:rsidRPr="007E66EE">
          <w:rPr>
            <w:rStyle w:val="Hyperlink"/>
            <w:sz w:val="20"/>
            <w:lang w:val="hr-HR"/>
          </w:rPr>
          <w:t>publishing@echr.coe.int</w:t>
        </w:r>
      </w:hyperlink>
      <w:r w:rsidRPr="007E66EE">
        <w:rPr>
          <w:sz w:val="20"/>
          <w:lang w:val="hr-HR"/>
        </w:rPr>
        <w:t>.</w:t>
      </w:r>
    </w:p>
    <w:p w:rsidR="000610A7" w:rsidRPr="007E66EE" w:rsidRDefault="000610A7" w:rsidP="00C502B3">
      <w:pPr>
        <w:jc w:val="both"/>
        <w:rPr>
          <w:sz w:val="20"/>
          <w:lang w:val="hr-HR"/>
        </w:rPr>
      </w:pPr>
    </w:p>
    <w:p w:rsidR="000610A7" w:rsidRPr="007E66EE" w:rsidRDefault="000610A7" w:rsidP="00C502B3">
      <w:pPr>
        <w:jc w:val="both"/>
        <w:rPr>
          <w:sz w:val="20"/>
          <w:lang w:val="hr-HR"/>
        </w:rPr>
      </w:pPr>
      <w:r w:rsidRPr="007E66EE">
        <w:rPr>
          <w:sz w:val="20"/>
          <w:lang w:val="hr-HR"/>
        </w:rPr>
        <w:lastRenderedPageBreak/>
        <w:t xml:space="preserve">© </w:t>
      </w:r>
      <w:proofErr w:type="spellStart"/>
      <w:r w:rsidRPr="007E66EE">
        <w:rPr>
          <w:sz w:val="20"/>
          <w:lang w:val="hr-HR"/>
        </w:rPr>
        <w:t>Conseil</w:t>
      </w:r>
      <w:proofErr w:type="spellEnd"/>
      <w:r w:rsidRPr="007E66EE">
        <w:rPr>
          <w:sz w:val="20"/>
          <w:lang w:val="hr-HR"/>
        </w:rPr>
        <w:t xml:space="preserve"> de </w:t>
      </w:r>
      <w:proofErr w:type="spellStart"/>
      <w:r w:rsidRPr="007E66EE">
        <w:rPr>
          <w:sz w:val="20"/>
          <w:lang w:val="hr-HR"/>
        </w:rPr>
        <w:t>l</w:t>
      </w:r>
      <w:r>
        <w:rPr>
          <w:sz w:val="20"/>
          <w:lang w:val="hr-HR"/>
        </w:rPr>
        <w:t>’</w:t>
      </w:r>
      <w:r w:rsidRPr="007E66EE">
        <w:rPr>
          <w:sz w:val="20"/>
          <w:lang w:val="hr-HR"/>
        </w:rPr>
        <w:t>Europe</w:t>
      </w:r>
      <w:proofErr w:type="spellEnd"/>
      <w:r w:rsidRPr="007E66EE">
        <w:rPr>
          <w:sz w:val="20"/>
          <w:lang w:val="hr-HR"/>
        </w:rPr>
        <w:t>/</w:t>
      </w:r>
      <w:proofErr w:type="spellStart"/>
      <w:r w:rsidRPr="007E66EE">
        <w:rPr>
          <w:sz w:val="20"/>
          <w:lang w:val="hr-HR"/>
        </w:rPr>
        <w:t>Cour</w:t>
      </w:r>
      <w:proofErr w:type="spellEnd"/>
      <w:r w:rsidRPr="007E66EE">
        <w:rPr>
          <w:sz w:val="20"/>
          <w:lang w:val="hr-HR"/>
        </w:rPr>
        <w:t xml:space="preserve"> </w:t>
      </w:r>
      <w:proofErr w:type="spellStart"/>
      <w:r w:rsidRPr="007E66EE">
        <w:rPr>
          <w:sz w:val="20"/>
          <w:lang w:val="hr-HR"/>
        </w:rPr>
        <w:t>européene</w:t>
      </w:r>
      <w:proofErr w:type="spellEnd"/>
      <w:r w:rsidRPr="007E66EE">
        <w:rPr>
          <w:sz w:val="20"/>
          <w:lang w:val="hr-HR"/>
        </w:rPr>
        <w:t xml:space="preserve"> </w:t>
      </w:r>
      <w:proofErr w:type="spellStart"/>
      <w:r w:rsidRPr="007E66EE">
        <w:rPr>
          <w:sz w:val="20"/>
          <w:lang w:val="hr-HR"/>
        </w:rPr>
        <w:t>des</w:t>
      </w:r>
      <w:proofErr w:type="spellEnd"/>
      <w:r w:rsidRPr="007E66EE">
        <w:rPr>
          <w:sz w:val="20"/>
          <w:lang w:val="hr-HR"/>
        </w:rPr>
        <w:t xml:space="preserve"> </w:t>
      </w:r>
      <w:proofErr w:type="spellStart"/>
      <w:r w:rsidRPr="007E66EE">
        <w:rPr>
          <w:sz w:val="20"/>
          <w:lang w:val="hr-HR"/>
        </w:rPr>
        <w:t>droits</w:t>
      </w:r>
      <w:proofErr w:type="spellEnd"/>
      <w:r w:rsidRPr="007E66EE">
        <w:rPr>
          <w:sz w:val="20"/>
          <w:lang w:val="hr-HR"/>
        </w:rPr>
        <w:t xml:space="preserve"> de </w:t>
      </w:r>
      <w:proofErr w:type="spellStart"/>
      <w:r w:rsidRPr="007E66EE">
        <w:rPr>
          <w:sz w:val="20"/>
          <w:lang w:val="hr-HR"/>
        </w:rPr>
        <w:t>l</w:t>
      </w:r>
      <w:r>
        <w:rPr>
          <w:sz w:val="20"/>
          <w:lang w:val="hr-HR"/>
        </w:rPr>
        <w:t>’</w:t>
      </w:r>
      <w:r w:rsidRPr="007E66EE">
        <w:rPr>
          <w:sz w:val="20"/>
          <w:lang w:val="hr-HR"/>
        </w:rPr>
        <w:t>homme</w:t>
      </w:r>
      <w:proofErr w:type="spellEnd"/>
      <w:r w:rsidRPr="007E66EE">
        <w:rPr>
          <w:sz w:val="20"/>
          <w:lang w:val="hr-HR"/>
        </w:rPr>
        <w:t xml:space="preserve"> 2012. Les </w:t>
      </w:r>
      <w:proofErr w:type="spellStart"/>
      <w:r w:rsidRPr="007E66EE">
        <w:rPr>
          <w:sz w:val="20"/>
          <w:lang w:val="hr-HR"/>
        </w:rPr>
        <w:t>langues</w:t>
      </w:r>
      <w:proofErr w:type="spellEnd"/>
      <w:r w:rsidRPr="007E66EE">
        <w:rPr>
          <w:sz w:val="20"/>
          <w:lang w:val="hr-HR"/>
        </w:rPr>
        <w:t xml:space="preserve"> </w:t>
      </w:r>
      <w:proofErr w:type="spellStart"/>
      <w:r w:rsidRPr="007E66EE">
        <w:rPr>
          <w:sz w:val="20"/>
          <w:lang w:val="hr-HR"/>
        </w:rPr>
        <w:t>officielles</w:t>
      </w:r>
      <w:proofErr w:type="spellEnd"/>
      <w:r w:rsidRPr="007E66EE">
        <w:rPr>
          <w:sz w:val="20"/>
          <w:lang w:val="hr-HR"/>
        </w:rPr>
        <w:t xml:space="preserve"> del la </w:t>
      </w:r>
      <w:proofErr w:type="spellStart"/>
      <w:r w:rsidRPr="007E66EE">
        <w:rPr>
          <w:sz w:val="20"/>
          <w:lang w:val="hr-HR"/>
        </w:rPr>
        <w:t>Cour</w:t>
      </w:r>
      <w:proofErr w:type="spellEnd"/>
      <w:r w:rsidRPr="007E66EE">
        <w:rPr>
          <w:sz w:val="20"/>
          <w:lang w:val="hr-HR"/>
        </w:rPr>
        <w:t xml:space="preserve"> </w:t>
      </w:r>
      <w:proofErr w:type="spellStart"/>
      <w:r w:rsidRPr="007E66EE">
        <w:rPr>
          <w:sz w:val="20"/>
          <w:lang w:val="hr-HR"/>
        </w:rPr>
        <w:t>européene</w:t>
      </w:r>
      <w:proofErr w:type="spellEnd"/>
      <w:r w:rsidRPr="007E66EE">
        <w:rPr>
          <w:sz w:val="20"/>
          <w:lang w:val="hr-HR"/>
        </w:rPr>
        <w:t xml:space="preserve"> de </w:t>
      </w:r>
      <w:proofErr w:type="spellStart"/>
      <w:r w:rsidRPr="007E66EE">
        <w:rPr>
          <w:sz w:val="20"/>
          <w:lang w:val="hr-HR"/>
        </w:rPr>
        <w:t>droits</w:t>
      </w:r>
      <w:proofErr w:type="spellEnd"/>
      <w:r w:rsidRPr="007E66EE">
        <w:rPr>
          <w:sz w:val="20"/>
          <w:lang w:val="hr-HR"/>
        </w:rPr>
        <w:t xml:space="preserve"> de </w:t>
      </w:r>
      <w:proofErr w:type="spellStart"/>
      <w:r w:rsidRPr="007E66EE">
        <w:rPr>
          <w:sz w:val="20"/>
          <w:lang w:val="hr-HR"/>
        </w:rPr>
        <w:t>l</w:t>
      </w:r>
      <w:r>
        <w:rPr>
          <w:sz w:val="20"/>
          <w:lang w:val="hr-HR"/>
        </w:rPr>
        <w:t>’</w:t>
      </w:r>
      <w:r w:rsidRPr="007E66EE">
        <w:rPr>
          <w:sz w:val="20"/>
          <w:lang w:val="hr-HR"/>
        </w:rPr>
        <w:t>homme</w:t>
      </w:r>
      <w:proofErr w:type="spellEnd"/>
      <w:r w:rsidRPr="007E66EE">
        <w:rPr>
          <w:sz w:val="20"/>
          <w:lang w:val="hr-HR"/>
        </w:rPr>
        <w:t xml:space="preserve"> </w:t>
      </w:r>
      <w:proofErr w:type="spellStart"/>
      <w:r w:rsidRPr="007E66EE">
        <w:rPr>
          <w:sz w:val="20"/>
          <w:lang w:val="hr-HR"/>
        </w:rPr>
        <w:t>sont</w:t>
      </w:r>
      <w:proofErr w:type="spellEnd"/>
      <w:r w:rsidRPr="007E66EE">
        <w:rPr>
          <w:sz w:val="20"/>
          <w:lang w:val="hr-HR"/>
        </w:rPr>
        <w:t xml:space="preserve"> </w:t>
      </w:r>
      <w:proofErr w:type="spellStart"/>
      <w:r w:rsidRPr="007E66EE">
        <w:rPr>
          <w:sz w:val="20"/>
          <w:lang w:val="hr-HR"/>
        </w:rPr>
        <w:t>le</w:t>
      </w:r>
      <w:proofErr w:type="spellEnd"/>
      <w:r w:rsidRPr="007E66EE">
        <w:rPr>
          <w:sz w:val="20"/>
          <w:lang w:val="hr-HR"/>
        </w:rPr>
        <w:t xml:space="preserve"> </w:t>
      </w:r>
      <w:proofErr w:type="spellStart"/>
      <w:r w:rsidRPr="007E66EE">
        <w:rPr>
          <w:sz w:val="20"/>
          <w:lang w:val="hr-HR"/>
        </w:rPr>
        <w:t>français</w:t>
      </w:r>
      <w:proofErr w:type="spellEnd"/>
      <w:r w:rsidRPr="007E66EE">
        <w:rPr>
          <w:sz w:val="20"/>
          <w:lang w:val="hr-HR"/>
        </w:rPr>
        <w:t xml:space="preserve"> at </w:t>
      </w:r>
      <w:proofErr w:type="spellStart"/>
      <w:r w:rsidRPr="007E66EE">
        <w:rPr>
          <w:sz w:val="20"/>
          <w:lang w:val="hr-HR"/>
        </w:rPr>
        <w:t>l</w:t>
      </w:r>
      <w:r>
        <w:rPr>
          <w:sz w:val="20"/>
          <w:lang w:val="hr-HR"/>
        </w:rPr>
        <w:t>’</w:t>
      </w:r>
      <w:r w:rsidRPr="007E66EE">
        <w:rPr>
          <w:sz w:val="20"/>
          <w:lang w:val="hr-HR"/>
        </w:rPr>
        <w:t>anglais</w:t>
      </w:r>
      <w:proofErr w:type="spellEnd"/>
      <w:r w:rsidRPr="007E66EE">
        <w:rPr>
          <w:sz w:val="20"/>
          <w:lang w:val="hr-HR"/>
        </w:rPr>
        <w:t xml:space="preserve">. La </w:t>
      </w:r>
      <w:proofErr w:type="spellStart"/>
      <w:r w:rsidRPr="007E66EE">
        <w:rPr>
          <w:sz w:val="20"/>
          <w:lang w:val="hr-HR"/>
        </w:rPr>
        <w:t>présente</w:t>
      </w:r>
      <w:proofErr w:type="spellEnd"/>
      <w:r w:rsidRPr="007E66EE">
        <w:rPr>
          <w:sz w:val="20"/>
          <w:lang w:val="hr-HR"/>
        </w:rPr>
        <w:t xml:space="preserve"> </w:t>
      </w:r>
      <w:proofErr w:type="spellStart"/>
      <w:r w:rsidRPr="007E66EE">
        <w:rPr>
          <w:sz w:val="20"/>
          <w:lang w:val="hr-HR"/>
        </w:rPr>
        <w:t>traduction</w:t>
      </w:r>
      <w:proofErr w:type="spellEnd"/>
      <w:r w:rsidRPr="007E66EE">
        <w:rPr>
          <w:sz w:val="20"/>
          <w:lang w:val="hr-HR"/>
        </w:rPr>
        <w:t xml:space="preserve"> a </w:t>
      </w:r>
      <w:proofErr w:type="spellStart"/>
      <w:r w:rsidRPr="007E66EE">
        <w:rPr>
          <w:sz w:val="20"/>
          <w:lang w:val="hr-HR"/>
        </w:rPr>
        <w:t>été</w:t>
      </w:r>
      <w:proofErr w:type="spellEnd"/>
      <w:r w:rsidRPr="007E66EE">
        <w:rPr>
          <w:sz w:val="20"/>
          <w:lang w:val="hr-HR"/>
        </w:rPr>
        <w:t xml:space="preserve"> </w:t>
      </w:r>
      <w:proofErr w:type="spellStart"/>
      <w:r w:rsidRPr="007E66EE">
        <w:rPr>
          <w:sz w:val="20"/>
          <w:lang w:val="hr-HR"/>
        </w:rPr>
        <w:t>effectuée</w:t>
      </w:r>
      <w:proofErr w:type="spellEnd"/>
      <w:r w:rsidRPr="007E66EE">
        <w:rPr>
          <w:sz w:val="20"/>
          <w:lang w:val="hr-HR"/>
        </w:rPr>
        <w:t xml:space="preserve"> </w:t>
      </w:r>
      <w:proofErr w:type="spellStart"/>
      <w:r w:rsidRPr="007E66EE">
        <w:rPr>
          <w:sz w:val="20"/>
          <w:lang w:val="hr-HR"/>
        </w:rPr>
        <w:t>avec</w:t>
      </w:r>
      <w:proofErr w:type="spellEnd"/>
      <w:r w:rsidRPr="007E66EE">
        <w:rPr>
          <w:sz w:val="20"/>
          <w:lang w:val="hr-HR"/>
        </w:rPr>
        <w:t xml:space="preserve"> </w:t>
      </w:r>
      <w:proofErr w:type="spellStart"/>
      <w:r w:rsidRPr="007E66EE">
        <w:rPr>
          <w:sz w:val="20"/>
          <w:lang w:val="hr-HR"/>
        </w:rPr>
        <w:t>le</w:t>
      </w:r>
      <w:proofErr w:type="spellEnd"/>
      <w:r w:rsidRPr="007E66EE">
        <w:rPr>
          <w:sz w:val="20"/>
          <w:lang w:val="hr-HR"/>
        </w:rPr>
        <w:t xml:space="preserve"> </w:t>
      </w:r>
      <w:proofErr w:type="spellStart"/>
      <w:r w:rsidRPr="007E66EE">
        <w:rPr>
          <w:sz w:val="20"/>
          <w:lang w:val="hr-HR"/>
        </w:rPr>
        <w:t>soutien</w:t>
      </w:r>
      <w:proofErr w:type="spellEnd"/>
      <w:r w:rsidRPr="007E66EE">
        <w:rPr>
          <w:sz w:val="20"/>
          <w:lang w:val="hr-HR"/>
        </w:rPr>
        <w:t xml:space="preserve"> </w:t>
      </w:r>
      <w:proofErr w:type="spellStart"/>
      <w:r w:rsidRPr="007E66EE">
        <w:rPr>
          <w:sz w:val="20"/>
          <w:lang w:val="hr-HR"/>
        </w:rPr>
        <w:t>du</w:t>
      </w:r>
      <w:proofErr w:type="spellEnd"/>
      <w:r w:rsidRPr="007E66EE">
        <w:rPr>
          <w:sz w:val="20"/>
          <w:lang w:val="hr-HR"/>
        </w:rPr>
        <w:t xml:space="preserve"> </w:t>
      </w:r>
      <w:proofErr w:type="spellStart"/>
      <w:r w:rsidRPr="007E66EE">
        <w:rPr>
          <w:sz w:val="20"/>
          <w:lang w:val="hr-HR"/>
        </w:rPr>
        <w:t>Fonds</w:t>
      </w:r>
      <w:proofErr w:type="spellEnd"/>
      <w:r w:rsidRPr="007E66EE">
        <w:rPr>
          <w:sz w:val="20"/>
          <w:lang w:val="hr-HR"/>
        </w:rPr>
        <w:t xml:space="preserve"> </w:t>
      </w:r>
      <w:proofErr w:type="spellStart"/>
      <w:r w:rsidRPr="007E66EE">
        <w:rPr>
          <w:sz w:val="20"/>
          <w:lang w:val="hr-HR"/>
        </w:rPr>
        <w:t>fiduciaire</w:t>
      </w:r>
      <w:proofErr w:type="spellEnd"/>
      <w:r w:rsidRPr="007E66EE">
        <w:rPr>
          <w:sz w:val="20"/>
          <w:lang w:val="hr-HR"/>
        </w:rPr>
        <w:t xml:space="preserve"> </w:t>
      </w:r>
      <w:proofErr w:type="spellStart"/>
      <w:r w:rsidRPr="007E66EE">
        <w:rPr>
          <w:sz w:val="20"/>
          <w:lang w:val="hr-HR"/>
        </w:rPr>
        <w:t>pur</w:t>
      </w:r>
      <w:proofErr w:type="spellEnd"/>
      <w:r w:rsidRPr="007E66EE">
        <w:rPr>
          <w:sz w:val="20"/>
          <w:lang w:val="hr-HR"/>
        </w:rPr>
        <w:t xml:space="preserve"> les </w:t>
      </w:r>
      <w:proofErr w:type="spellStart"/>
      <w:r w:rsidRPr="007E66EE">
        <w:rPr>
          <w:sz w:val="20"/>
          <w:lang w:val="hr-HR"/>
        </w:rPr>
        <w:t>droits</w:t>
      </w:r>
      <w:proofErr w:type="spellEnd"/>
      <w:r w:rsidRPr="007E66EE">
        <w:rPr>
          <w:sz w:val="20"/>
          <w:lang w:val="hr-HR"/>
        </w:rPr>
        <w:t xml:space="preserve"> de </w:t>
      </w:r>
      <w:proofErr w:type="spellStart"/>
      <w:r w:rsidRPr="007E66EE">
        <w:rPr>
          <w:sz w:val="20"/>
          <w:lang w:val="hr-HR"/>
        </w:rPr>
        <w:t>l</w:t>
      </w:r>
      <w:r>
        <w:rPr>
          <w:sz w:val="20"/>
          <w:lang w:val="hr-HR"/>
        </w:rPr>
        <w:t>’</w:t>
      </w:r>
      <w:r w:rsidRPr="007E66EE">
        <w:rPr>
          <w:sz w:val="20"/>
          <w:lang w:val="hr-HR"/>
        </w:rPr>
        <w:t>homme</w:t>
      </w:r>
      <w:proofErr w:type="spellEnd"/>
      <w:r w:rsidRPr="007E66EE">
        <w:rPr>
          <w:sz w:val="20"/>
          <w:lang w:val="hr-HR"/>
        </w:rPr>
        <w:t xml:space="preserve"> </w:t>
      </w:r>
      <w:proofErr w:type="spellStart"/>
      <w:r w:rsidRPr="007E66EE">
        <w:rPr>
          <w:sz w:val="20"/>
          <w:lang w:val="hr-HR"/>
        </w:rPr>
        <w:t>du</w:t>
      </w:r>
      <w:proofErr w:type="spellEnd"/>
      <w:r w:rsidRPr="007E66EE">
        <w:rPr>
          <w:sz w:val="20"/>
          <w:lang w:val="hr-HR"/>
        </w:rPr>
        <w:t xml:space="preserve"> </w:t>
      </w:r>
      <w:proofErr w:type="spellStart"/>
      <w:r w:rsidRPr="007E66EE">
        <w:rPr>
          <w:sz w:val="20"/>
          <w:lang w:val="hr-HR"/>
        </w:rPr>
        <w:t>Conseil</w:t>
      </w:r>
      <w:proofErr w:type="spellEnd"/>
      <w:r w:rsidRPr="007E66EE">
        <w:rPr>
          <w:sz w:val="20"/>
          <w:lang w:val="hr-HR"/>
        </w:rPr>
        <w:t xml:space="preserve"> de </w:t>
      </w:r>
      <w:proofErr w:type="spellStart"/>
      <w:r w:rsidRPr="007E66EE">
        <w:rPr>
          <w:sz w:val="20"/>
          <w:lang w:val="hr-HR"/>
        </w:rPr>
        <w:t>l</w:t>
      </w:r>
      <w:r>
        <w:rPr>
          <w:sz w:val="20"/>
          <w:lang w:val="hr-HR"/>
        </w:rPr>
        <w:t>’</w:t>
      </w:r>
      <w:r w:rsidRPr="007E66EE">
        <w:rPr>
          <w:sz w:val="20"/>
          <w:lang w:val="hr-HR"/>
        </w:rPr>
        <w:t>Europe</w:t>
      </w:r>
      <w:proofErr w:type="spellEnd"/>
      <w:r w:rsidRPr="007E66EE">
        <w:rPr>
          <w:sz w:val="20"/>
          <w:lang w:val="hr-HR"/>
        </w:rPr>
        <w:t xml:space="preserve"> (</w:t>
      </w:r>
      <w:hyperlink r:id="rId20" w:history="1">
        <w:r w:rsidRPr="007E66EE">
          <w:rPr>
            <w:rStyle w:val="Hyperlink"/>
            <w:sz w:val="20"/>
            <w:lang w:val="hr-HR"/>
          </w:rPr>
          <w:t>www.coe.int/humanrightstrustfund</w:t>
        </w:r>
      </w:hyperlink>
      <w:r w:rsidRPr="007E66EE">
        <w:rPr>
          <w:sz w:val="20"/>
          <w:lang w:val="hr-HR"/>
        </w:rPr>
        <w:t xml:space="preserve">.). </w:t>
      </w:r>
      <w:proofErr w:type="spellStart"/>
      <w:r w:rsidRPr="007E66EE">
        <w:rPr>
          <w:sz w:val="20"/>
          <w:lang w:val="hr-HR"/>
        </w:rPr>
        <w:t>Elle</w:t>
      </w:r>
      <w:proofErr w:type="spellEnd"/>
      <w:r w:rsidRPr="007E66EE">
        <w:rPr>
          <w:sz w:val="20"/>
          <w:lang w:val="hr-HR"/>
        </w:rPr>
        <w:t xml:space="preserve"> ne </w:t>
      </w:r>
      <w:proofErr w:type="spellStart"/>
      <w:r w:rsidRPr="007E66EE">
        <w:rPr>
          <w:sz w:val="20"/>
          <w:lang w:val="hr-HR"/>
        </w:rPr>
        <w:t>lie</w:t>
      </w:r>
      <w:proofErr w:type="spellEnd"/>
      <w:r w:rsidRPr="007E66EE">
        <w:rPr>
          <w:sz w:val="20"/>
          <w:lang w:val="hr-HR"/>
        </w:rPr>
        <w:t xml:space="preserve"> pas la </w:t>
      </w:r>
      <w:proofErr w:type="spellStart"/>
      <w:r w:rsidRPr="007E66EE">
        <w:rPr>
          <w:sz w:val="20"/>
          <w:lang w:val="hr-HR"/>
        </w:rPr>
        <w:t>Cour</w:t>
      </w:r>
      <w:proofErr w:type="spellEnd"/>
      <w:r w:rsidRPr="007E66EE">
        <w:rPr>
          <w:sz w:val="20"/>
          <w:lang w:val="hr-HR"/>
        </w:rPr>
        <w:t xml:space="preserve"> </w:t>
      </w:r>
      <w:proofErr w:type="spellStart"/>
      <w:r w:rsidRPr="007E66EE">
        <w:rPr>
          <w:sz w:val="20"/>
          <w:lang w:val="hr-HR"/>
        </w:rPr>
        <w:t>et</w:t>
      </w:r>
      <w:proofErr w:type="spellEnd"/>
      <w:r w:rsidRPr="007E66EE">
        <w:rPr>
          <w:sz w:val="20"/>
          <w:lang w:val="hr-HR"/>
        </w:rPr>
        <w:t xml:space="preserve"> </w:t>
      </w:r>
      <w:proofErr w:type="spellStart"/>
      <w:r w:rsidRPr="007E66EE">
        <w:rPr>
          <w:sz w:val="20"/>
          <w:lang w:val="hr-HR"/>
        </w:rPr>
        <w:t>celle</w:t>
      </w:r>
      <w:proofErr w:type="spellEnd"/>
      <w:r w:rsidRPr="007E66EE">
        <w:rPr>
          <w:sz w:val="20"/>
          <w:lang w:val="hr-HR"/>
        </w:rPr>
        <w:t xml:space="preserve">-ci </w:t>
      </w:r>
      <w:proofErr w:type="spellStart"/>
      <w:r w:rsidRPr="007E66EE">
        <w:rPr>
          <w:sz w:val="20"/>
          <w:lang w:val="hr-HR"/>
        </w:rPr>
        <w:t>décline</w:t>
      </w:r>
      <w:proofErr w:type="spellEnd"/>
      <w:r w:rsidRPr="007E66EE">
        <w:rPr>
          <w:sz w:val="20"/>
          <w:lang w:val="hr-HR"/>
        </w:rPr>
        <w:t xml:space="preserve"> </w:t>
      </w:r>
      <w:proofErr w:type="spellStart"/>
      <w:r w:rsidRPr="007E66EE">
        <w:rPr>
          <w:sz w:val="20"/>
          <w:lang w:val="hr-HR"/>
        </w:rPr>
        <w:t>toute</w:t>
      </w:r>
      <w:proofErr w:type="spellEnd"/>
      <w:r w:rsidRPr="007E66EE">
        <w:rPr>
          <w:sz w:val="20"/>
          <w:lang w:val="hr-HR"/>
        </w:rPr>
        <w:t xml:space="preserve"> </w:t>
      </w:r>
      <w:proofErr w:type="spellStart"/>
      <w:r w:rsidRPr="007E66EE">
        <w:rPr>
          <w:sz w:val="20"/>
          <w:lang w:val="hr-HR"/>
        </w:rPr>
        <w:t>responsabilité</w:t>
      </w:r>
      <w:proofErr w:type="spellEnd"/>
      <w:r w:rsidRPr="007E66EE">
        <w:rPr>
          <w:sz w:val="20"/>
          <w:lang w:val="hr-HR"/>
        </w:rPr>
        <w:t xml:space="preserve"> </w:t>
      </w:r>
      <w:proofErr w:type="spellStart"/>
      <w:r w:rsidRPr="007E66EE">
        <w:rPr>
          <w:sz w:val="20"/>
          <w:lang w:val="hr-HR"/>
        </w:rPr>
        <w:t>quant</w:t>
      </w:r>
      <w:proofErr w:type="spellEnd"/>
      <w:r w:rsidRPr="007E66EE">
        <w:rPr>
          <w:sz w:val="20"/>
          <w:lang w:val="hr-HR"/>
        </w:rPr>
        <w:t xml:space="preserve"> à sa </w:t>
      </w:r>
      <w:proofErr w:type="spellStart"/>
      <w:r w:rsidRPr="007E66EE">
        <w:rPr>
          <w:sz w:val="20"/>
          <w:lang w:val="hr-HR"/>
        </w:rPr>
        <w:t>qualité</w:t>
      </w:r>
      <w:proofErr w:type="spellEnd"/>
      <w:r w:rsidRPr="007E66EE">
        <w:rPr>
          <w:sz w:val="20"/>
          <w:lang w:val="hr-HR"/>
        </w:rPr>
        <w:t xml:space="preserve">. </w:t>
      </w:r>
      <w:proofErr w:type="spellStart"/>
      <w:r w:rsidRPr="007E66EE">
        <w:rPr>
          <w:sz w:val="20"/>
          <w:lang w:val="hr-HR"/>
        </w:rPr>
        <w:t>Elle</w:t>
      </w:r>
      <w:proofErr w:type="spellEnd"/>
      <w:r w:rsidRPr="007E66EE">
        <w:rPr>
          <w:sz w:val="20"/>
          <w:lang w:val="hr-HR"/>
        </w:rPr>
        <w:t xml:space="preserve"> </w:t>
      </w:r>
      <w:proofErr w:type="spellStart"/>
      <w:r w:rsidRPr="007E66EE">
        <w:rPr>
          <w:sz w:val="20"/>
          <w:lang w:val="hr-HR"/>
        </w:rPr>
        <w:t>peut</w:t>
      </w:r>
      <w:proofErr w:type="spellEnd"/>
      <w:r w:rsidRPr="007E66EE">
        <w:rPr>
          <w:sz w:val="20"/>
          <w:lang w:val="hr-HR"/>
        </w:rPr>
        <w:t xml:space="preserve"> </w:t>
      </w:r>
      <w:proofErr w:type="spellStart"/>
      <w:r w:rsidRPr="007E66EE">
        <w:rPr>
          <w:sz w:val="20"/>
          <w:lang w:val="hr-HR"/>
        </w:rPr>
        <w:t>être</w:t>
      </w:r>
      <w:proofErr w:type="spellEnd"/>
      <w:r w:rsidRPr="007E66EE">
        <w:rPr>
          <w:sz w:val="20"/>
          <w:lang w:val="hr-HR"/>
        </w:rPr>
        <w:t xml:space="preserve"> </w:t>
      </w:r>
      <w:proofErr w:type="spellStart"/>
      <w:r w:rsidRPr="007E66EE">
        <w:rPr>
          <w:sz w:val="20"/>
          <w:lang w:val="hr-HR"/>
        </w:rPr>
        <w:t>téléchargée</w:t>
      </w:r>
      <w:proofErr w:type="spellEnd"/>
      <w:r w:rsidRPr="007E66EE">
        <w:rPr>
          <w:sz w:val="20"/>
          <w:lang w:val="hr-HR"/>
        </w:rPr>
        <w:t xml:space="preserve"> à</w:t>
      </w:r>
      <w:r>
        <w:rPr>
          <w:sz w:val="20"/>
          <w:lang w:val="hr-HR"/>
        </w:rPr>
        <w:t xml:space="preserve"> </w:t>
      </w:r>
      <w:proofErr w:type="spellStart"/>
      <w:r w:rsidRPr="007E66EE">
        <w:rPr>
          <w:sz w:val="20"/>
          <w:lang w:val="hr-HR"/>
        </w:rPr>
        <w:t>partir</w:t>
      </w:r>
      <w:proofErr w:type="spellEnd"/>
      <w:r w:rsidRPr="007E66EE">
        <w:rPr>
          <w:sz w:val="20"/>
          <w:lang w:val="hr-HR"/>
        </w:rPr>
        <w:t xml:space="preserve"> de HUDOC, la base de </w:t>
      </w:r>
      <w:proofErr w:type="spellStart"/>
      <w:r w:rsidRPr="007E66EE">
        <w:rPr>
          <w:sz w:val="20"/>
          <w:lang w:val="hr-HR"/>
        </w:rPr>
        <w:t>jurisprudence</w:t>
      </w:r>
      <w:proofErr w:type="spellEnd"/>
      <w:r w:rsidRPr="007E66EE">
        <w:rPr>
          <w:sz w:val="20"/>
          <w:lang w:val="hr-HR"/>
        </w:rPr>
        <w:t xml:space="preserve"> de la </w:t>
      </w:r>
      <w:proofErr w:type="spellStart"/>
      <w:r w:rsidRPr="007E66EE">
        <w:rPr>
          <w:sz w:val="20"/>
          <w:lang w:val="hr-HR"/>
        </w:rPr>
        <w:t>Cour</w:t>
      </w:r>
      <w:proofErr w:type="spellEnd"/>
      <w:r w:rsidRPr="007E66EE">
        <w:rPr>
          <w:sz w:val="20"/>
          <w:lang w:val="hr-HR"/>
        </w:rPr>
        <w:t xml:space="preserve"> </w:t>
      </w:r>
      <w:proofErr w:type="spellStart"/>
      <w:r w:rsidRPr="007E66EE">
        <w:rPr>
          <w:sz w:val="20"/>
          <w:lang w:val="hr-HR"/>
        </w:rPr>
        <w:t>européene</w:t>
      </w:r>
      <w:proofErr w:type="spellEnd"/>
      <w:r w:rsidRPr="007E66EE">
        <w:rPr>
          <w:sz w:val="20"/>
          <w:lang w:val="hr-HR"/>
        </w:rPr>
        <w:t xml:space="preserve"> </w:t>
      </w:r>
      <w:proofErr w:type="spellStart"/>
      <w:r w:rsidRPr="007E66EE">
        <w:rPr>
          <w:sz w:val="20"/>
          <w:lang w:val="hr-HR"/>
        </w:rPr>
        <w:t>des</w:t>
      </w:r>
      <w:proofErr w:type="spellEnd"/>
      <w:r w:rsidRPr="007E66EE">
        <w:rPr>
          <w:sz w:val="20"/>
          <w:lang w:val="hr-HR"/>
        </w:rPr>
        <w:t xml:space="preserve"> </w:t>
      </w:r>
      <w:proofErr w:type="spellStart"/>
      <w:r w:rsidRPr="007E66EE">
        <w:rPr>
          <w:sz w:val="20"/>
          <w:lang w:val="hr-HR"/>
        </w:rPr>
        <w:t>droits</w:t>
      </w:r>
      <w:proofErr w:type="spellEnd"/>
      <w:r w:rsidRPr="007E66EE">
        <w:rPr>
          <w:sz w:val="20"/>
          <w:lang w:val="hr-HR"/>
        </w:rPr>
        <w:t xml:space="preserve"> de </w:t>
      </w:r>
      <w:proofErr w:type="spellStart"/>
      <w:r w:rsidRPr="007E66EE">
        <w:rPr>
          <w:sz w:val="20"/>
          <w:lang w:val="hr-HR"/>
        </w:rPr>
        <w:t>l</w:t>
      </w:r>
      <w:r>
        <w:rPr>
          <w:sz w:val="20"/>
          <w:lang w:val="hr-HR"/>
        </w:rPr>
        <w:t>’</w:t>
      </w:r>
      <w:r w:rsidRPr="007E66EE">
        <w:rPr>
          <w:sz w:val="20"/>
          <w:lang w:val="hr-HR"/>
        </w:rPr>
        <w:t>homme</w:t>
      </w:r>
      <w:proofErr w:type="spellEnd"/>
      <w:r w:rsidRPr="007E66EE">
        <w:rPr>
          <w:sz w:val="20"/>
          <w:lang w:val="hr-HR"/>
        </w:rPr>
        <w:t xml:space="preserve"> (</w:t>
      </w:r>
      <w:hyperlink r:id="rId21" w:history="1">
        <w:r w:rsidRPr="007E66EE">
          <w:rPr>
            <w:rStyle w:val="Hyperlink"/>
            <w:sz w:val="20"/>
            <w:lang w:val="hr-HR"/>
          </w:rPr>
          <w:t>http://hudoc.echr.coe.int</w:t>
        </w:r>
      </w:hyperlink>
      <w:r w:rsidRPr="007E66EE">
        <w:rPr>
          <w:sz w:val="20"/>
          <w:lang w:val="hr-HR"/>
        </w:rPr>
        <w:t xml:space="preserve">), </w:t>
      </w:r>
      <w:proofErr w:type="spellStart"/>
      <w:r w:rsidRPr="007E66EE">
        <w:rPr>
          <w:sz w:val="20"/>
          <w:lang w:val="hr-HR"/>
        </w:rPr>
        <w:t>ou</w:t>
      </w:r>
      <w:proofErr w:type="spellEnd"/>
      <w:r w:rsidRPr="007E66EE">
        <w:rPr>
          <w:sz w:val="20"/>
          <w:lang w:val="hr-HR"/>
        </w:rPr>
        <w:t xml:space="preserve"> de </w:t>
      </w:r>
      <w:proofErr w:type="spellStart"/>
      <w:r w:rsidRPr="007E66EE">
        <w:rPr>
          <w:sz w:val="20"/>
          <w:lang w:val="hr-HR"/>
        </w:rPr>
        <w:t>toute</w:t>
      </w:r>
      <w:proofErr w:type="spellEnd"/>
      <w:r w:rsidRPr="007E66EE">
        <w:rPr>
          <w:sz w:val="20"/>
          <w:lang w:val="hr-HR"/>
        </w:rPr>
        <w:t xml:space="preserve"> </w:t>
      </w:r>
      <w:proofErr w:type="spellStart"/>
      <w:r w:rsidRPr="007E66EE">
        <w:rPr>
          <w:sz w:val="20"/>
          <w:lang w:val="hr-HR"/>
        </w:rPr>
        <w:t>autre</w:t>
      </w:r>
      <w:proofErr w:type="spellEnd"/>
      <w:r w:rsidRPr="007E66EE">
        <w:rPr>
          <w:sz w:val="20"/>
          <w:lang w:val="hr-HR"/>
        </w:rPr>
        <w:t xml:space="preserve"> base de </w:t>
      </w:r>
      <w:proofErr w:type="spellStart"/>
      <w:r w:rsidRPr="007E66EE">
        <w:rPr>
          <w:sz w:val="20"/>
          <w:lang w:val="hr-HR"/>
        </w:rPr>
        <w:t>données</w:t>
      </w:r>
      <w:proofErr w:type="spellEnd"/>
      <w:r w:rsidRPr="007E66EE">
        <w:rPr>
          <w:sz w:val="20"/>
          <w:lang w:val="hr-HR"/>
        </w:rPr>
        <w:t xml:space="preserve"> à la </w:t>
      </w:r>
      <w:proofErr w:type="spellStart"/>
      <w:r w:rsidRPr="007E66EE">
        <w:rPr>
          <w:sz w:val="20"/>
          <w:lang w:val="hr-HR"/>
        </w:rPr>
        <w:t>quelle</w:t>
      </w:r>
      <w:proofErr w:type="spellEnd"/>
      <w:r w:rsidRPr="007E66EE">
        <w:rPr>
          <w:sz w:val="20"/>
          <w:lang w:val="hr-HR"/>
        </w:rPr>
        <w:t xml:space="preserve"> HUDOC </w:t>
      </w:r>
      <w:proofErr w:type="spellStart"/>
      <w:r w:rsidRPr="007E66EE">
        <w:rPr>
          <w:sz w:val="20"/>
          <w:lang w:val="hr-HR"/>
        </w:rPr>
        <w:t>l</w:t>
      </w:r>
      <w:r>
        <w:rPr>
          <w:sz w:val="20"/>
          <w:lang w:val="hr-HR"/>
        </w:rPr>
        <w:t>’</w:t>
      </w:r>
      <w:r w:rsidRPr="007E66EE">
        <w:rPr>
          <w:sz w:val="20"/>
          <w:lang w:val="hr-HR"/>
        </w:rPr>
        <w:t>acommuniquée</w:t>
      </w:r>
      <w:proofErr w:type="spellEnd"/>
      <w:r w:rsidRPr="007E66EE">
        <w:rPr>
          <w:sz w:val="20"/>
          <w:lang w:val="hr-HR"/>
        </w:rPr>
        <w:t xml:space="preserve">. </w:t>
      </w:r>
      <w:proofErr w:type="spellStart"/>
      <w:r w:rsidRPr="007E66EE">
        <w:rPr>
          <w:sz w:val="20"/>
          <w:lang w:val="hr-HR"/>
        </w:rPr>
        <w:t>Elle</w:t>
      </w:r>
      <w:proofErr w:type="spellEnd"/>
      <w:r w:rsidRPr="007E66EE">
        <w:rPr>
          <w:sz w:val="20"/>
          <w:lang w:val="hr-HR"/>
        </w:rPr>
        <w:t xml:space="preserve"> </w:t>
      </w:r>
      <w:proofErr w:type="spellStart"/>
      <w:r w:rsidRPr="007E66EE">
        <w:rPr>
          <w:sz w:val="20"/>
          <w:lang w:val="hr-HR"/>
        </w:rPr>
        <w:t>peut</w:t>
      </w:r>
      <w:proofErr w:type="spellEnd"/>
      <w:r w:rsidRPr="007E66EE">
        <w:rPr>
          <w:sz w:val="20"/>
          <w:lang w:val="hr-HR"/>
        </w:rPr>
        <w:t xml:space="preserve"> </w:t>
      </w:r>
      <w:proofErr w:type="spellStart"/>
      <w:r w:rsidRPr="007E66EE">
        <w:rPr>
          <w:sz w:val="20"/>
          <w:lang w:val="hr-HR"/>
        </w:rPr>
        <w:t>être</w:t>
      </w:r>
      <w:proofErr w:type="spellEnd"/>
      <w:r w:rsidRPr="007E66EE">
        <w:rPr>
          <w:sz w:val="20"/>
          <w:lang w:val="hr-HR"/>
        </w:rPr>
        <w:t xml:space="preserve"> </w:t>
      </w:r>
      <w:proofErr w:type="spellStart"/>
      <w:r w:rsidRPr="007E66EE">
        <w:rPr>
          <w:sz w:val="20"/>
          <w:lang w:val="hr-HR"/>
        </w:rPr>
        <w:t>reproduite</w:t>
      </w:r>
      <w:proofErr w:type="spellEnd"/>
      <w:r w:rsidRPr="007E66EE">
        <w:rPr>
          <w:sz w:val="20"/>
          <w:lang w:val="hr-HR"/>
        </w:rPr>
        <w:t xml:space="preserve"> à </w:t>
      </w:r>
      <w:proofErr w:type="spellStart"/>
      <w:r w:rsidRPr="007E66EE">
        <w:rPr>
          <w:sz w:val="20"/>
          <w:lang w:val="hr-HR"/>
        </w:rPr>
        <w:t>des</w:t>
      </w:r>
      <w:proofErr w:type="spellEnd"/>
      <w:r w:rsidRPr="007E66EE">
        <w:rPr>
          <w:sz w:val="20"/>
          <w:lang w:val="hr-HR"/>
        </w:rPr>
        <w:t xml:space="preserve"> </w:t>
      </w:r>
      <w:proofErr w:type="spellStart"/>
      <w:r w:rsidRPr="007E66EE">
        <w:rPr>
          <w:sz w:val="20"/>
          <w:lang w:val="hr-HR"/>
        </w:rPr>
        <w:t>fins</w:t>
      </w:r>
      <w:proofErr w:type="spellEnd"/>
      <w:r w:rsidRPr="007E66EE">
        <w:rPr>
          <w:sz w:val="20"/>
          <w:lang w:val="hr-HR"/>
        </w:rPr>
        <w:t xml:space="preserve"> </w:t>
      </w:r>
      <w:proofErr w:type="spellStart"/>
      <w:r w:rsidRPr="007E66EE">
        <w:rPr>
          <w:sz w:val="20"/>
          <w:lang w:val="hr-HR"/>
        </w:rPr>
        <w:t>non</w:t>
      </w:r>
      <w:proofErr w:type="spellEnd"/>
      <w:r w:rsidRPr="007E66EE">
        <w:rPr>
          <w:sz w:val="20"/>
          <w:lang w:val="hr-HR"/>
        </w:rPr>
        <w:t xml:space="preserve"> </w:t>
      </w:r>
      <w:proofErr w:type="spellStart"/>
      <w:r w:rsidRPr="007E66EE">
        <w:rPr>
          <w:sz w:val="20"/>
          <w:lang w:val="hr-HR"/>
        </w:rPr>
        <w:t>commerciales</w:t>
      </w:r>
      <w:proofErr w:type="spellEnd"/>
      <w:r w:rsidRPr="007E66EE">
        <w:rPr>
          <w:sz w:val="20"/>
          <w:lang w:val="hr-HR"/>
        </w:rPr>
        <w:t xml:space="preserve">, </w:t>
      </w:r>
      <w:proofErr w:type="spellStart"/>
      <w:r w:rsidRPr="007E66EE">
        <w:rPr>
          <w:sz w:val="20"/>
          <w:lang w:val="hr-HR"/>
        </w:rPr>
        <w:t>sous</w:t>
      </w:r>
      <w:proofErr w:type="spellEnd"/>
      <w:r w:rsidRPr="007E66EE">
        <w:rPr>
          <w:sz w:val="20"/>
          <w:lang w:val="hr-HR"/>
        </w:rPr>
        <w:t xml:space="preserve"> </w:t>
      </w:r>
      <w:proofErr w:type="spellStart"/>
      <w:r w:rsidRPr="007E66EE">
        <w:rPr>
          <w:sz w:val="20"/>
          <w:lang w:val="hr-HR"/>
        </w:rPr>
        <w:t>réserve</w:t>
      </w:r>
      <w:proofErr w:type="spellEnd"/>
      <w:r w:rsidRPr="007E66EE">
        <w:rPr>
          <w:sz w:val="20"/>
          <w:lang w:val="hr-HR"/>
        </w:rPr>
        <w:t xml:space="preserve"> </w:t>
      </w:r>
      <w:proofErr w:type="spellStart"/>
      <w:r w:rsidRPr="007E66EE">
        <w:rPr>
          <w:sz w:val="20"/>
          <w:lang w:val="hr-HR"/>
        </w:rPr>
        <w:t>que</w:t>
      </w:r>
      <w:proofErr w:type="spellEnd"/>
      <w:r w:rsidRPr="007E66EE">
        <w:rPr>
          <w:sz w:val="20"/>
          <w:lang w:val="hr-HR"/>
        </w:rPr>
        <w:t xml:space="preserve"> </w:t>
      </w:r>
      <w:proofErr w:type="spellStart"/>
      <w:r w:rsidRPr="007E66EE">
        <w:rPr>
          <w:sz w:val="20"/>
          <w:lang w:val="hr-HR"/>
        </w:rPr>
        <w:t>le</w:t>
      </w:r>
      <w:proofErr w:type="spellEnd"/>
      <w:r w:rsidRPr="007E66EE">
        <w:rPr>
          <w:sz w:val="20"/>
          <w:lang w:val="hr-HR"/>
        </w:rPr>
        <w:t xml:space="preserve"> </w:t>
      </w:r>
      <w:proofErr w:type="spellStart"/>
      <w:r w:rsidRPr="007E66EE">
        <w:rPr>
          <w:sz w:val="20"/>
          <w:lang w:val="hr-HR"/>
        </w:rPr>
        <w:t>titre</w:t>
      </w:r>
      <w:proofErr w:type="spellEnd"/>
      <w:r w:rsidRPr="007E66EE">
        <w:rPr>
          <w:sz w:val="20"/>
          <w:lang w:val="hr-HR"/>
        </w:rPr>
        <w:t xml:space="preserve"> de </w:t>
      </w:r>
      <w:proofErr w:type="spellStart"/>
      <w:r w:rsidRPr="007E66EE">
        <w:rPr>
          <w:sz w:val="20"/>
          <w:lang w:val="hr-HR"/>
        </w:rPr>
        <w:t>l</w:t>
      </w:r>
      <w:r>
        <w:rPr>
          <w:sz w:val="20"/>
          <w:lang w:val="hr-HR"/>
        </w:rPr>
        <w:t>’</w:t>
      </w:r>
      <w:r w:rsidRPr="007E66EE">
        <w:rPr>
          <w:sz w:val="20"/>
          <w:lang w:val="hr-HR"/>
        </w:rPr>
        <w:t>affaire</w:t>
      </w:r>
      <w:proofErr w:type="spellEnd"/>
      <w:r w:rsidRPr="007E66EE">
        <w:rPr>
          <w:sz w:val="20"/>
          <w:lang w:val="hr-HR"/>
        </w:rPr>
        <w:t xml:space="preserve"> </w:t>
      </w:r>
      <w:proofErr w:type="spellStart"/>
      <w:r w:rsidRPr="007E66EE">
        <w:rPr>
          <w:sz w:val="20"/>
          <w:lang w:val="hr-HR"/>
        </w:rPr>
        <w:t>soit</w:t>
      </w:r>
      <w:proofErr w:type="spellEnd"/>
      <w:r w:rsidRPr="007E66EE">
        <w:rPr>
          <w:sz w:val="20"/>
          <w:lang w:val="hr-HR"/>
        </w:rPr>
        <w:t xml:space="preserve"> </w:t>
      </w:r>
      <w:proofErr w:type="spellStart"/>
      <w:r w:rsidRPr="007E66EE">
        <w:rPr>
          <w:sz w:val="20"/>
          <w:lang w:val="hr-HR"/>
        </w:rPr>
        <w:t>cité</w:t>
      </w:r>
      <w:proofErr w:type="spellEnd"/>
      <w:r w:rsidRPr="007E66EE">
        <w:rPr>
          <w:sz w:val="20"/>
          <w:lang w:val="hr-HR"/>
        </w:rPr>
        <w:t xml:space="preserve"> </w:t>
      </w:r>
      <w:proofErr w:type="spellStart"/>
      <w:r w:rsidRPr="007E66EE">
        <w:rPr>
          <w:sz w:val="20"/>
          <w:lang w:val="hr-HR"/>
        </w:rPr>
        <w:t>en</w:t>
      </w:r>
      <w:proofErr w:type="spellEnd"/>
      <w:r w:rsidRPr="007E66EE">
        <w:rPr>
          <w:sz w:val="20"/>
          <w:lang w:val="hr-HR"/>
        </w:rPr>
        <w:t xml:space="preserve"> </w:t>
      </w:r>
      <w:proofErr w:type="spellStart"/>
      <w:r w:rsidRPr="007E66EE">
        <w:rPr>
          <w:sz w:val="20"/>
          <w:lang w:val="hr-HR"/>
        </w:rPr>
        <w:t>entier</w:t>
      </w:r>
      <w:proofErr w:type="spellEnd"/>
      <w:r w:rsidRPr="007E66EE">
        <w:rPr>
          <w:sz w:val="20"/>
          <w:lang w:val="hr-HR"/>
        </w:rPr>
        <w:t xml:space="preserve"> </w:t>
      </w:r>
      <w:proofErr w:type="spellStart"/>
      <w:r w:rsidRPr="007E66EE">
        <w:rPr>
          <w:sz w:val="20"/>
          <w:lang w:val="hr-HR"/>
        </w:rPr>
        <w:t>et</w:t>
      </w:r>
      <w:proofErr w:type="spellEnd"/>
      <w:r w:rsidRPr="007E66EE">
        <w:rPr>
          <w:sz w:val="20"/>
          <w:lang w:val="hr-HR"/>
        </w:rPr>
        <w:t xml:space="preserve"> </w:t>
      </w:r>
      <w:proofErr w:type="spellStart"/>
      <w:r w:rsidRPr="007E66EE">
        <w:rPr>
          <w:sz w:val="20"/>
          <w:lang w:val="hr-HR"/>
        </w:rPr>
        <w:t>s</w:t>
      </w:r>
      <w:r>
        <w:rPr>
          <w:sz w:val="20"/>
          <w:lang w:val="hr-HR"/>
        </w:rPr>
        <w:t>’</w:t>
      </w:r>
      <w:r w:rsidRPr="007E66EE">
        <w:rPr>
          <w:sz w:val="20"/>
          <w:lang w:val="hr-HR"/>
        </w:rPr>
        <w:t>accompagne</w:t>
      </w:r>
      <w:proofErr w:type="spellEnd"/>
      <w:r w:rsidRPr="007E66EE">
        <w:rPr>
          <w:sz w:val="20"/>
          <w:lang w:val="hr-HR"/>
        </w:rPr>
        <w:t xml:space="preserve"> de </w:t>
      </w:r>
      <w:proofErr w:type="spellStart"/>
      <w:r w:rsidRPr="007E66EE">
        <w:rPr>
          <w:sz w:val="20"/>
          <w:lang w:val="hr-HR"/>
        </w:rPr>
        <w:t>l</w:t>
      </w:r>
      <w:r>
        <w:rPr>
          <w:sz w:val="20"/>
          <w:lang w:val="hr-HR"/>
        </w:rPr>
        <w:t>’</w:t>
      </w:r>
      <w:r w:rsidRPr="007E66EE">
        <w:rPr>
          <w:sz w:val="20"/>
          <w:lang w:val="hr-HR"/>
        </w:rPr>
        <w:t>indication</w:t>
      </w:r>
      <w:proofErr w:type="spellEnd"/>
      <w:r w:rsidRPr="007E66EE">
        <w:rPr>
          <w:sz w:val="20"/>
          <w:lang w:val="hr-HR"/>
        </w:rPr>
        <w:t xml:space="preserve"> de copyright ci-</w:t>
      </w:r>
      <w:proofErr w:type="spellStart"/>
      <w:r w:rsidRPr="007E66EE">
        <w:rPr>
          <w:sz w:val="20"/>
          <w:lang w:val="hr-HR"/>
        </w:rPr>
        <w:t>dessus</w:t>
      </w:r>
      <w:proofErr w:type="spellEnd"/>
      <w:r w:rsidRPr="007E66EE">
        <w:rPr>
          <w:sz w:val="20"/>
          <w:lang w:val="hr-HR"/>
        </w:rPr>
        <w:t xml:space="preserve"> </w:t>
      </w:r>
      <w:proofErr w:type="spellStart"/>
      <w:r w:rsidRPr="007E66EE">
        <w:rPr>
          <w:sz w:val="20"/>
          <w:lang w:val="hr-HR"/>
        </w:rPr>
        <w:t>ainsi</w:t>
      </w:r>
      <w:proofErr w:type="spellEnd"/>
      <w:r w:rsidRPr="007E66EE">
        <w:rPr>
          <w:sz w:val="20"/>
          <w:lang w:val="hr-HR"/>
        </w:rPr>
        <w:t xml:space="preserve"> </w:t>
      </w:r>
      <w:proofErr w:type="spellStart"/>
      <w:r w:rsidRPr="007E66EE">
        <w:rPr>
          <w:sz w:val="20"/>
          <w:lang w:val="hr-HR"/>
        </w:rPr>
        <w:t>que</w:t>
      </w:r>
      <w:proofErr w:type="spellEnd"/>
      <w:r w:rsidRPr="007E66EE">
        <w:rPr>
          <w:sz w:val="20"/>
          <w:lang w:val="hr-HR"/>
        </w:rPr>
        <w:t xml:space="preserve"> de la référence au </w:t>
      </w:r>
      <w:proofErr w:type="spellStart"/>
      <w:r w:rsidRPr="007E66EE">
        <w:rPr>
          <w:sz w:val="20"/>
          <w:lang w:val="hr-HR"/>
        </w:rPr>
        <w:t>Fonds</w:t>
      </w:r>
      <w:proofErr w:type="spellEnd"/>
      <w:r w:rsidRPr="007E66EE">
        <w:rPr>
          <w:sz w:val="20"/>
          <w:lang w:val="hr-HR"/>
        </w:rPr>
        <w:t xml:space="preserve"> </w:t>
      </w:r>
      <w:proofErr w:type="spellStart"/>
      <w:r w:rsidRPr="007E66EE">
        <w:rPr>
          <w:sz w:val="20"/>
          <w:lang w:val="hr-HR"/>
        </w:rPr>
        <w:t>fiduciare</w:t>
      </w:r>
      <w:proofErr w:type="spellEnd"/>
      <w:r w:rsidRPr="007E66EE">
        <w:rPr>
          <w:sz w:val="20"/>
          <w:lang w:val="hr-HR"/>
        </w:rPr>
        <w:t xml:space="preserve"> </w:t>
      </w:r>
      <w:proofErr w:type="spellStart"/>
      <w:r w:rsidRPr="007E66EE">
        <w:rPr>
          <w:sz w:val="20"/>
          <w:lang w:val="hr-HR"/>
        </w:rPr>
        <w:t>our</w:t>
      </w:r>
      <w:proofErr w:type="spellEnd"/>
      <w:r w:rsidRPr="007E66EE">
        <w:rPr>
          <w:sz w:val="20"/>
          <w:lang w:val="hr-HR"/>
        </w:rPr>
        <w:t xml:space="preserve"> les </w:t>
      </w:r>
      <w:proofErr w:type="spellStart"/>
      <w:r w:rsidRPr="007E66EE">
        <w:rPr>
          <w:sz w:val="20"/>
          <w:lang w:val="hr-HR"/>
        </w:rPr>
        <w:t>droits</w:t>
      </w:r>
      <w:proofErr w:type="spellEnd"/>
      <w:r w:rsidRPr="007E66EE">
        <w:rPr>
          <w:sz w:val="20"/>
          <w:lang w:val="hr-HR"/>
        </w:rPr>
        <w:t xml:space="preserve"> de </w:t>
      </w:r>
      <w:proofErr w:type="spellStart"/>
      <w:r w:rsidRPr="007E66EE">
        <w:rPr>
          <w:sz w:val="20"/>
          <w:lang w:val="hr-HR"/>
        </w:rPr>
        <w:t>l</w:t>
      </w:r>
      <w:r>
        <w:rPr>
          <w:sz w:val="20"/>
          <w:lang w:val="hr-HR"/>
        </w:rPr>
        <w:t>’</w:t>
      </w:r>
      <w:r w:rsidRPr="007E66EE">
        <w:rPr>
          <w:sz w:val="20"/>
          <w:lang w:val="hr-HR"/>
        </w:rPr>
        <w:t>homme</w:t>
      </w:r>
      <w:proofErr w:type="spellEnd"/>
      <w:r w:rsidRPr="007E66EE">
        <w:rPr>
          <w:sz w:val="20"/>
          <w:lang w:val="hr-HR"/>
        </w:rPr>
        <w:t xml:space="preserve">. </w:t>
      </w:r>
      <w:proofErr w:type="spellStart"/>
      <w:r w:rsidRPr="007E66EE">
        <w:rPr>
          <w:sz w:val="20"/>
          <w:lang w:val="hr-HR"/>
        </w:rPr>
        <w:t>Toute</w:t>
      </w:r>
      <w:proofErr w:type="spellEnd"/>
      <w:r w:rsidRPr="007E66EE">
        <w:rPr>
          <w:sz w:val="20"/>
          <w:lang w:val="hr-HR"/>
        </w:rPr>
        <w:t xml:space="preserve"> </w:t>
      </w:r>
      <w:proofErr w:type="spellStart"/>
      <w:r w:rsidRPr="007E66EE">
        <w:rPr>
          <w:sz w:val="20"/>
          <w:lang w:val="hr-HR"/>
        </w:rPr>
        <w:t>personne</w:t>
      </w:r>
      <w:proofErr w:type="spellEnd"/>
      <w:r w:rsidRPr="007E66EE">
        <w:rPr>
          <w:sz w:val="20"/>
          <w:lang w:val="hr-HR"/>
        </w:rPr>
        <w:t xml:space="preserve"> </w:t>
      </w:r>
      <w:proofErr w:type="spellStart"/>
      <w:r w:rsidRPr="007E66EE">
        <w:rPr>
          <w:sz w:val="20"/>
          <w:lang w:val="hr-HR"/>
        </w:rPr>
        <w:t>souhaitant</w:t>
      </w:r>
      <w:proofErr w:type="spellEnd"/>
      <w:r w:rsidRPr="007E66EE">
        <w:rPr>
          <w:sz w:val="20"/>
          <w:lang w:val="hr-HR"/>
        </w:rPr>
        <w:t xml:space="preserve"> se </w:t>
      </w:r>
      <w:proofErr w:type="spellStart"/>
      <w:r w:rsidRPr="007E66EE">
        <w:rPr>
          <w:sz w:val="20"/>
          <w:lang w:val="hr-HR"/>
        </w:rPr>
        <w:t>servir</w:t>
      </w:r>
      <w:proofErr w:type="spellEnd"/>
      <w:r w:rsidRPr="007E66EE">
        <w:rPr>
          <w:sz w:val="20"/>
          <w:lang w:val="hr-HR"/>
        </w:rPr>
        <w:t xml:space="preserve"> de </w:t>
      </w:r>
      <w:proofErr w:type="spellStart"/>
      <w:r w:rsidRPr="007E66EE">
        <w:rPr>
          <w:sz w:val="20"/>
          <w:lang w:val="hr-HR"/>
        </w:rPr>
        <w:t>tout</w:t>
      </w:r>
      <w:proofErr w:type="spellEnd"/>
      <w:r w:rsidRPr="007E66EE">
        <w:rPr>
          <w:sz w:val="20"/>
          <w:lang w:val="hr-HR"/>
        </w:rPr>
        <w:t xml:space="preserve"> </w:t>
      </w:r>
      <w:proofErr w:type="spellStart"/>
      <w:r w:rsidRPr="007E66EE">
        <w:rPr>
          <w:sz w:val="20"/>
          <w:lang w:val="hr-HR"/>
        </w:rPr>
        <w:t>ou</w:t>
      </w:r>
      <w:proofErr w:type="spellEnd"/>
      <w:r w:rsidRPr="007E66EE">
        <w:rPr>
          <w:sz w:val="20"/>
          <w:lang w:val="hr-HR"/>
        </w:rPr>
        <w:t xml:space="preserve"> </w:t>
      </w:r>
      <w:proofErr w:type="spellStart"/>
      <w:r w:rsidRPr="007E66EE">
        <w:rPr>
          <w:sz w:val="20"/>
          <w:lang w:val="hr-HR"/>
        </w:rPr>
        <w:t>partie</w:t>
      </w:r>
      <w:proofErr w:type="spellEnd"/>
      <w:r w:rsidRPr="007E66EE">
        <w:rPr>
          <w:sz w:val="20"/>
          <w:lang w:val="hr-HR"/>
        </w:rPr>
        <w:t xml:space="preserve"> de la </w:t>
      </w:r>
      <w:proofErr w:type="spellStart"/>
      <w:r w:rsidRPr="007E66EE">
        <w:rPr>
          <w:sz w:val="20"/>
          <w:lang w:val="hr-HR"/>
        </w:rPr>
        <w:t>préssente</w:t>
      </w:r>
      <w:proofErr w:type="spellEnd"/>
      <w:r w:rsidRPr="007E66EE">
        <w:rPr>
          <w:sz w:val="20"/>
          <w:lang w:val="hr-HR"/>
        </w:rPr>
        <w:t xml:space="preserve"> </w:t>
      </w:r>
      <w:proofErr w:type="spellStart"/>
      <w:r w:rsidRPr="007E66EE">
        <w:rPr>
          <w:sz w:val="20"/>
          <w:lang w:val="hr-HR"/>
        </w:rPr>
        <w:t>traduction</w:t>
      </w:r>
      <w:proofErr w:type="spellEnd"/>
      <w:r w:rsidRPr="007E66EE">
        <w:rPr>
          <w:sz w:val="20"/>
          <w:lang w:val="hr-HR"/>
        </w:rPr>
        <w:t xml:space="preserve"> à </w:t>
      </w:r>
      <w:proofErr w:type="spellStart"/>
      <w:r w:rsidRPr="007E66EE">
        <w:rPr>
          <w:sz w:val="20"/>
          <w:lang w:val="hr-HR"/>
        </w:rPr>
        <w:t>des</w:t>
      </w:r>
      <w:proofErr w:type="spellEnd"/>
      <w:r w:rsidRPr="007E66EE">
        <w:rPr>
          <w:sz w:val="20"/>
          <w:lang w:val="hr-HR"/>
        </w:rPr>
        <w:t xml:space="preserve"> </w:t>
      </w:r>
      <w:proofErr w:type="spellStart"/>
      <w:r w:rsidRPr="007E66EE">
        <w:rPr>
          <w:sz w:val="20"/>
          <w:lang w:val="hr-HR"/>
        </w:rPr>
        <w:t>fins</w:t>
      </w:r>
      <w:proofErr w:type="spellEnd"/>
      <w:r w:rsidRPr="007E66EE">
        <w:rPr>
          <w:sz w:val="20"/>
          <w:lang w:val="hr-HR"/>
        </w:rPr>
        <w:t xml:space="preserve"> </w:t>
      </w:r>
      <w:proofErr w:type="spellStart"/>
      <w:r w:rsidRPr="007E66EE">
        <w:rPr>
          <w:sz w:val="20"/>
          <w:lang w:val="hr-HR"/>
        </w:rPr>
        <w:t>commerciales</w:t>
      </w:r>
      <w:proofErr w:type="spellEnd"/>
      <w:r w:rsidRPr="007E66EE">
        <w:rPr>
          <w:sz w:val="20"/>
          <w:lang w:val="hr-HR"/>
        </w:rPr>
        <w:t xml:space="preserve"> </w:t>
      </w:r>
      <w:proofErr w:type="spellStart"/>
      <w:r w:rsidRPr="007E66EE">
        <w:rPr>
          <w:sz w:val="20"/>
          <w:lang w:val="hr-HR"/>
        </w:rPr>
        <w:t>est</w:t>
      </w:r>
      <w:proofErr w:type="spellEnd"/>
      <w:r w:rsidRPr="007E66EE">
        <w:rPr>
          <w:sz w:val="20"/>
          <w:lang w:val="hr-HR"/>
        </w:rPr>
        <w:t xml:space="preserve"> </w:t>
      </w:r>
      <w:proofErr w:type="spellStart"/>
      <w:r w:rsidRPr="007E66EE">
        <w:rPr>
          <w:sz w:val="20"/>
          <w:lang w:val="hr-HR"/>
        </w:rPr>
        <w:t>invitée</w:t>
      </w:r>
      <w:proofErr w:type="spellEnd"/>
      <w:r w:rsidRPr="007E66EE">
        <w:rPr>
          <w:sz w:val="20"/>
          <w:lang w:val="hr-HR"/>
        </w:rPr>
        <w:t xml:space="preserve"> à </w:t>
      </w:r>
      <w:proofErr w:type="spellStart"/>
      <w:r w:rsidRPr="007E66EE">
        <w:rPr>
          <w:sz w:val="20"/>
          <w:lang w:val="hr-HR"/>
        </w:rPr>
        <w:t>le</w:t>
      </w:r>
      <w:proofErr w:type="spellEnd"/>
      <w:r w:rsidRPr="007E66EE">
        <w:rPr>
          <w:sz w:val="20"/>
          <w:lang w:val="hr-HR"/>
        </w:rPr>
        <w:t xml:space="preserve"> </w:t>
      </w:r>
      <w:proofErr w:type="spellStart"/>
      <w:r w:rsidRPr="007E66EE">
        <w:rPr>
          <w:sz w:val="20"/>
          <w:lang w:val="hr-HR"/>
        </w:rPr>
        <w:t>signaler</w:t>
      </w:r>
      <w:proofErr w:type="spellEnd"/>
      <w:r w:rsidRPr="007E66EE">
        <w:rPr>
          <w:sz w:val="20"/>
          <w:lang w:val="hr-HR"/>
        </w:rPr>
        <w:t xml:space="preserve"> à </w:t>
      </w:r>
      <w:proofErr w:type="spellStart"/>
      <w:r w:rsidRPr="007E66EE">
        <w:rPr>
          <w:sz w:val="20"/>
          <w:lang w:val="hr-HR"/>
        </w:rPr>
        <w:t>l</w:t>
      </w:r>
      <w:r>
        <w:rPr>
          <w:sz w:val="20"/>
          <w:lang w:val="hr-HR"/>
        </w:rPr>
        <w:t>’</w:t>
      </w:r>
      <w:r w:rsidRPr="007E66EE">
        <w:rPr>
          <w:sz w:val="20"/>
          <w:lang w:val="hr-HR"/>
        </w:rPr>
        <w:t>adresse</w:t>
      </w:r>
      <w:proofErr w:type="spellEnd"/>
      <w:r w:rsidRPr="007E66EE">
        <w:rPr>
          <w:sz w:val="20"/>
          <w:lang w:val="hr-HR"/>
        </w:rPr>
        <w:t xml:space="preserve"> </w:t>
      </w:r>
      <w:proofErr w:type="spellStart"/>
      <w:r w:rsidRPr="007E66EE">
        <w:rPr>
          <w:sz w:val="20"/>
          <w:lang w:val="hr-HR"/>
        </w:rPr>
        <w:t>suivante</w:t>
      </w:r>
      <w:proofErr w:type="spellEnd"/>
      <w:r w:rsidRPr="007E66EE">
        <w:rPr>
          <w:sz w:val="20"/>
          <w:lang w:val="hr-HR"/>
        </w:rPr>
        <w:t xml:space="preserve"> </w:t>
      </w:r>
      <w:hyperlink r:id="rId22" w:history="1">
        <w:r w:rsidRPr="007E66EE">
          <w:rPr>
            <w:rStyle w:val="Hyperlink"/>
            <w:sz w:val="20"/>
            <w:lang w:val="hr-HR"/>
          </w:rPr>
          <w:t>publishing@echr.coe.int</w:t>
        </w:r>
      </w:hyperlink>
      <w:r w:rsidRPr="007E66EE">
        <w:rPr>
          <w:sz w:val="20"/>
          <w:lang w:val="hr-HR"/>
        </w:rPr>
        <w:t>.</w:t>
      </w:r>
    </w:p>
    <w:sectPr w:rsidR="000610A7" w:rsidRPr="007E66EE" w:rsidSect="00C502B3">
      <w:headerReference w:type="even" r:id="rId23"/>
      <w:headerReference w:type="default" r:id="rId24"/>
      <w:footnotePr>
        <w:numRestart w:val="eachPage"/>
      </w:footnotePr>
      <w:pgSz w:w="11906" w:h="16838" w:code="9"/>
      <w:pgMar w:top="2274" w:right="2274" w:bottom="2274" w:left="2274" w:header="1701" w:footer="720" w:gutter="0"/>
      <w:pgNumType w:start="1"/>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6E8B" w:rsidRDefault="00516E8B">
      <w:r>
        <w:separator/>
      </w:r>
    </w:p>
  </w:endnote>
  <w:endnote w:type="continuationSeparator" w:id="0">
    <w:p w:rsidR="00516E8B" w:rsidRDefault="00516E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notTrueType/>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Narrow">
    <w:altName w:val="Times New Roman"/>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6E8B" w:rsidRDefault="00516E8B">
      <w:r>
        <w:separator/>
      </w:r>
    </w:p>
  </w:footnote>
  <w:footnote w:type="continuationSeparator" w:id="0">
    <w:p w:rsidR="00516E8B" w:rsidRDefault="00516E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10A7" w:rsidRPr="00C00F0F" w:rsidRDefault="00117036">
    <w:pPr>
      <w:pStyle w:val="Header"/>
      <w:jc w:val="center"/>
      <w:rPr>
        <w:sz w:val="4"/>
        <w:szCs w:val="4"/>
      </w:rPr>
    </w:pPr>
    <w:r>
      <w:rPr>
        <w:noProof/>
        <w:sz w:val="4"/>
        <w:szCs w:val="4"/>
        <w:lang w:val="bs-Latn-BA" w:eastAsia="bs-Latn-BA"/>
      </w:rPr>
      <w:drawing>
        <wp:inline distT="0" distB="0" distL="0" distR="0">
          <wp:extent cx="4095750" cy="2085975"/>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5750" cy="2085975"/>
                  </a:xfrm>
                  <a:prstGeom prst="rect">
                    <a:avLst/>
                  </a:prstGeom>
                  <a:noFill/>
                  <a:ln>
                    <a:noFill/>
                  </a:ln>
                </pic:spPr>
              </pic:pic>
            </a:graphicData>
          </a:graphic>
        </wp:inline>
      </w:drawing>
    </w:r>
  </w:p>
  <w:p w:rsidR="000610A7" w:rsidRPr="00F35446" w:rsidRDefault="000610A7" w:rsidP="006F496E">
    <w:pPr>
      <w:pStyle w:val="JuHeader"/>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10A7" w:rsidRPr="005C7494" w:rsidRDefault="000610A7">
    <w:pPr>
      <w:pStyle w:val="JuHeader"/>
      <w:rPr>
        <w:lang w:val="fi-FI"/>
      </w:rPr>
    </w:pPr>
    <w:r w:rsidRPr="005C7494">
      <w:rPr>
        <w:rStyle w:val="PageNumber"/>
        <w:lang w:val="fi-FI"/>
      </w:rPr>
      <w:fldChar w:fldCharType="begin"/>
    </w:r>
    <w:r w:rsidRPr="005C7494">
      <w:rPr>
        <w:rStyle w:val="PageNumber"/>
        <w:lang w:val="fi-FI"/>
      </w:rPr>
      <w:instrText xml:space="preserve"> PAGE </w:instrText>
    </w:r>
    <w:r w:rsidRPr="005C7494">
      <w:rPr>
        <w:rStyle w:val="PageNumber"/>
        <w:lang w:val="fi-FI"/>
      </w:rPr>
      <w:fldChar w:fldCharType="separate"/>
    </w:r>
    <w:r w:rsidR="005457DA">
      <w:rPr>
        <w:rStyle w:val="PageNumber"/>
        <w:noProof/>
        <w:lang w:val="fi-FI"/>
      </w:rPr>
      <w:t>18</w:t>
    </w:r>
    <w:r w:rsidRPr="005C7494">
      <w:rPr>
        <w:rStyle w:val="PageNumber"/>
        <w:lang w:val="fi-FI"/>
      </w:rPr>
      <w:fldChar w:fldCharType="end"/>
    </w:r>
    <w:r w:rsidRPr="005C7494">
      <w:rPr>
        <w:lang w:val="fi-FI"/>
      </w:rPr>
      <w:tab/>
      <w:t xml:space="preserve">PRESUDA PALOMO SÁNCHEZ I OSTALI </w:t>
    </w:r>
    <w:proofErr w:type="spellStart"/>
    <w:r w:rsidRPr="005C7494">
      <w:rPr>
        <w:lang w:val="fi-FI"/>
      </w:rPr>
      <w:t>protiv</w:t>
    </w:r>
    <w:proofErr w:type="spellEnd"/>
    <w:r w:rsidRPr="005C7494">
      <w:rPr>
        <w:lang w:val="fi-FI"/>
      </w:rPr>
      <w:t xml:space="preserve"> ŠPANJOLSKE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10A7" w:rsidRPr="005C7494" w:rsidRDefault="000610A7">
    <w:pPr>
      <w:pStyle w:val="JuHeader"/>
      <w:rPr>
        <w:rStyle w:val="PageNumber"/>
        <w:lang w:val="fi-FI"/>
      </w:rPr>
    </w:pPr>
    <w:r>
      <w:tab/>
    </w:r>
    <w:r w:rsidRPr="005C7494">
      <w:rPr>
        <w:lang w:val="fi-FI"/>
      </w:rPr>
      <w:t xml:space="preserve">PRESUDA PALOMO SÁNCHEZ I OSTALI </w:t>
    </w:r>
    <w:proofErr w:type="spellStart"/>
    <w:r w:rsidRPr="005C7494">
      <w:rPr>
        <w:lang w:val="fi-FI"/>
      </w:rPr>
      <w:t>protiv</w:t>
    </w:r>
    <w:proofErr w:type="spellEnd"/>
    <w:r w:rsidRPr="005C7494">
      <w:rPr>
        <w:lang w:val="fi-FI"/>
      </w:rPr>
      <w:t xml:space="preserve"> ŠPANJOLSKE  </w:t>
    </w:r>
    <w:r w:rsidRPr="005C7494">
      <w:rPr>
        <w:lang w:val="fi-FI"/>
      </w:rPr>
      <w:tab/>
    </w:r>
    <w:r w:rsidRPr="005C7494">
      <w:rPr>
        <w:rStyle w:val="PageNumber"/>
        <w:lang w:val="fi-FI"/>
      </w:rPr>
      <w:fldChar w:fldCharType="begin"/>
    </w:r>
    <w:r w:rsidRPr="005C7494">
      <w:rPr>
        <w:rStyle w:val="PageNumber"/>
        <w:lang w:val="fi-FI"/>
      </w:rPr>
      <w:instrText xml:space="preserve"> PAGE </w:instrText>
    </w:r>
    <w:r w:rsidRPr="005C7494">
      <w:rPr>
        <w:rStyle w:val="PageNumber"/>
        <w:lang w:val="fi-FI"/>
      </w:rPr>
      <w:fldChar w:fldCharType="separate"/>
    </w:r>
    <w:r w:rsidR="005457DA">
      <w:rPr>
        <w:rStyle w:val="PageNumber"/>
        <w:noProof/>
        <w:lang w:val="fi-FI"/>
      </w:rPr>
      <w:t>19</w:t>
    </w:r>
    <w:r w:rsidRPr="005C7494">
      <w:rPr>
        <w:rStyle w:val="PageNumber"/>
        <w:lang w:val="fi-FI"/>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24AC65D0"/>
    <w:lvl w:ilvl="0">
      <w:start w:val="1"/>
      <w:numFmt w:val="bullet"/>
      <w:lvlText w:val=""/>
      <w:lvlJc w:val="left"/>
      <w:pPr>
        <w:tabs>
          <w:tab w:val="num" w:pos="1800"/>
        </w:tabs>
        <w:ind w:left="1800" w:hanging="360"/>
      </w:pPr>
      <w:rPr>
        <w:rFonts w:ascii="Symbol" w:hAnsi="Symbol" w:hint="default"/>
      </w:rPr>
    </w:lvl>
  </w:abstractNum>
  <w:abstractNum w:abstractNumId="1" w15:restartNumberingAfterBreak="0">
    <w:nsid w:val="FFFFFF82"/>
    <w:multiLevelType w:val="singleLevel"/>
    <w:tmpl w:val="00C25450"/>
    <w:lvl w:ilvl="0">
      <w:start w:val="1"/>
      <w:numFmt w:val="bullet"/>
      <w:lvlText w:val=""/>
      <w:lvlJc w:val="left"/>
      <w:pPr>
        <w:tabs>
          <w:tab w:val="num" w:pos="1080"/>
        </w:tabs>
        <w:ind w:left="1080" w:hanging="360"/>
      </w:pPr>
      <w:rPr>
        <w:rFonts w:ascii="Symbol" w:hAnsi="Symbol" w:hint="default"/>
      </w:rPr>
    </w:lvl>
  </w:abstractNum>
  <w:abstractNum w:abstractNumId="2" w15:restartNumberingAfterBreak="0">
    <w:nsid w:val="FFFFFF83"/>
    <w:multiLevelType w:val="singleLevel"/>
    <w:tmpl w:val="179E5246"/>
    <w:lvl w:ilvl="0">
      <w:start w:val="1"/>
      <w:numFmt w:val="bullet"/>
      <w:lvlText w:val=""/>
      <w:lvlJc w:val="left"/>
      <w:pPr>
        <w:tabs>
          <w:tab w:val="num" w:pos="720"/>
        </w:tabs>
        <w:ind w:left="720" w:hanging="360"/>
      </w:pPr>
      <w:rPr>
        <w:rFonts w:ascii="Symbol" w:hAnsi="Symbol" w:hint="default"/>
      </w:rPr>
    </w:lvl>
  </w:abstractNum>
  <w:abstractNum w:abstractNumId="3" w15:restartNumberingAfterBreak="0">
    <w:nsid w:val="FFFFFF88"/>
    <w:multiLevelType w:val="singleLevel"/>
    <w:tmpl w:val="54887B42"/>
    <w:lvl w:ilvl="0">
      <w:start w:val="1"/>
      <w:numFmt w:val="decimal"/>
      <w:lvlText w:val="%1."/>
      <w:lvlJc w:val="left"/>
      <w:pPr>
        <w:tabs>
          <w:tab w:val="num" w:pos="360"/>
        </w:tabs>
        <w:ind w:left="360" w:hanging="360"/>
      </w:pPr>
      <w:rPr>
        <w:rFonts w:cs="Times New Roman"/>
      </w:rPr>
    </w:lvl>
  </w:abstractNum>
  <w:abstractNum w:abstractNumId="4" w15:restartNumberingAfterBreak="0">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5FF3BC0"/>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6" w15:restartNumberingAfterBreak="0">
    <w:nsid w:val="0A050944"/>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7" w15:restartNumberingAfterBreak="0">
    <w:nsid w:val="0B8104C5"/>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8" w15:restartNumberingAfterBreak="0">
    <w:nsid w:val="14861340"/>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9" w15:restartNumberingAfterBreak="0">
    <w:nsid w:val="1CE35BA0"/>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10" w15:restartNumberingAfterBreak="0">
    <w:nsid w:val="22EC6E04"/>
    <w:multiLevelType w:val="singleLevel"/>
    <w:tmpl w:val="BAC48052"/>
    <w:lvl w:ilvl="0">
      <w:start w:val="1"/>
      <w:numFmt w:val="decimal"/>
      <w:lvlText w:val="%1."/>
      <w:lvlJc w:val="left"/>
      <w:pPr>
        <w:tabs>
          <w:tab w:val="num" w:pos="1412"/>
        </w:tabs>
        <w:ind w:left="1412" w:hanging="705"/>
      </w:pPr>
      <w:rPr>
        <w:rFonts w:cs="Times New Roman" w:hint="default"/>
        <w:u w:val="none"/>
      </w:rPr>
    </w:lvl>
  </w:abstractNum>
  <w:abstractNum w:abstractNumId="11" w15:restartNumberingAfterBreak="0">
    <w:nsid w:val="2399540C"/>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12" w15:restartNumberingAfterBreak="0">
    <w:nsid w:val="2C4C22E6"/>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13" w15:restartNumberingAfterBreak="0">
    <w:nsid w:val="2D4157B2"/>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14" w15:restartNumberingAfterBreak="0">
    <w:nsid w:val="37E04B0A"/>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15" w15:restartNumberingAfterBreak="0">
    <w:nsid w:val="3A6A403A"/>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16" w15:restartNumberingAfterBreak="0">
    <w:nsid w:val="3C513E2F"/>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17" w15:restartNumberingAfterBreak="0">
    <w:nsid w:val="3C95542D"/>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18" w15:restartNumberingAfterBreak="0">
    <w:nsid w:val="50760D66"/>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19" w15:restartNumberingAfterBreak="0">
    <w:nsid w:val="52140A4E"/>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20" w15:restartNumberingAfterBreak="0">
    <w:nsid w:val="601A116F"/>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21" w15:restartNumberingAfterBreak="0">
    <w:nsid w:val="612339BC"/>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22" w15:restartNumberingAfterBreak="0">
    <w:nsid w:val="651B1C3D"/>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23" w15:restartNumberingAfterBreak="0">
    <w:nsid w:val="67FD1241"/>
    <w:multiLevelType w:val="hybridMultilevel"/>
    <w:tmpl w:val="F6D86CC2"/>
    <w:lvl w:ilvl="0" w:tplc="E4205412">
      <w:start w:val="1"/>
      <w:numFmt w:val="bullet"/>
      <w:pStyle w:val="ListBullet"/>
      <w:lvlText w:val=""/>
      <w:lvlJc w:val="left"/>
      <w:pPr>
        <w:tabs>
          <w:tab w:val="num" w:pos="851"/>
        </w:tabs>
        <w:ind w:left="568"/>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4" w15:restartNumberingAfterBreak="0">
    <w:nsid w:val="68ED0762"/>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25" w15:restartNumberingAfterBreak="0">
    <w:nsid w:val="6C2336F9"/>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26" w15:restartNumberingAfterBreak="0">
    <w:nsid w:val="740005CA"/>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27" w15:restartNumberingAfterBreak="0">
    <w:nsid w:val="74884767"/>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28" w15:restartNumberingAfterBreak="0">
    <w:nsid w:val="785C3F08"/>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29" w15:restartNumberingAfterBreak="0">
    <w:nsid w:val="7A9048FF"/>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30" w15:restartNumberingAfterBreak="0">
    <w:nsid w:val="7BBE6CBD"/>
    <w:multiLevelType w:val="hybridMultilevel"/>
    <w:tmpl w:val="5B122094"/>
    <w:lvl w:ilvl="0" w:tplc="4FDAD2AA">
      <w:start w:val="1"/>
      <w:numFmt w:val="decimal"/>
      <w:pStyle w:val="AppQuestion"/>
      <w:lvlText w:val="%1."/>
      <w:lvlJc w:val="left"/>
      <w:pPr>
        <w:tabs>
          <w:tab w:val="num" w:pos="720"/>
        </w:tabs>
        <w:ind w:left="720" w:hanging="360"/>
      </w:pPr>
      <w:rPr>
        <w:rFonts w:ascii="Cambria" w:hAnsi="Cambria" w:cs="Times New Roman" w:hint="default"/>
        <w:b/>
        <w:i w:val="0"/>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7BDE393F"/>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32" w15:restartNumberingAfterBreak="0">
    <w:nsid w:val="7D556EA3"/>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num w:numId="1">
    <w:abstractNumId w:val="4"/>
  </w:num>
  <w:num w:numId="2">
    <w:abstractNumId w:val="4"/>
  </w:num>
  <w:num w:numId="3">
    <w:abstractNumId w:val="9"/>
  </w:num>
  <w:num w:numId="4">
    <w:abstractNumId w:val="25"/>
  </w:num>
  <w:num w:numId="5">
    <w:abstractNumId w:val="12"/>
  </w:num>
  <w:num w:numId="6">
    <w:abstractNumId w:val="22"/>
  </w:num>
  <w:num w:numId="7">
    <w:abstractNumId w:val="32"/>
  </w:num>
  <w:num w:numId="8">
    <w:abstractNumId w:val="5"/>
  </w:num>
  <w:num w:numId="9">
    <w:abstractNumId w:val="28"/>
  </w:num>
  <w:num w:numId="10">
    <w:abstractNumId w:val="4"/>
  </w:num>
  <w:num w:numId="11">
    <w:abstractNumId w:val="2"/>
  </w:num>
  <w:num w:numId="12">
    <w:abstractNumId w:val="1"/>
  </w:num>
  <w:num w:numId="13">
    <w:abstractNumId w:val="0"/>
  </w:num>
  <w:num w:numId="14">
    <w:abstractNumId w:val="3"/>
  </w:num>
  <w:num w:numId="15">
    <w:abstractNumId w:val="10"/>
  </w:num>
  <w:num w:numId="16">
    <w:abstractNumId w:val="20"/>
  </w:num>
  <w:num w:numId="17">
    <w:abstractNumId w:val="26"/>
  </w:num>
  <w:num w:numId="18">
    <w:abstractNumId w:val="13"/>
  </w:num>
  <w:num w:numId="19">
    <w:abstractNumId w:val="21"/>
  </w:num>
  <w:num w:numId="20">
    <w:abstractNumId w:val="29"/>
  </w:num>
  <w:num w:numId="21">
    <w:abstractNumId w:val="27"/>
  </w:num>
  <w:num w:numId="22">
    <w:abstractNumId w:val="11"/>
  </w:num>
  <w:num w:numId="23">
    <w:abstractNumId w:val="24"/>
  </w:num>
  <w:num w:numId="24">
    <w:abstractNumId w:val="16"/>
  </w:num>
  <w:num w:numId="25">
    <w:abstractNumId w:val="18"/>
  </w:num>
  <w:num w:numId="26">
    <w:abstractNumId w:val="6"/>
  </w:num>
  <w:num w:numId="27">
    <w:abstractNumId w:val="8"/>
  </w:num>
  <w:num w:numId="28">
    <w:abstractNumId w:val="31"/>
  </w:num>
  <w:num w:numId="29">
    <w:abstractNumId w:val="15"/>
  </w:num>
  <w:num w:numId="30">
    <w:abstractNumId w:val="19"/>
  </w:num>
  <w:num w:numId="31">
    <w:abstractNumId w:val="17"/>
  </w:num>
  <w:num w:numId="32">
    <w:abstractNumId w:val="14"/>
  </w:num>
  <w:num w:numId="33">
    <w:abstractNumId w:val="7"/>
  </w:num>
  <w:num w:numId="34">
    <w:abstractNumId w:val="23"/>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removePersonalInformation/>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6"/>
  <w:hyphenationZone w:val="425"/>
  <w:evenAndOddHeaders/>
  <w:drawingGridHorizontalSpacing w:val="187"/>
  <w:displayHorizontalDrawingGridEvery w:val="0"/>
  <w:displayVerticalDrawingGridEvery w:val="0"/>
  <w:noPunctuationKerning/>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293A6D"/>
    <w:rsid w:val="000012DA"/>
    <w:rsid w:val="00001804"/>
    <w:rsid w:val="0000381A"/>
    <w:rsid w:val="00006519"/>
    <w:rsid w:val="00014A57"/>
    <w:rsid w:val="00016C3B"/>
    <w:rsid w:val="000202F9"/>
    <w:rsid w:val="00021442"/>
    <w:rsid w:val="00030625"/>
    <w:rsid w:val="00044C37"/>
    <w:rsid w:val="000567D0"/>
    <w:rsid w:val="00060021"/>
    <w:rsid w:val="000610A7"/>
    <w:rsid w:val="00067290"/>
    <w:rsid w:val="00070659"/>
    <w:rsid w:val="00071EE3"/>
    <w:rsid w:val="0007238A"/>
    <w:rsid w:val="00072F1F"/>
    <w:rsid w:val="00073B6F"/>
    <w:rsid w:val="00085109"/>
    <w:rsid w:val="000902F6"/>
    <w:rsid w:val="0009382E"/>
    <w:rsid w:val="000B31B1"/>
    <w:rsid w:val="000C14CE"/>
    <w:rsid w:val="000C1A2A"/>
    <w:rsid w:val="000C3D76"/>
    <w:rsid w:val="000C5228"/>
    <w:rsid w:val="000C60E6"/>
    <w:rsid w:val="000C64E5"/>
    <w:rsid w:val="000D37A7"/>
    <w:rsid w:val="000D3982"/>
    <w:rsid w:val="000E4CBF"/>
    <w:rsid w:val="000F5861"/>
    <w:rsid w:val="001018B4"/>
    <w:rsid w:val="00106035"/>
    <w:rsid w:val="00112573"/>
    <w:rsid w:val="00116FD2"/>
    <w:rsid w:val="00117036"/>
    <w:rsid w:val="00123157"/>
    <w:rsid w:val="00124DE8"/>
    <w:rsid w:val="001303B1"/>
    <w:rsid w:val="00131DA1"/>
    <w:rsid w:val="0013581C"/>
    <w:rsid w:val="00136071"/>
    <w:rsid w:val="00141786"/>
    <w:rsid w:val="00141CF2"/>
    <w:rsid w:val="00143199"/>
    <w:rsid w:val="00146CA7"/>
    <w:rsid w:val="00146D71"/>
    <w:rsid w:val="001535ED"/>
    <w:rsid w:val="00157C7F"/>
    <w:rsid w:val="00175D81"/>
    <w:rsid w:val="00176E2C"/>
    <w:rsid w:val="00185C22"/>
    <w:rsid w:val="00190605"/>
    <w:rsid w:val="00190B1B"/>
    <w:rsid w:val="001947D7"/>
    <w:rsid w:val="001A0868"/>
    <w:rsid w:val="001A0F17"/>
    <w:rsid w:val="001A7EEE"/>
    <w:rsid w:val="001B0482"/>
    <w:rsid w:val="001B1079"/>
    <w:rsid w:val="001B725A"/>
    <w:rsid w:val="001C6B6A"/>
    <w:rsid w:val="001D0B38"/>
    <w:rsid w:val="001D3CDA"/>
    <w:rsid w:val="001E44AA"/>
    <w:rsid w:val="001E7FBC"/>
    <w:rsid w:val="001F1727"/>
    <w:rsid w:val="001F3459"/>
    <w:rsid w:val="002019CE"/>
    <w:rsid w:val="00204650"/>
    <w:rsid w:val="0021006A"/>
    <w:rsid w:val="00210613"/>
    <w:rsid w:val="00216086"/>
    <w:rsid w:val="00226F25"/>
    <w:rsid w:val="00227E1E"/>
    <w:rsid w:val="002318FB"/>
    <w:rsid w:val="00237DB2"/>
    <w:rsid w:val="002407D9"/>
    <w:rsid w:val="0025045D"/>
    <w:rsid w:val="00250556"/>
    <w:rsid w:val="0025092C"/>
    <w:rsid w:val="002529C1"/>
    <w:rsid w:val="00252AE3"/>
    <w:rsid w:val="00255C6B"/>
    <w:rsid w:val="00255F7B"/>
    <w:rsid w:val="00256D9C"/>
    <w:rsid w:val="0026086B"/>
    <w:rsid w:val="00262291"/>
    <w:rsid w:val="0026441A"/>
    <w:rsid w:val="002656DF"/>
    <w:rsid w:val="002673D2"/>
    <w:rsid w:val="00267959"/>
    <w:rsid w:val="00267BF8"/>
    <w:rsid w:val="00270A7B"/>
    <w:rsid w:val="00271B22"/>
    <w:rsid w:val="00274F58"/>
    <w:rsid w:val="00276757"/>
    <w:rsid w:val="0028302F"/>
    <w:rsid w:val="00283F8B"/>
    <w:rsid w:val="002850D0"/>
    <w:rsid w:val="00285395"/>
    <w:rsid w:val="00290C5C"/>
    <w:rsid w:val="002916FC"/>
    <w:rsid w:val="002918D6"/>
    <w:rsid w:val="00293A6D"/>
    <w:rsid w:val="00293D1F"/>
    <w:rsid w:val="002A1733"/>
    <w:rsid w:val="002A5CBA"/>
    <w:rsid w:val="002A6E77"/>
    <w:rsid w:val="002C1DE0"/>
    <w:rsid w:val="002C3E13"/>
    <w:rsid w:val="002C605E"/>
    <w:rsid w:val="002D0B98"/>
    <w:rsid w:val="002D22BC"/>
    <w:rsid w:val="002D32F0"/>
    <w:rsid w:val="002D5258"/>
    <w:rsid w:val="002D6A32"/>
    <w:rsid w:val="002D7B0D"/>
    <w:rsid w:val="002F07C0"/>
    <w:rsid w:val="002F1A2F"/>
    <w:rsid w:val="002F3EE0"/>
    <w:rsid w:val="00304D87"/>
    <w:rsid w:val="00305DA9"/>
    <w:rsid w:val="00310A22"/>
    <w:rsid w:val="00311F8B"/>
    <w:rsid w:val="00316886"/>
    <w:rsid w:val="003179AE"/>
    <w:rsid w:val="00324550"/>
    <w:rsid w:val="0032554A"/>
    <w:rsid w:val="00325E31"/>
    <w:rsid w:val="00327DED"/>
    <w:rsid w:val="00342A7E"/>
    <w:rsid w:val="00352356"/>
    <w:rsid w:val="00352D40"/>
    <w:rsid w:val="003536AC"/>
    <w:rsid w:val="00354A73"/>
    <w:rsid w:val="003601D8"/>
    <w:rsid w:val="00381089"/>
    <w:rsid w:val="0038198A"/>
    <w:rsid w:val="00386739"/>
    <w:rsid w:val="0039117A"/>
    <w:rsid w:val="003A44DD"/>
    <w:rsid w:val="003A777B"/>
    <w:rsid w:val="003B4B1C"/>
    <w:rsid w:val="003D0A66"/>
    <w:rsid w:val="003D0EC0"/>
    <w:rsid w:val="003D566B"/>
    <w:rsid w:val="003D7F53"/>
    <w:rsid w:val="003E4288"/>
    <w:rsid w:val="003E5B66"/>
    <w:rsid w:val="003F367B"/>
    <w:rsid w:val="003F557C"/>
    <w:rsid w:val="004058E5"/>
    <w:rsid w:val="00406A12"/>
    <w:rsid w:val="00410F17"/>
    <w:rsid w:val="004128A7"/>
    <w:rsid w:val="00414543"/>
    <w:rsid w:val="00421CC9"/>
    <w:rsid w:val="00423C5E"/>
    <w:rsid w:val="004268D8"/>
    <w:rsid w:val="00430FDF"/>
    <w:rsid w:val="00441C13"/>
    <w:rsid w:val="00444E6F"/>
    <w:rsid w:val="00447B15"/>
    <w:rsid w:val="004607F5"/>
    <w:rsid w:val="00460CE2"/>
    <w:rsid w:val="004619A0"/>
    <w:rsid w:val="004633D0"/>
    <w:rsid w:val="00463999"/>
    <w:rsid w:val="00466E77"/>
    <w:rsid w:val="00467839"/>
    <w:rsid w:val="00470D37"/>
    <w:rsid w:val="0047335D"/>
    <w:rsid w:val="00473D47"/>
    <w:rsid w:val="004746D9"/>
    <w:rsid w:val="00476951"/>
    <w:rsid w:val="004821FC"/>
    <w:rsid w:val="00487699"/>
    <w:rsid w:val="00497417"/>
    <w:rsid w:val="0049775C"/>
    <w:rsid w:val="004A2B3E"/>
    <w:rsid w:val="004A6046"/>
    <w:rsid w:val="004B3152"/>
    <w:rsid w:val="004B54D0"/>
    <w:rsid w:val="004B57AC"/>
    <w:rsid w:val="004C44C7"/>
    <w:rsid w:val="004C499E"/>
    <w:rsid w:val="004C61F3"/>
    <w:rsid w:val="004C707A"/>
    <w:rsid w:val="004D4F4E"/>
    <w:rsid w:val="004D6E3B"/>
    <w:rsid w:val="004D70C3"/>
    <w:rsid w:val="004E6CB1"/>
    <w:rsid w:val="004F17F1"/>
    <w:rsid w:val="004F1FB8"/>
    <w:rsid w:val="004F58B9"/>
    <w:rsid w:val="004F7856"/>
    <w:rsid w:val="005053D8"/>
    <w:rsid w:val="00512B77"/>
    <w:rsid w:val="00513347"/>
    <w:rsid w:val="00514F02"/>
    <w:rsid w:val="00515676"/>
    <w:rsid w:val="00516E8B"/>
    <w:rsid w:val="005227A1"/>
    <w:rsid w:val="00523907"/>
    <w:rsid w:val="00523C8C"/>
    <w:rsid w:val="00525637"/>
    <w:rsid w:val="005270F6"/>
    <w:rsid w:val="00534C8E"/>
    <w:rsid w:val="00540E35"/>
    <w:rsid w:val="00542E94"/>
    <w:rsid w:val="00544A02"/>
    <w:rsid w:val="005457DA"/>
    <w:rsid w:val="005465A0"/>
    <w:rsid w:val="00546D3F"/>
    <w:rsid w:val="00550565"/>
    <w:rsid w:val="00553DBB"/>
    <w:rsid w:val="005562B7"/>
    <w:rsid w:val="005649AD"/>
    <w:rsid w:val="00570983"/>
    <w:rsid w:val="00577B25"/>
    <w:rsid w:val="00577F05"/>
    <w:rsid w:val="005803E1"/>
    <w:rsid w:val="005804B2"/>
    <w:rsid w:val="00580A33"/>
    <w:rsid w:val="005823E5"/>
    <w:rsid w:val="00587536"/>
    <w:rsid w:val="005877BE"/>
    <w:rsid w:val="00590D71"/>
    <w:rsid w:val="00592392"/>
    <w:rsid w:val="005932CF"/>
    <w:rsid w:val="005979BC"/>
    <w:rsid w:val="005A2423"/>
    <w:rsid w:val="005A3657"/>
    <w:rsid w:val="005A7761"/>
    <w:rsid w:val="005B09B8"/>
    <w:rsid w:val="005B295B"/>
    <w:rsid w:val="005B302B"/>
    <w:rsid w:val="005B6087"/>
    <w:rsid w:val="005C00D6"/>
    <w:rsid w:val="005C094F"/>
    <w:rsid w:val="005C1D48"/>
    <w:rsid w:val="005C27E8"/>
    <w:rsid w:val="005C65CB"/>
    <w:rsid w:val="005C7494"/>
    <w:rsid w:val="005D42AD"/>
    <w:rsid w:val="005D4341"/>
    <w:rsid w:val="005D6C81"/>
    <w:rsid w:val="005E014E"/>
    <w:rsid w:val="005E0A94"/>
    <w:rsid w:val="005E3000"/>
    <w:rsid w:val="005E3DAB"/>
    <w:rsid w:val="005F0280"/>
    <w:rsid w:val="005F03C3"/>
    <w:rsid w:val="005F0A59"/>
    <w:rsid w:val="005F3E7F"/>
    <w:rsid w:val="005F4BC9"/>
    <w:rsid w:val="005F74D3"/>
    <w:rsid w:val="0060220C"/>
    <w:rsid w:val="0060329B"/>
    <w:rsid w:val="00617672"/>
    <w:rsid w:val="00617EB5"/>
    <w:rsid w:val="0062032E"/>
    <w:rsid w:val="00620E5F"/>
    <w:rsid w:val="006237C8"/>
    <w:rsid w:val="0062419D"/>
    <w:rsid w:val="00626418"/>
    <w:rsid w:val="00635FC3"/>
    <w:rsid w:val="0064000E"/>
    <w:rsid w:val="006409C9"/>
    <w:rsid w:val="006510BE"/>
    <w:rsid w:val="00651863"/>
    <w:rsid w:val="00651998"/>
    <w:rsid w:val="00681174"/>
    <w:rsid w:val="00682202"/>
    <w:rsid w:val="00695926"/>
    <w:rsid w:val="006961E9"/>
    <w:rsid w:val="00697C99"/>
    <w:rsid w:val="006A01C1"/>
    <w:rsid w:val="006A4C81"/>
    <w:rsid w:val="006B0ADE"/>
    <w:rsid w:val="006B33AD"/>
    <w:rsid w:val="006B4FE9"/>
    <w:rsid w:val="006C667C"/>
    <w:rsid w:val="006C7099"/>
    <w:rsid w:val="006D0244"/>
    <w:rsid w:val="006D19E2"/>
    <w:rsid w:val="006D316E"/>
    <w:rsid w:val="006D4073"/>
    <w:rsid w:val="006D60F0"/>
    <w:rsid w:val="006E216F"/>
    <w:rsid w:val="006E5350"/>
    <w:rsid w:val="006E62DC"/>
    <w:rsid w:val="006E6FDB"/>
    <w:rsid w:val="006E764E"/>
    <w:rsid w:val="006F496E"/>
    <w:rsid w:val="006F4F87"/>
    <w:rsid w:val="006F662C"/>
    <w:rsid w:val="00700D07"/>
    <w:rsid w:val="007064F6"/>
    <w:rsid w:val="007071F9"/>
    <w:rsid w:val="007128DC"/>
    <w:rsid w:val="00716079"/>
    <w:rsid w:val="00723C2F"/>
    <w:rsid w:val="00725864"/>
    <w:rsid w:val="0072703B"/>
    <w:rsid w:val="007306C8"/>
    <w:rsid w:val="00736F9A"/>
    <w:rsid w:val="0074059D"/>
    <w:rsid w:val="007420E8"/>
    <w:rsid w:val="00753A21"/>
    <w:rsid w:val="00760A90"/>
    <w:rsid w:val="00762170"/>
    <w:rsid w:val="007663F7"/>
    <w:rsid w:val="00770057"/>
    <w:rsid w:val="00770227"/>
    <w:rsid w:val="00771DC8"/>
    <w:rsid w:val="00772593"/>
    <w:rsid w:val="00775D70"/>
    <w:rsid w:val="007761F2"/>
    <w:rsid w:val="007764AF"/>
    <w:rsid w:val="00780AA0"/>
    <w:rsid w:val="007815D2"/>
    <w:rsid w:val="00783969"/>
    <w:rsid w:val="00785FA1"/>
    <w:rsid w:val="00786FE2"/>
    <w:rsid w:val="00787FC0"/>
    <w:rsid w:val="007904B5"/>
    <w:rsid w:val="007950E2"/>
    <w:rsid w:val="0079559F"/>
    <w:rsid w:val="007C17EC"/>
    <w:rsid w:val="007C666C"/>
    <w:rsid w:val="007C6D14"/>
    <w:rsid w:val="007C6F0F"/>
    <w:rsid w:val="007D0677"/>
    <w:rsid w:val="007D2983"/>
    <w:rsid w:val="007D36E2"/>
    <w:rsid w:val="007D3D2D"/>
    <w:rsid w:val="007D551E"/>
    <w:rsid w:val="007E10F3"/>
    <w:rsid w:val="007E66EE"/>
    <w:rsid w:val="007E77F4"/>
    <w:rsid w:val="007F0886"/>
    <w:rsid w:val="007F320A"/>
    <w:rsid w:val="007F5C33"/>
    <w:rsid w:val="007F5CC1"/>
    <w:rsid w:val="0080265F"/>
    <w:rsid w:val="008029CD"/>
    <w:rsid w:val="008039BB"/>
    <w:rsid w:val="00804042"/>
    <w:rsid w:val="00804C95"/>
    <w:rsid w:val="008070B1"/>
    <w:rsid w:val="008104EB"/>
    <w:rsid w:val="00810DF6"/>
    <w:rsid w:val="00816E1E"/>
    <w:rsid w:val="00822598"/>
    <w:rsid w:val="00823BFA"/>
    <w:rsid w:val="008311AF"/>
    <w:rsid w:val="0083211E"/>
    <w:rsid w:val="0083220B"/>
    <w:rsid w:val="00835394"/>
    <w:rsid w:val="0083564A"/>
    <w:rsid w:val="008379CA"/>
    <w:rsid w:val="0084088E"/>
    <w:rsid w:val="008428F8"/>
    <w:rsid w:val="008430ED"/>
    <w:rsid w:val="008434DC"/>
    <w:rsid w:val="00843ED0"/>
    <w:rsid w:val="0084680C"/>
    <w:rsid w:val="0085386D"/>
    <w:rsid w:val="008561B3"/>
    <w:rsid w:val="008567B3"/>
    <w:rsid w:val="008575BC"/>
    <w:rsid w:val="00857A6B"/>
    <w:rsid w:val="0086301A"/>
    <w:rsid w:val="00870608"/>
    <w:rsid w:val="008757E5"/>
    <w:rsid w:val="008774E0"/>
    <w:rsid w:val="00880F59"/>
    <w:rsid w:val="008856E2"/>
    <w:rsid w:val="008901C4"/>
    <w:rsid w:val="008904D9"/>
    <w:rsid w:val="00894027"/>
    <w:rsid w:val="00894BCA"/>
    <w:rsid w:val="00896EAC"/>
    <w:rsid w:val="008A0086"/>
    <w:rsid w:val="008A01D0"/>
    <w:rsid w:val="008A4635"/>
    <w:rsid w:val="008B0F21"/>
    <w:rsid w:val="008B5CC3"/>
    <w:rsid w:val="008B7F04"/>
    <w:rsid w:val="008C0136"/>
    <w:rsid w:val="008C02FB"/>
    <w:rsid w:val="008C275C"/>
    <w:rsid w:val="008C30D1"/>
    <w:rsid w:val="008D5528"/>
    <w:rsid w:val="008E36F2"/>
    <w:rsid w:val="008E3E37"/>
    <w:rsid w:val="008E6773"/>
    <w:rsid w:val="008E6B62"/>
    <w:rsid w:val="008F005F"/>
    <w:rsid w:val="008F14F2"/>
    <w:rsid w:val="00906D35"/>
    <w:rsid w:val="00910AB6"/>
    <w:rsid w:val="009131DC"/>
    <w:rsid w:val="00915B21"/>
    <w:rsid w:val="0091614D"/>
    <w:rsid w:val="00916D98"/>
    <w:rsid w:val="00917C0E"/>
    <w:rsid w:val="00920BC2"/>
    <w:rsid w:val="009341BD"/>
    <w:rsid w:val="00941F6B"/>
    <w:rsid w:val="00945500"/>
    <w:rsid w:val="0094557B"/>
    <w:rsid w:val="0095049B"/>
    <w:rsid w:val="00951D57"/>
    <w:rsid w:val="00955EFE"/>
    <w:rsid w:val="009603DB"/>
    <w:rsid w:val="009607CB"/>
    <w:rsid w:val="00960804"/>
    <w:rsid w:val="00961205"/>
    <w:rsid w:val="0096205E"/>
    <w:rsid w:val="009624D3"/>
    <w:rsid w:val="00966EA4"/>
    <w:rsid w:val="00967B6F"/>
    <w:rsid w:val="009711A6"/>
    <w:rsid w:val="00974FC3"/>
    <w:rsid w:val="00977925"/>
    <w:rsid w:val="009807B8"/>
    <w:rsid w:val="0098296C"/>
    <w:rsid w:val="0098426F"/>
    <w:rsid w:val="0098489A"/>
    <w:rsid w:val="00985877"/>
    <w:rsid w:val="00986C30"/>
    <w:rsid w:val="009A0233"/>
    <w:rsid w:val="009A1AA3"/>
    <w:rsid w:val="009B298D"/>
    <w:rsid w:val="009B30FE"/>
    <w:rsid w:val="009B3C3F"/>
    <w:rsid w:val="009C23B8"/>
    <w:rsid w:val="009C3D91"/>
    <w:rsid w:val="009C4B27"/>
    <w:rsid w:val="009C77FB"/>
    <w:rsid w:val="009E7290"/>
    <w:rsid w:val="009E7D0B"/>
    <w:rsid w:val="009F4C41"/>
    <w:rsid w:val="00A13306"/>
    <w:rsid w:val="00A16917"/>
    <w:rsid w:val="00A20679"/>
    <w:rsid w:val="00A23050"/>
    <w:rsid w:val="00A27D16"/>
    <w:rsid w:val="00A30535"/>
    <w:rsid w:val="00A346CD"/>
    <w:rsid w:val="00A35827"/>
    <w:rsid w:val="00A52694"/>
    <w:rsid w:val="00A5302F"/>
    <w:rsid w:val="00A53A1D"/>
    <w:rsid w:val="00A5569F"/>
    <w:rsid w:val="00A75508"/>
    <w:rsid w:val="00A76F5E"/>
    <w:rsid w:val="00A811CB"/>
    <w:rsid w:val="00A822DE"/>
    <w:rsid w:val="00A8260C"/>
    <w:rsid w:val="00A85CDA"/>
    <w:rsid w:val="00A869CB"/>
    <w:rsid w:val="00A90E97"/>
    <w:rsid w:val="00AA0884"/>
    <w:rsid w:val="00AA1A8E"/>
    <w:rsid w:val="00AA5C1D"/>
    <w:rsid w:val="00AA5F01"/>
    <w:rsid w:val="00AB193C"/>
    <w:rsid w:val="00AB7D71"/>
    <w:rsid w:val="00AC23C3"/>
    <w:rsid w:val="00AC6958"/>
    <w:rsid w:val="00AD5065"/>
    <w:rsid w:val="00AD5C55"/>
    <w:rsid w:val="00AD62FB"/>
    <w:rsid w:val="00AD7288"/>
    <w:rsid w:val="00AE62A3"/>
    <w:rsid w:val="00AF139E"/>
    <w:rsid w:val="00AF23DA"/>
    <w:rsid w:val="00AF28D1"/>
    <w:rsid w:val="00AF6641"/>
    <w:rsid w:val="00B01DB6"/>
    <w:rsid w:val="00B03FC0"/>
    <w:rsid w:val="00B14B81"/>
    <w:rsid w:val="00B153BD"/>
    <w:rsid w:val="00B17EC7"/>
    <w:rsid w:val="00B23185"/>
    <w:rsid w:val="00B332AF"/>
    <w:rsid w:val="00B35478"/>
    <w:rsid w:val="00B36DF9"/>
    <w:rsid w:val="00B36F50"/>
    <w:rsid w:val="00B37FA5"/>
    <w:rsid w:val="00B42F88"/>
    <w:rsid w:val="00B44F3C"/>
    <w:rsid w:val="00B57F12"/>
    <w:rsid w:val="00B66B70"/>
    <w:rsid w:val="00B70591"/>
    <w:rsid w:val="00B71045"/>
    <w:rsid w:val="00B71C55"/>
    <w:rsid w:val="00B76BBA"/>
    <w:rsid w:val="00B84F3C"/>
    <w:rsid w:val="00B86BEA"/>
    <w:rsid w:val="00B922E3"/>
    <w:rsid w:val="00B92B67"/>
    <w:rsid w:val="00B93EC2"/>
    <w:rsid w:val="00B9571C"/>
    <w:rsid w:val="00B9687A"/>
    <w:rsid w:val="00B97214"/>
    <w:rsid w:val="00BA30DB"/>
    <w:rsid w:val="00BA70E4"/>
    <w:rsid w:val="00BA7FD1"/>
    <w:rsid w:val="00BB1FC9"/>
    <w:rsid w:val="00BC0716"/>
    <w:rsid w:val="00BC1A37"/>
    <w:rsid w:val="00BD116D"/>
    <w:rsid w:val="00BE0FFC"/>
    <w:rsid w:val="00BE1C18"/>
    <w:rsid w:val="00BE276A"/>
    <w:rsid w:val="00BE4065"/>
    <w:rsid w:val="00BF4F33"/>
    <w:rsid w:val="00C00F0F"/>
    <w:rsid w:val="00C01C1C"/>
    <w:rsid w:val="00C072C0"/>
    <w:rsid w:val="00C10EDE"/>
    <w:rsid w:val="00C20F32"/>
    <w:rsid w:val="00C23B22"/>
    <w:rsid w:val="00C270A4"/>
    <w:rsid w:val="00C41E5B"/>
    <w:rsid w:val="00C44E7A"/>
    <w:rsid w:val="00C502B3"/>
    <w:rsid w:val="00C51932"/>
    <w:rsid w:val="00C5590A"/>
    <w:rsid w:val="00C57F4D"/>
    <w:rsid w:val="00C62B4A"/>
    <w:rsid w:val="00C648B0"/>
    <w:rsid w:val="00C66EF2"/>
    <w:rsid w:val="00C7100D"/>
    <w:rsid w:val="00C82DBA"/>
    <w:rsid w:val="00C87E9D"/>
    <w:rsid w:val="00C91856"/>
    <w:rsid w:val="00C92533"/>
    <w:rsid w:val="00C93D5A"/>
    <w:rsid w:val="00C96A0A"/>
    <w:rsid w:val="00C96A6B"/>
    <w:rsid w:val="00C96CC1"/>
    <w:rsid w:val="00CA1F0A"/>
    <w:rsid w:val="00CA5694"/>
    <w:rsid w:val="00CB0123"/>
    <w:rsid w:val="00CD2263"/>
    <w:rsid w:val="00CD24D9"/>
    <w:rsid w:val="00CD33B5"/>
    <w:rsid w:val="00CD37B2"/>
    <w:rsid w:val="00CD42D3"/>
    <w:rsid w:val="00CD49A7"/>
    <w:rsid w:val="00CD789B"/>
    <w:rsid w:val="00CE293A"/>
    <w:rsid w:val="00CE2A11"/>
    <w:rsid w:val="00CE55B8"/>
    <w:rsid w:val="00CF25C0"/>
    <w:rsid w:val="00CF5FC5"/>
    <w:rsid w:val="00CF6C5D"/>
    <w:rsid w:val="00D011E4"/>
    <w:rsid w:val="00D02611"/>
    <w:rsid w:val="00D0566F"/>
    <w:rsid w:val="00D11CE3"/>
    <w:rsid w:val="00D22249"/>
    <w:rsid w:val="00D35E1B"/>
    <w:rsid w:val="00D3714B"/>
    <w:rsid w:val="00D4351B"/>
    <w:rsid w:val="00D436F6"/>
    <w:rsid w:val="00D4465E"/>
    <w:rsid w:val="00D44AA0"/>
    <w:rsid w:val="00D50E6B"/>
    <w:rsid w:val="00D52085"/>
    <w:rsid w:val="00D52D44"/>
    <w:rsid w:val="00D646F0"/>
    <w:rsid w:val="00D71E5E"/>
    <w:rsid w:val="00D71FB9"/>
    <w:rsid w:val="00D72F85"/>
    <w:rsid w:val="00D73FA4"/>
    <w:rsid w:val="00D751F4"/>
    <w:rsid w:val="00D7564A"/>
    <w:rsid w:val="00D75790"/>
    <w:rsid w:val="00D772C5"/>
    <w:rsid w:val="00D90F55"/>
    <w:rsid w:val="00D920C6"/>
    <w:rsid w:val="00D936F7"/>
    <w:rsid w:val="00D96689"/>
    <w:rsid w:val="00D97EEA"/>
    <w:rsid w:val="00DA6748"/>
    <w:rsid w:val="00DA6C22"/>
    <w:rsid w:val="00DB111C"/>
    <w:rsid w:val="00DB26CC"/>
    <w:rsid w:val="00DB3C64"/>
    <w:rsid w:val="00DB78DE"/>
    <w:rsid w:val="00DC20FF"/>
    <w:rsid w:val="00DC56D2"/>
    <w:rsid w:val="00DC6EDC"/>
    <w:rsid w:val="00DE25D6"/>
    <w:rsid w:val="00DE2A62"/>
    <w:rsid w:val="00DE2F25"/>
    <w:rsid w:val="00DE5D14"/>
    <w:rsid w:val="00DF1012"/>
    <w:rsid w:val="00DF3B78"/>
    <w:rsid w:val="00DF775B"/>
    <w:rsid w:val="00E02BAE"/>
    <w:rsid w:val="00E05584"/>
    <w:rsid w:val="00E06EF8"/>
    <w:rsid w:val="00E12322"/>
    <w:rsid w:val="00E12BB0"/>
    <w:rsid w:val="00E13637"/>
    <w:rsid w:val="00E17FEF"/>
    <w:rsid w:val="00E205AB"/>
    <w:rsid w:val="00E21EFE"/>
    <w:rsid w:val="00E23565"/>
    <w:rsid w:val="00E25E13"/>
    <w:rsid w:val="00E26575"/>
    <w:rsid w:val="00E31EE6"/>
    <w:rsid w:val="00E351F4"/>
    <w:rsid w:val="00E367B2"/>
    <w:rsid w:val="00E40ACA"/>
    <w:rsid w:val="00E45663"/>
    <w:rsid w:val="00E55830"/>
    <w:rsid w:val="00E65334"/>
    <w:rsid w:val="00E66621"/>
    <w:rsid w:val="00E67489"/>
    <w:rsid w:val="00E70BD7"/>
    <w:rsid w:val="00E726F2"/>
    <w:rsid w:val="00E73AC8"/>
    <w:rsid w:val="00E75954"/>
    <w:rsid w:val="00E75DE4"/>
    <w:rsid w:val="00E7746B"/>
    <w:rsid w:val="00E80894"/>
    <w:rsid w:val="00E829B5"/>
    <w:rsid w:val="00E869C4"/>
    <w:rsid w:val="00E914AE"/>
    <w:rsid w:val="00E9311D"/>
    <w:rsid w:val="00E95550"/>
    <w:rsid w:val="00EA041E"/>
    <w:rsid w:val="00EA2653"/>
    <w:rsid w:val="00EA482B"/>
    <w:rsid w:val="00EA65BD"/>
    <w:rsid w:val="00EA7123"/>
    <w:rsid w:val="00EB3472"/>
    <w:rsid w:val="00EC0076"/>
    <w:rsid w:val="00EC56AF"/>
    <w:rsid w:val="00ED7D23"/>
    <w:rsid w:val="00EE091F"/>
    <w:rsid w:val="00EE7EE2"/>
    <w:rsid w:val="00EF4CC1"/>
    <w:rsid w:val="00EF7702"/>
    <w:rsid w:val="00F10326"/>
    <w:rsid w:val="00F13368"/>
    <w:rsid w:val="00F165AB"/>
    <w:rsid w:val="00F16FE9"/>
    <w:rsid w:val="00F30697"/>
    <w:rsid w:val="00F3207B"/>
    <w:rsid w:val="00F33CCB"/>
    <w:rsid w:val="00F343FE"/>
    <w:rsid w:val="00F35446"/>
    <w:rsid w:val="00F421ED"/>
    <w:rsid w:val="00F42695"/>
    <w:rsid w:val="00F43833"/>
    <w:rsid w:val="00F47D0F"/>
    <w:rsid w:val="00F53149"/>
    <w:rsid w:val="00F53D95"/>
    <w:rsid w:val="00F60772"/>
    <w:rsid w:val="00F624BF"/>
    <w:rsid w:val="00F71AE3"/>
    <w:rsid w:val="00F72A00"/>
    <w:rsid w:val="00F76C24"/>
    <w:rsid w:val="00F843B7"/>
    <w:rsid w:val="00F87F77"/>
    <w:rsid w:val="00F87FF7"/>
    <w:rsid w:val="00F92A55"/>
    <w:rsid w:val="00F953A4"/>
    <w:rsid w:val="00F95863"/>
    <w:rsid w:val="00FA2467"/>
    <w:rsid w:val="00FA37CA"/>
    <w:rsid w:val="00FA439A"/>
    <w:rsid w:val="00FA6817"/>
    <w:rsid w:val="00FB4A91"/>
    <w:rsid w:val="00FB7D84"/>
    <w:rsid w:val="00FC612C"/>
    <w:rsid w:val="00FD058E"/>
    <w:rsid w:val="00FD431B"/>
    <w:rsid w:val="00FE0320"/>
    <w:rsid w:val="00FE068D"/>
    <w:rsid w:val="00FE146F"/>
    <w:rsid w:val="00FE58B1"/>
    <w:rsid w:val="00FF0BA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1B22"/>
    <w:pPr>
      <w:suppressAutoHyphens/>
    </w:pPr>
    <w:rPr>
      <w:sz w:val="24"/>
      <w:szCs w:val="20"/>
      <w:lang w:val="en-GB" w:eastAsia="fr-FR"/>
    </w:rPr>
  </w:style>
  <w:style w:type="paragraph" w:styleId="Heading1">
    <w:name w:val="heading 1"/>
    <w:basedOn w:val="Normal"/>
    <w:next w:val="Normal"/>
    <w:link w:val="Heading1Char"/>
    <w:uiPriority w:val="99"/>
    <w:qFormat/>
    <w:rsid w:val="00271B22"/>
    <w:pPr>
      <w:keepNext/>
      <w:spacing w:before="360" w:after="240"/>
      <w:jc w:val="center"/>
      <w:outlineLvl w:val="0"/>
    </w:pPr>
    <w:rPr>
      <w:b/>
      <w:sz w:val="28"/>
    </w:rPr>
  </w:style>
  <w:style w:type="paragraph" w:styleId="Heading2">
    <w:name w:val="heading 2"/>
    <w:basedOn w:val="Normal"/>
    <w:next w:val="Normal"/>
    <w:link w:val="Heading2Char"/>
    <w:uiPriority w:val="99"/>
    <w:qFormat/>
    <w:rsid w:val="00271B22"/>
    <w:pPr>
      <w:keepNext/>
      <w:spacing w:before="240" w:after="120"/>
      <w:ind w:left="284" w:hanging="284"/>
      <w:outlineLvl w:val="1"/>
    </w:pPr>
    <w:rPr>
      <w:b/>
    </w:rPr>
  </w:style>
  <w:style w:type="paragraph" w:styleId="Heading3">
    <w:name w:val="heading 3"/>
    <w:basedOn w:val="Normal"/>
    <w:next w:val="Normal"/>
    <w:link w:val="Heading3Char"/>
    <w:uiPriority w:val="99"/>
    <w:qFormat/>
    <w:rsid w:val="00271B22"/>
    <w:pPr>
      <w:keepNext/>
      <w:spacing w:before="120" w:after="60"/>
      <w:ind w:left="1418" w:hanging="851"/>
      <w:outlineLvl w:val="2"/>
    </w:pPr>
    <w:rPr>
      <w:i/>
    </w:rPr>
  </w:style>
  <w:style w:type="paragraph" w:styleId="Heading4">
    <w:name w:val="heading 4"/>
    <w:basedOn w:val="Normal"/>
    <w:next w:val="Normal"/>
    <w:link w:val="Heading4Char"/>
    <w:uiPriority w:val="99"/>
    <w:qFormat/>
    <w:rsid w:val="008E6773"/>
    <w:pPr>
      <w:widowControl w:val="0"/>
      <w:outlineLvl w:val="3"/>
    </w:pPr>
    <w:rPr>
      <w:rFonts w:ascii="Courier" w:hAnsi="Courier"/>
      <w:lang w:val="en-US" w:eastAsia="en-US"/>
    </w:rPr>
  </w:style>
  <w:style w:type="paragraph" w:styleId="Heading5">
    <w:name w:val="heading 5"/>
    <w:basedOn w:val="Normal"/>
    <w:next w:val="Normal"/>
    <w:link w:val="Heading5Char"/>
    <w:uiPriority w:val="99"/>
    <w:qFormat/>
    <w:rsid w:val="008E6773"/>
    <w:pPr>
      <w:widowControl w:val="0"/>
      <w:outlineLvl w:val="4"/>
    </w:pPr>
    <w:rPr>
      <w:rFonts w:ascii="Courier" w:hAnsi="Courier"/>
      <w:lang w:val="en-US" w:eastAsia="en-US"/>
    </w:rPr>
  </w:style>
  <w:style w:type="paragraph" w:styleId="Heading6">
    <w:name w:val="heading 6"/>
    <w:basedOn w:val="Normal"/>
    <w:next w:val="Normal"/>
    <w:link w:val="Heading6Char"/>
    <w:uiPriority w:val="99"/>
    <w:qFormat/>
    <w:rsid w:val="008E6773"/>
    <w:pPr>
      <w:widowControl w:val="0"/>
      <w:outlineLvl w:val="5"/>
    </w:pPr>
    <w:rPr>
      <w:rFonts w:ascii="Courier" w:hAnsi="Courier"/>
      <w:lang w:val="en-US" w:eastAsia="en-US"/>
    </w:rPr>
  </w:style>
  <w:style w:type="paragraph" w:styleId="Heading7">
    <w:name w:val="heading 7"/>
    <w:basedOn w:val="Normal"/>
    <w:next w:val="Normal"/>
    <w:link w:val="Heading7Char"/>
    <w:uiPriority w:val="99"/>
    <w:qFormat/>
    <w:rsid w:val="008E6773"/>
    <w:pPr>
      <w:widowControl w:val="0"/>
      <w:outlineLvl w:val="6"/>
    </w:pPr>
    <w:rPr>
      <w:rFonts w:ascii="Courier" w:hAnsi="Courier"/>
      <w:lang w:val="en-US" w:eastAsia="en-US"/>
    </w:rPr>
  </w:style>
  <w:style w:type="paragraph" w:styleId="Heading8">
    <w:name w:val="heading 8"/>
    <w:basedOn w:val="Normal"/>
    <w:next w:val="Normal"/>
    <w:link w:val="Heading8Char"/>
    <w:uiPriority w:val="99"/>
    <w:qFormat/>
    <w:rsid w:val="008E6773"/>
    <w:pPr>
      <w:widowControl w:val="0"/>
      <w:outlineLvl w:val="7"/>
    </w:pPr>
    <w:rPr>
      <w:rFonts w:ascii="Courier" w:hAnsi="Courier"/>
      <w:lang w:val="en-US" w:eastAsia="en-US"/>
    </w:rPr>
  </w:style>
  <w:style w:type="paragraph" w:styleId="Heading9">
    <w:name w:val="heading 9"/>
    <w:basedOn w:val="Normal"/>
    <w:next w:val="Normal"/>
    <w:link w:val="Heading9Char"/>
    <w:uiPriority w:val="99"/>
    <w:qFormat/>
    <w:rsid w:val="008E6773"/>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698E"/>
    <w:rPr>
      <w:rFonts w:asciiTheme="majorHAnsi" w:eastAsiaTheme="majorEastAsia" w:hAnsiTheme="majorHAnsi" w:cstheme="majorBidi"/>
      <w:b/>
      <w:bCs/>
      <w:kern w:val="32"/>
      <w:sz w:val="32"/>
      <w:szCs w:val="32"/>
      <w:lang w:val="en-GB" w:eastAsia="fr-FR"/>
    </w:rPr>
  </w:style>
  <w:style w:type="character" w:customStyle="1" w:styleId="Heading2Char">
    <w:name w:val="Heading 2 Char"/>
    <w:basedOn w:val="DefaultParagraphFont"/>
    <w:link w:val="Heading2"/>
    <w:uiPriority w:val="9"/>
    <w:semiHidden/>
    <w:rsid w:val="0077698E"/>
    <w:rPr>
      <w:rFonts w:asciiTheme="majorHAnsi" w:eastAsiaTheme="majorEastAsia" w:hAnsiTheme="majorHAnsi" w:cstheme="majorBidi"/>
      <w:b/>
      <w:bCs/>
      <w:i/>
      <w:iCs/>
      <w:sz w:val="28"/>
      <w:szCs w:val="28"/>
      <w:lang w:val="en-GB" w:eastAsia="fr-FR"/>
    </w:rPr>
  </w:style>
  <w:style w:type="character" w:customStyle="1" w:styleId="Heading3Char">
    <w:name w:val="Heading 3 Char"/>
    <w:basedOn w:val="DefaultParagraphFont"/>
    <w:link w:val="Heading3"/>
    <w:uiPriority w:val="9"/>
    <w:semiHidden/>
    <w:rsid w:val="0077698E"/>
    <w:rPr>
      <w:rFonts w:asciiTheme="majorHAnsi" w:eastAsiaTheme="majorEastAsia" w:hAnsiTheme="majorHAnsi" w:cstheme="majorBidi"/>
      <w:b/>
      <w:bCs/>
      <w:sz w:val="26"/>
      <w:szCs w:val="26"/>
      <w:lang w:val="en-GB" w:eastAsia="fr-FR"/>
    </w:rPr>
  </w:style>
  <w:style w:type="character" w:customStyle="1" w:styleId="Heading4Char">
    <w:name w:val="Heading 4 Char"/>
    <w:basedOn w:val="DefaultParagraphFont"/>
    <w:link w:val="Heading4"/>
    <w:uiPriority w:val="9"/>
    <w:semiHidden/>
    <w:rsid w:val="0077698E"/>
    <w:rPr>
      <w:rFonts w:asciiTheme="minorHAnsi" w:eastAsiaTheme="minorEastAsia" w:hAnsiTheme="minorHAnsi" w:cstheme="minorBidi"/>
      <w:b/>
      <w:bCs/>
      <w:sz w:val="28"/>
      <w:szCs w:val="28"/>
      <w:lang w:val="en-GB" w:eastAsia="fr-FR"/>
    </w:rPr>
  </w:style>
  <w:style w:type="character" w:customStyle="1" w:styleId="Heading5Char">
    <w:name w:val="Heading 5 Char"/>
    <w:basedOn w:val="DefaultParagraphFont"/>
    <w:link w:val="Heading5"/>
    <w:uiPriority w:val="9"/>
    <w:semiHidden/>
    <w:rsid w:val="0077698E"/>
    <w:rPr>
      <w:rFonts w:asciiTheme="minorHAnsi" w:eastAsiaTheme="minorEastAsia" w:hAnsiTheme="minorHAnsi" w:cstheme="minorBidi"/>
      <w:b/>
      <w:bCs/>
      <w:i/>
      <w:iCs/>
      <w:sz w:val="26"/>
      <w:szCs w:val="26"/>
      <w:lang w:val="en-GB" w:eastAsia="fr-FR"/>
    </w:rPr>
  </w:style>
  <w:style w:type="character" w:customStyle="1" w:styleId="Heading6Char">
    <w:name w:val="Heading 6 Char"/>
    <w:basedOn w:val="DefaultParagraphFont"/>
    <w:link w:val="Heading6"/>
    <w:uiPriority w:val="9"/>
    <w:semiHidden/>
    <w:rsid w:val="0077698E"/>
    <w:rPr>
      <w:rFonts w:asciiTheme="minorHAnsi" w:eastAsiaTheme="minorEastAsia" w:hAnsiTheme="minorHAnsi" w:cstheme="minorBidi"/>
      <w:b/>
      <w:bCs/>
      <w:lang w:val="en-GB" w:eastAsia="fr-FR"/>
    </w:rPr>
  </w:style>
  <w:style w:type="character" w:customStyle="1" w:styleId="Heading7Char">
    <w:name w:val="Heading 7 Char"/>
    <w:basedOn w:val="DefaultParagraphFont"/>
    <w:link w:val="Heading7"/>
    <w:uiPriority w:val="9"/>
    <w:semiHidden/>
    <w:rsid w:val="0077698E"/>
    <w:rPr>
      <w:rFonts w:asciiTheme="minorHAnsi" w:eastAsiaTheme="minorEastAsia" w:hAnsiTheme="minorHAnsi" w:cstheme="minorBidi"/>
      <w:sz w:val="24"/>
      <w:szCs w:val="24"/>
      <w:lang w:val="en-GB" w:eastAsia="fr-FR"/>
    </w:rPr>
  </w:style>
  <w:style w:type="character" w:customStyle="1" w:styleId="Heading8Char">
    <w:name w:val="Heading 8 Char"/>
    <w:basedOn w:val="DefaultParagraphFont"/>
    <w:link w:val="Heading8"/>
    <w:uiPriority w:val="9"/>
    <w:semiHidden/>
    <w:rsid w:val="0077698E"/>
    <w:rPr>
      <w:rFonts w:asciiTheme="minorHAnsi" w:eastAsiaTheme="minorEastAsia" w:hAnsiTheme="minorHAnsi" w:cstheme="minorBidi"/>
      <w:i/>
      <w:iCs/>
      <w:sz w:val="24"/>
      <w:szCs w:val="24"/>
      <w:lang w:val="en-GB" w:eastAsia="fr-FR"/>
    </w:rPr>
  </w:style>
  <w:style w:type="character" w:customStyle="1" w:styleId="Heading9Char">
    <w:name w:val="Heading 9 Char"/>
    <w:basedOn w:val="DefaultParagraphFont"/>
    <w:link w:val="Heading9"/>
    <w:uiPriority w:val="9"/>
    <w:semiHidden/>
    <w:rsid w:val="0077698E"/>
    <w:rPr>
      <w:rFonts w:asciiTheme="majorHAnsi" w:eastAsiaTheme="majorEastAsia" w:hAnsiTheme="majorHAnsi" w:cstheme="majorBidi"/>
      <w:lang w:val="en-GB" w:eastAsia="fr-FR"/>
    </w:rPr>
  </w:style>
  <w:style w:type="paragraph" w:customStyle="1" w:styleId="JuPara">
    <w:name w:val="Ju_Para"/>
    <w:aliases w:val="Left,First line:  0 cm"/>
    <w:basedOn w:val="Normal"/>
    <w:link w:val="JuParaCar"/>
    <w:uiPriority w:val="99"/>
    <w:rsid w:val="00271B22"/>
    <w:pPr>
      <w:ind w:firstLine="284"/>
      <w:jc w:val="both"/>
    </w:pPr>
  </w:style>
  <w:style w:type="paragraph" w:customStyle="1" w:styleId="JuHIRoman">
    <w:name w:val="Ju_H_I_Roman"/>
    <w:basedOn w:val="JuHHead"/>
    <w:next w:val="JuPara"/>
    <w:uiPriority w:val="99"/>
    <w:rsid w:val="00271B22"/>
    <w:pPr>
      <w:tabs>
        <w:tab w:val="left" w:pos="357"/>
      </w:tabs>
      <w:spacing w:before="360"/>
      <w:ind w:left="357" w:hanging="357"/>
      <w:outlineLvl w:val="1"/>
    </w:pPr>
    <w:rPr>
      <w:sz w:val="24"/>
    </w:rPr>
  </w:style>
  <w:style w:type="paragraph" w:customStyle="1" w:styleId="JuHHead">
    <w:name w:val="Ju_H_Head"/>
    <w:basedOn w:val="Normal"/>
    <w:next w:val="JuPara"/>
    <w:uiPriority w:val="99"/>
    <w:rsid w:val="00271B22"/>
    <w:pPr>
      <w:keepNext/>
      <w:keepLines/>
      <w:spacing w:before="720" w:after="240"/>
      <w:jc w:val="both"/>
      <w:outlineLvl w:val="0"/>
    </w:pPr>
    <w:rPr>
      <w:sz w:val="28"/>
    </w:rPr>
  </w:style>
  <w:style w:type="paragraph" w:styleId="Footer">
    <w:name w:val="footer"/>
    <w:basedOn w:val="Normal"/>
    <w:link w:val="FooterChar"/>
    <w:uiPriority w:val="99"/>
    <w:rsid w:val="00271B22"/>
    <w:pPr>
      <w:tabs>
        <w:tab w:val="center" w:pos="3686"/>
        <w:tab w:val="right" w:pos="7371"/>
      </w:tabs>
    </w:pPr>
    <w:rPr>
      <w:sz w:val="18"/>
    </w:rPr>
  </w:style>
  <w:style w:type="character" w:customStyle="1" w:styleId="FooterChar">
    <w:name w:val="Footer Char"/>
    <w:basedOn w:val="DefaultParagraphFont"/>
    <w:link w:val="Footer"/>
    <w:uiPriority w:val="99"/>
    <w:semiHidden/>
    <w:rsid w:val="0077698E"/>
    <w:rPr>
      <w:sz w:val="24"/>
      <w:szCs w:val="20"/>
      <w:lang w:val="en-GB" w:eastAsia="fr-FR"/>
    </w:rPr>
  </w:style>
  <w:style w:type="paragraph" w:customStyle="1" w:styleId="JuJudges">
    <w:name w:val="Ju_Judges"/>
    <w:basedOn w:val="Normal"/>
    <w:link w:val="JuJudgesChar"/>
    <w:uiPriority w:val="99"/>
    <w:rsid w:val="00271B22"/>
    <w:pPr>
      <w:tabs>
        <w:tab w:val="left" w:pos="567"/>
        <w:tab w:val="left" w:pos="1134"/>
      </w:tabs>
    </w:pPr>
  </w:style>
  <w:style w:type="character" w:customStyle="1" w:styleId="JuNames">
    <w:name w:val="Ju_Names"/>
    <w:basedOn w:val="DefaultParagraphFont"/>
    <w:uiPriority w:val="99"/>
    <w:rsid w:val="00271B22"/>
    <w:rPr>
      <w:rFonts w:cs="Times New Roman"/>
      <w:smallCaps/>
    </w:rPr>
  </w:style>
  <w:style w:type="paragraph" w:customStyle="1" w:styleId="JuHA">
    <w:name w:val="Ju_H_A"/>
    <w:basedOn w:val="JuHIRoman"/>
    <w:next w:val="JuPara"/>
    <w:uiPriority w:val="99"/>
    <w:rsid w:val="00271B22"/>
    <w:pPr>
      <w:tabs>
        <w:tab w:val="clear" w:pos="357"/>
        <w:tab w:val="left" w:pos="584"/>
      </w:tabs>
      <w:ind w:left="584" w:hanging="352"/>
      <w:outlineLvl w:val="2"/>
    </w:pPr>
    <w:rPr>
      <w:b/>
    </w:rPr>
  </w:style>
  <w:style w:type="paragraph" w:customStyle="1" w:styleId="JuQuot">
    <w:name w:val="Ju_Quot"/>
    <w:basedOn w:val="JuPara"/>
    <w:link w:val="JuQuotChar"/>
    <w:uiPriority w:val="99"/>
    <w:rsid w:val="00271B22"/>
    <w:pPr>
      <w:spacing w:before="120" w:after="120"/>
      <w:ind w:left="425" w:firstLine="142"/>
    </w:pPr>
    <w:rPr>
      <w:sz w:val="20"/>
    </w:rPr>
  </w:style>
  <w:style w:type="paragraph" w:customStyle="1" w:styleId="JuSigned">
    <w:name w:val="Ju_Signed"/>
    <w:basedOn w:val="Normal"/>
    <w:next w:val="JuParaLast"/>
    <w:link w:val="JuSignedChar"/>
    <w:uiPriority w:val="99"/>
    <w:rsid w:val="00271B22"/>
    <w:pPr>
      <w:tabs>
        <w:tab w:val="center" w:pos="851"/>
        <w:tab w:val="center" w:pos="6407"/>
      </w:tabs>
      <w:spacing w:before="720"/>
    </w:pPr>
  </w:style>
  <w:style w:type="paragraph" w:customStyle="1" w:styleId="JuParaLast">
    <w:name w:val="Ju_Para_Last"/>
    <w:basedOn w:val="JuPara"/>
    <w:next w:val="JuPara"/>
    <w:link w:val="JuParaLastChar"/>
    <w:uiPriority w:val="99"/>
    <w:rsid w:val="00271B22"/>
    <w:pPr>
      <w:keepNext/>
      <w:keepLines/>
      <w:spacing w:before="240"/>
    </w:pPr>
  </w:style>
  <w:style w:type="paragraph" w:customStyle="1" w:styleId="JuCase">
    <w:name w:val="Ju_Case"/>
    <w:basedOn w:val="JuPara"/>
    <w:next w:val="JuPara"/>
    <w:uiPriority w:val="99"/>
    <w:rsid w:val="00271B22"/>
    <w:rPr>
      <w:b/>
    </w:rPr>
  </w:style>
  <w:style w:type="paragraph" w:customStyle="1" w:styleId="JuList">
    <w:name w:val="Ju_List"/>
    <w:basedOn w:val="JuPara"/>
    <w:link w:val="JuListChar"/>
    <w:uiPriority w:val="99"/>
    <w:rsid w:val="00271B22"/>
    <w:pPr>
      <w:ind w:left="340" w:hanging="340"/>
    </w:pPr>
  </w:style>
  <w:style w:type="paragraph" w:customStyle="1" w:styleId="JuHArticle">
    <w:name w:val="Ju_H_Article"/>
    <w:basedOn w:val="JuHa0"/>
    <w:next w:val="JuQuot"/>
    <w:uiPriority w:val="99"/>
    <w:rsid w:val="00271B22"/>
    <w:pPr>
      <w:ind w:left="0" w:firstLine="0"/>
      <w:jc w:val="center"/>
    </w:pPr>
  </w:style>
  <w:style w:type="paragraph" w:customStyle="1" w:styleId="JuHa0">
    <w:name w:val="Ju_H_a"/>
    <w:basedOn w:val="JuH1"/>
    <w:next w:val="JuPara"/>
    <w:uiPriority w:val="99"/>
    <w:rsid w:val="00271B22"/>
    <w:pPr>
      <w:tabs>
        <w:tab w:val="clear" w:pos="731"/>
        <w:tab w:val="left" w:pos="975"/>
      </w:tabs>
      <w:ind w:left="975" w:hanging="340"/>
    </w:pPr>
    <w:rPr>
      <w:b/>
      <w:i w:val="0"/>
      <w:sz w:val="20"/>
    </w:rPr>
  </w:style>
  <w:style w:type="paragraph" w:customStyle="1" w:styleId="JuH1">
    <w:name w:val="Ju_H_1."/>
    <w:basedOn w:val="JuHA"/>
    <w:next w:val="JuPara"/>
    <w:uiPriority w:val="99"/>
    <w:rsid w:val="00271B22"/>
    <w:pPr>
      <w:tabs>
        <w:tab w:val="clear" w:pos="584"/>
        <w:tab w:val="left" w:pos="731"/>
      </w:tabs>
      <w:spacing w:before="240" w:after="120"/>
      <w:ind w:left="732" w:hanging="301"/>
      <w:outlineLvl w:val="9"/>
    </w:pPr>
    <w:rPr>
      <w:b w:val="0"/>
      <w:i/>
    </w:rPr>
  </w:style>
  <w:style w:type="paragraph" w:styleId="CommentText">
    <w:name w:val="annotation text"/>
    <w:basedOn w:val="Normal"/>
    <w:link w:val="CommentTextChar"/>
    <w:uiPriority w:val="99"/>
    <w:semiHidden/>
    <w:rsid w:val="008E6773"/>
    <w:rPr>
      <w:sz w:val="20"/>
    </w:rPr>
  </w:style>
  <w:style w:type="character" w:customStyle="1" w:styleId="CommentTextChar">
    <w:name w:val="Comment Text Char"/>
    <w:basedOn w:val="DefaultParagraphFont"/>
    <w:link w:val="CommentText"/>
    <w:uiPriority w:val="99"/>
    <w:semiHidden/>
    <w:rsid w:val="0077698E"/>
    <w:rPr>
      <w:sz w:val="20"/>
      <w:szCs w:val="20"/>
      <w:lang w:val="en-GB" w:eastAsia="fr-FR"/>
    </w:rPr>
  </w:style>
  <w:style w:type="paragraph" w:styleId="CommentSubject">
    <w:name w:val="annotation subject"/>
    <w:basedOn w:val="CommentText"/>
    <w:next w:val="CommentText"/>
    <w:link w:val="CommentSubjectChar"/>
    <w:uiPriority w:val="99"/>
    <w:semiHidden/>
    <w:rsid w:val="00F43833"/>
    <w:rPr>
      <w:b/>
      <w:bCs/>
    </w:rPr>
  </w:style>
  <w:style w:type="character" w:customStyle="1" w:styleId="CommentSubjectChar">
    <w:name w:val="Comment Subject Char"/>
    <w:basedOn w:val="CommentTextChar"/>
    <w:link w:val="CommentSubject"/>
    <w:uiPriority w:val="99"/>
    <w:semiHidden/>
    <w:rsid w:val="0077698E"/>
    <w:rPr>
      <w:b/>
      <w:bCs/>
      <w:sz w:val="20"/>
      <w:szCs w:val="20"/>
      <w:lang w:val="en-GB" w:eastAsia="fr-FR"/>
    </w:rPr>
  </w:style>
  <w:style w:type="paragraph" w:customStyle="1" w:styleId="JuCourt">
    <w:name w:val="Ju_Court"/>
    <w:basedOn w:val="JuJudges"/>
    <w:uiPriority w:val="99"/>
    <w:rsid w:val="00271B22"/>
    <w:pPr>
      <w:tabs>
        <w:tab w:val="clear" w:pos="567"/>
        <w:tab w:val="clear" w:pos="1134"/>
        <w:tab w:val="left" w:pos="907"/>
        <w:tab w:val="left" w:pos="1701"/>
        <w:tab w:val="right" w:pos="7371"/>
      </w:tabs>
      <w:spacing w:before="240"/>
      <w:ind w:left="397" w:hanging="397"/>
    </w:pPr>
  </w:style>
  <w:style w:type="paragraph" w:styleId="FootnoteText">
    <w:name w:val="footnote text"/>
    <w:basedOn w:val="Normal"/>
    <w:link w:val="FootnoteTextChar"/>
    <w:uiPriority w:val="99"/>
    <w:semiHidden/>
    <w:rsid w:val="00271B22"/>
    <w:pPr>
      <w:jc w:val="both"/>
    </w:pPr>
    <w:rPr>
      <w:sz w:val="20"/>
    </w:rPr>
  </w:style>
  <w:style w:type="character" w:customStyle="1" w:styleId="FootnoteTextChar">
    <w:name w:val="Footnote Text Char"/>
    <w:basedOn w:val="DefaultParagraphFont"/>
    <w:link w:val="FootnoteText"/>
    <w:uiPriority w:val="99"/>
    <w:semiHidden/>
    <w:locked/>
    <w:rsid w:val="0098426F"/>
    <w:rPr>
      <w:rFonts w:cs="Times New Roman"/>
      <w:lang w:val="en-GB" w:eastAsia="fr-FR" w:bidi="ar-SA"/>
    </w:rPr>
  </w:style>
  <w:style w:type="character" w:styleId="FootnoteReference">
    <w:name w:val="footnote reference"/>
    <w:basedOn w:val="DefaultParagraphFont"/>
    <w:uiPriority w:val="99"/>
    <w:semiHidden/>
    <w:rsid w:val="00271B22"/>
    <w:rPr>
      <w:rFonts w:cs="Times New Roman"/>
      <w:vertAlign w:val="superscript"/>
    </w:rPr>
  </w:style>
  <w:style w:type="paragraph" w:customStyle="1" w:styleId="JuHi">
    <w:name w:val="Ju_H_i"/>
    <w:basedOn w:val="JuHa0"/>
    <w:next w:val="JuPara"/>
    <w:uiPriority w:val="99"/>
    <w:rsid w:val="00271B22"/>
    <w:pPr>
      <w:tabs>
        <w:tab w:val="clear" w:pos="975"/>
        <w:tab w:val="left" w:pos="1191"/>
      </w:tabs>
      <w:ind w:left="1190" w:hanging="357"/>
    </w:pPr>
    <w:rPr>
      <w:b w:val="0"/>
      <w:i/>
    </w:rPr>
  </w:style>
  <w:style w:type="paragraph" w:styleId="Header">
    <w:name w:val="header"/>
    <w:basedOn w:val="Normal"/>
    <w:link w:val="HeaderChar"/>
    <w:uiPriority w:val="99"/>
    <w:rsid w:val="00271B22"/>
    <w:pPr>
      <w:tabs>
        <w:tab w:val="center" w:pos="3686"/>
        <w:tab w:val="right" w:pos="7371"/>
      </w:tabs>
    </w:pPr>
    <w:rPr>
      <w:sz w:val="18"/>
    </w:rPr>
  </w:style>
  <w:style w:type="character" w:customStyle="1" w:styleId="HeaderChar">
    <w:name w:val="Header Char"/>
    <w:basedOn w:val="DefaultParagraphFont"/>
    <w:link w:val="Header"/>
    <w:uiPriority w:val="99"/>
    <w:locked/>
    <w:rsid w:val="001B1079"/>
    <w:rPr>
      <w:rFonts w:cs="Times New Roman"/>
      <w:sz w:val="18"/>
      <w:lang w:val="en-GB" w:eastAsia="fr-FR"/>
    </w:rPr>
  </w:style>
  <w:style w:type="character" w:styleId="PageNumber">
    <w:name w:val="page number"/>
    <w:basedOn w:val="DefaultParagraphFont"/>
    <w:uiPriority w:val="99"/>
    <w:rsid w:val="00271B22"/>
    <w:rPr>
      <w:rFonts w:cs="Times New Roman"/>
      <w:sz w:val="18"/>
    </w:rPr>
  </w:style>
  <w:style w:type="paragraph" w:customStyle="1" w:styleId="JuH">
    <w:name w:val="Ju_H_–"/>
    <w:basedOn w:val="JuHalpha"/>
    <w:next w:val="JuPara"/>
    <w:uiPriority w:val="99"/>
    <w:rsid w:val="00271B22"/>
    <w:pPr>
      <w:tabs>
        <w:tab w:val="clear" w:pos="1372"/>
      </w:tabs>
      <w:ind w:left="1236" w:firstLine="0"/>
    </w:pPr>
    <w:rPr>
      <w:i/>
    </w:rPr>
  </w:style>
  <w:style w:type="paragraph" w:customStyle="1" w:styleId="JuHalpha">
    <w:name w:val="Ju_H_alpha"/>
    <w:basedOn w:val="JuHi"/>
    <w:next w:val="JuPara"/>
    <w:uiPriority w:val="99"/>
    <w:rsid w:val="00271B22"/>
    <w:pPr>
      <w:tabs>
        <w:tab w:val="clear" w:pos="1191"/>
        <w:tab w:val="left" w:pos="1372"/>
      </w:tabs>
      <w:ind w:left="1373" w:hanging="335"/>
    </w:pPr>
    <w:rPr>
      <w:i w:val="0"/>
    </w:rPr>
  </w:style>
  <w:style w:type="paragraph" w:customStyle="1" w:styleId="JuLista">
    <w:name w:val="Ju_List_a"/>
    <w:basedOn w:val="JuList"/>
    <w:uiPriority w:val="99"/>
    <w:rsid w:val="00271B22"/>
    <w:pPr>
      <w:ind w:left="346" w:firstLine="0"/>
    </w:pPr>
  </w:style>
  <w:style w:type="paragraph" w:customStyle="1" w:styleId="JuListi">
    <w:name w:val="Ju_List_i"/>
    <w:basedOn w:val="JuLista"/>
    <w:uiPriority w:val="99"/>
    <w:rsid w:val="00271B22"/>
    <w:pPr>
      <w:ind w:left="794"/>
    </w:pPr>
  </w:style>
  <w:style w:type="character" w:styleId="CommentReference">
    <w:name w:val="annotation reference"/>
    <w:basedOn w:val="DefaultParagraphFont"/>
    <w:uiPriority w:val="99"/>
    <w:semiHidden/>
    <w:rsid w:val="008E6773"/>
    <w:rPr>
      <w:rFonts w:cs="Times New Roman"/>
      <w:sz w:val="16"/>
    </w:rPr>
  </w:style>
  <w:style w:type="paragraph" w:customStyle="1" w:styleId="OpiHHead">
    <w:name w:val="Opi_H_Head"/>
    <w:basedOn w:val="JuHHead"/>
    <w:next w:val="OpiPara"/>
    <w:uiPriority w:val="99"/>
    <w:rsid w:val="00271B22"/>
    <w:pPr>
      <w:spacing w:before="0"/>
      <w:jc w:val="center"/>
    </w:pPr>
  </w:style>
  <w:style w:type="paragraph" w:customStyle="1" w:styleId="OpiPara">
    <w:name w:val="Opi_Para"/>
    <w:basedOn w:val="JuPara"/>
    <w:uiPriority w:val="99"/>
    <w:rsid w:val="00271B22"/>
  </w:style>
  <w:style w:type="paragraph" w:customStyle="1" w:styleId="OpiTranslation">
    <w:name w:val="Opi_Translation"/>
    <w:basedOn w:val="OpiHHead"/>
    <w:next w:val="OpiPara"/>
    <w:uiPriority w:val="99"/>
    <w:rsid w:val="00271B22"/>
    <w:rPr>
      <w:i/>
      <w:sz w:val="24"/>
    </w:rPr>
  </w:style>
  <w:style w:type="paragraph" w:customStyle="1" w:styleId="JuInitialled">
    <w:name w:val="Ju_Initialled"/>
    <w:basedOn w:val="JuSigned"/>
    <w:uiPriority w:val="99"/>
    <w:rsid w:val="00271B22"/>
    <w:pPr>
      <w:tabs>
        <w:tab w:val="clear" w:pos="851"/>
      </w:tabs>
      <w:jc w:val="right"/>
    </w:pPr>
  </w:style>
  <w:style w:type="paragraph" w:customStyle="1" w:styleId="JuHeader">
    <w:name w:val="Ju_Header"/>
    <w:basedOn w:val="Header"/>
    <w:uiPriority w:val="99"/>
    <w:rsid w:val="00271B22"/>
  </w:style>
  <w:style w:type="paragraph" w:customStyle="1" w:styleId="DecHTitle">
    <w:name w:val="Dec_H_Title"/>
    <w:basedOn w:val="Normal"/>
    <w:uiPriority w:val="99"/>
    <w:rsid w:val="00271B22"/>
    <w:pPr>
      <w:spacing w:after="240"/>
      <w:jc w:val="center"/>
    </w:pPr>
    <w:rPr>
      <w:sz w:val="28"/>
    </w:rPr>
  </w:style>
  <w:style w:type="paragraph" w:customStyle="1" w:styleId="DecHCase">
    <w:name w:val="Dec_H_Case"/>
    <w:basedOn w:val="DecHTitle"/>
    <w:next w:val="JuPara"/>
    <w:uiPriority w:val="99"/>
    <w:rsid w:val="00271B22"/>
    <w:rPr>
      <w:sz w:val="24"/>
    </w:rPr>
  </w:style>
  <w:style w:type="paragraph" w:customStyle="1" w:styleId="DecList">
    <w:name w:val="Dec_List"/>
    <w:basedOn w:val="Normal"/>
    <w:uiPriority w:val="99"/>
    <w:rsid w:val="00271B22"/>
    <w:pPr>
      <w:spacing w:before="240"/>
      <w:ind w:left="284"/>
      <w:jc w:val="both"/>
    </w:pPr>
  </w:style>
  <w:style w:type="paragraph" w:customStyle="1" w:styleId="JuParaSub">
    <w:name w:val="Ju_Para_Sub"/>
    <w:basedOn w:val="JuPara"/>
    <w:uiPriority w:val="99"/>
    <w:rsid w:val="00271B22"/>
    <w:pPr>
      <w:ind w:left="284"/>
    </w:pPr>
    <w:rPr>
      <w:szCs w:val="24"/>
    </w:rPr>
  </w:style>
  <w:style w:type="paragraph" w:customStyle="1" w:styleId="JuQuotSub">
    <w:name w:val="Ju_Quot_Sub"/>
    <w:basedOn w:val="JuQuot"/>
    <w:uiPriority w:val="99"/>
    <w:rsid w:val="00271B22"/>
    <w:pPr>
      <w:ind w:left="567"/>
    </w:pPr>
  </w:style>
  <w:style w:type="paragraph" w:styleId="BalloonText">
    <w:name w:val="Balloon Text"/>
    <w:basedOn w:val="Normal"/>
    <w:link w:val="BalloonTextChar"/>
    <w:uiPriority w:val="99"/>
    <w:semiHidden/>
    <w:rsid w:val="00283F8B"/>
    <w:rPr>
      <w:rFonts w:ascii="Tahoma" w:hAnsi="Tahoma" w:cs="Tahoma"/>
      <w:sz w:val="16"/>
      <w:szCs w:val="16"/>
    </w:rPr>
  </w:style>
  <w:style w:type="character" w:customStyle="1" w:styleId="BalloonTextChar">
    <w:name w:val="Balloon Text Char"/>
    <w:basedOn w:val="DefaultParagraphFont"/>
    <w:link w:val="BalloonText"/>
    <w:uiPriority w:val="99"/>
    <w:semiHidden/>
    <w:rsid w:val="0077698E"/>
    <w:rPr>
      <w:sz w:val="0"/>
      <w:szCs w:val="0"/>
      <w:lang w:val="en-GB" w:eastAsia="fr-FR"/>
    </w:rPr>
  </w:style>
  <w:style w:type="paragraph" w:customStyle="1" w:styleId="PJuPara">
    <w:name w:val="P_Ju_Para"/>
    <w:basedOn w:val="Normal"/>
    <w:uiPriority w:val="99"/>
    <w:rsid w:val="00271B22"/>
    <w:pPr>
      <w:ind w:firstLine="284"/>
      <w:jc w:val="both"/>
    </w:pPr>
  </w:style>
  <w:style w:type="paragraph" w:customStyle="1" w:styleId="PJuQuot">
    <w:name w:val="P_Ju_Quot"/>
    <w:basedOn w:val="Normal"/>
    <w:uiPriority w:val="99"/>
    <w:rsid w:val="00271B22"/>
    <w:pPr>
      <w:spacing w:before="120" w:after="120"/>
      <w:ind w:left="403" w:firstLine="176"/>
      <w:jc w:val="both"/>
    </w:pPr>
    <w:rPr>
      <w:sz w:val="20"/>
    </w:rPr>
  </w:style>
  <w:style w:type="paragraph" w:customStyle="1" w:styleId="OpiHA">
    <w:name w:val="Opi_H_A"/>
    <w:basedOn w:val="JuHIRoman"/>
    <w:next w:val="OpiPara"/>
    <w:uiPriority w:val="99"/>
    <w:rsid w:val="00271B22"/>
    <w:pPr>
      <w:tabs>
        <w:tab w:val="clear" w:pos="357"/>
      </w:tabs>
    </w:pPr>
    <w:rPr>
      <w:b/>
    </w:rPr>
  </w:style>
  <w:style w:type="paragraph" w:customStyle="1" w:styleId="OpiH1">
    <w:name w:val="Opi_H_1."/>
    <w:basedOn w:val="OpiHA"/>
    <w:next w:val="OpiPara"/>
    <w:uiPriority w:val="99"/>
    <w:rsid w:val="00271B22"/>
    <w:pPr>
      <w:spacing w:before="240" w:after="120"/>
      <w:ind w:left="635"/>
    </w:pPr>
    <w:rPr>
      <w:b w:val="0"/>
      <w:i/>
    </w:rPr>
  </w:style>
  <w:style w:type="paragraph" w:customStyle="1" w:styleId="OpiHa0">
    <w:name w:val="Opi_H_a"/>
    <w:basedOn w:val="OpiH1"/>
    <w:next w:val="OpiPara"/>
    <w:uiPriority w:val="99"/>
    <w:rsid w:val="00271B22"/>
    <w:pPr>
      <w:ind w:left="834"/>
    </w:pPr>
    <w:rPr>
      <w:b/>
      <w:i w:val="0"/>
      <w:sz w:val="20"/>
    </w:rPr>
  </w:style>
  <w:style w:type="paragraph" w:customStyle="1" w:styleId="OpiHi">
    <w:name w:val="Opi_H_i"/>
    <w:basedOn w:val="OpiHa0"/>
    <w:next w:val="OpiPara"/>
    <w:uiPriority w:val="99"/>
    <w:rsid w:val="00271B22"/>
    <w:pPr>
      <w:ind w:left="1038"/>
    </w:pPr>
    <w:rPr>
      <w:b w:val="0"/>
      <w:i/>
    </w:rPr>
  </w:style>
  <w:style w:type="paragraph" w:customStyle="1" w:styleId="PListArticleSubject">
    <w:name w:val="P_List_ArticleSubject"/>
    <w:basedOn w:val="Normal"/>
    <w:uiPriority w:val="99"/>
    <w:rsid w:val="00271B22"/>
    <w:pPr>
      <w:tabs>
        <w:tab w:val="left" w:pos="2977"/>
      </w:tabs>
      <w:ind w:left="2977" w:hanging="2977"/>
    </w:pPr>
  </w:style>
  <w:style w:type="paragraph" w:customStyle="1" w:styleId="OpiQuot">
    <w:name w:val="Opi_Quot"/>
    <w:basedOn w:val="JuQuot"/>
    <w:uiPriority w:val="99"/>
    <w:rsid w:val="00271B22"/>
  </w:style>
  <w:style w:type="paragraph" w:customStyle="1" w:styleId="SuCoverTitle1">
    <w:name w:val="Su_Cover_Title1"/>
    <w:basedOn w:val="Normal"/>
    <w:next w:val="SuCoverTitle2"/>
    <w:uiPriority w:val="99"/>
    <w:rsid w:val="00271B22"/>
    <w:pPr>
      <w:spacing w:before="2500"/>
      <w:jc w:val="center"/>
    </w:pPr>
    <w:rPr>
      <w:sz w:val="22"/>
    </w:rPr>
  </w:style>
  <w:style w:type="paragraph" w:customStyle="1" w:styleId="SuCoverTitle2">
    <w:name w:val="Su_Cover_Title2"/>
    <w:basedOn w:val="SuCoverTitle1"/>
    <w:next w:val="Normal"/>
    <w:uiPriority w:val="99"/>
    <w:rsid w:val="00271B22"/>
    <w:pPr>
      <w:spacing w:before="240"/>
    </w:pPr>
    <w:rPr>
      <w:sz w:val="18"/>
    </w:rPr>
  </w:style>
  <w:style w:type="paragraph" w:customStyle="1" w:styleId="SuPara">
    <w:name w:val="Su_Para"/>
    <w:basedOn w:val="SuKeywords"/>
    <w:uiPriority w:val="99"/>
    <w:rsid w:val="00271B22"/>
    <w:pPr>
      <w:spacing w:before="0" w:after="0"/>
    </w:pPr>
    <w:rPr>
      <w:i w:val="0"/>
    </w:rPr>
  </w:style>
  <w:style w:type="paragraph" w:customStyle="1" w:styleId="SuKeywords">
    <w:name w:val="Su_Keywords"/>
    <w:basedOn w:val="SuHHead"/>
    <w:uiPriority w:val="99"/>
    <w:rsid w:val="00271B22"/>
    <w:pPr>
      <w:spacing w:before="120"/>
    </w:pPr>
    <w:rPr>
      <w:b w:val="0"/>
      <w:i/>
    </w:rPr>
  </w:style>
  <w:style w:type="paragraph" w:customStyle="1" w:styleId="SuHHead">
    <w:name w:val="Su_H_Head"/>
    <w:basedOn w:val="SuSubject"/>
    <w:uiPriority w:val="99"/>
    <w:rsid w:val="00271B22"/>
    <w:pPr>
      <w:spacing w:after="120"/>
    </w:pPr>
  </w:style>
  <w:style w:type="paragraph" w:customStyle="1" w:styleId="SuSubject">
    <w:name w:val="Su_Subject"/>
    <w:basedOn w:val="SuSummary"/>
    <w:uiPriority w:val="99"/>
    <w:rsid w:val="00271B22"/>
    <w:pPr>
      <w:spacing w:before="360"/>
      <w:jc w:val="both"/>
    </w:pPr>
    <w:rPr>
      <w:b/>
      <w:sz w:val="22"/>
    </w:rPr>
  </w:style>
  <w:style w:type="paragraph" w:customStyle="1" w:styleId="SuSummary">
    <w:name w:val="Su_Summary"/>
    <w:basedOn w:val="Normal"/>
    <w:next w:val="SuSubject"/>
    <w:uiPriority w:val="99"/>
    <w:rsid w:val="00271B22"/>
    <w:pPr>
      <w:spacing w:after="240"/>
      <w:jc w:val="center"/>
    </w:pPr>
  </w:style>
  <w:style w:type="paragraph" w:customStyle="1" w:styleId="PListCaseNo">
    <w:name w:val="P_List_CaseNo"/>
    <w:basedOn w:val="Normal"/>
    <w:uiPriority w:val="99"/>
    <w:rsid w:val="00271B22"/>
    <w:pPr>
      <w:tabs>
        <w:tab w:val="left" w:pos="1276"/>
      </w:tabs>
      <w:spacing w:line="288" w:lineRule="auto"/>
      <w:ind w:left="1276" w:hanging="1276"/>
    </w:pPr>
  </w:style>
  <w:style w:type="paragraph" w:customStyle="1" w:styleId="PListCases">
    <w:name w:val="P_List_Cases"/>
    <w:basedOn w:val="Normal"/>
    <w:uiPriority w:val="99"/>
    <w:rsid w:val="00271B22"/>
    <w:pPr>
      <w:spacing w:line="288" w:lineRule="auto"/>
    </w:pPr>
  </w:style>
  <w:style w:type="paragraph" w:customStyle="1" w:styleId="PTextIntro">
    <w:name w:val="P_Text_Intro"/>
    <w:basedOn w:val="Normal"/>
    <w:uiPriority w:val="99"/>
    <w:rsid w:val="00271B22"/>
    <w:pPr>
      <w:jc w:val="both"/>
    </w:pPr>
    <w:rPr>
      <w:i/>
      <w:sz w:val="20"/>
    </w:rPr>
  </w:style>
  <w:style w:type="paragraph" w:customStyle="1" w:styleId="PTitleCover">
    <w:name w:val="P_Title_Cover"/>
    <w:basedOn w:val="Normal"/>
    <w:uiPriority w:val="99"/>
    <w:rsid w:val="00271B22"/>
    <w:pPr>
      <w:spacing w:before="2500"/>
      <w:jc w:val="center"/>
    </w:pPr>
    <w:rPr>
      <w:b/>
      <w:smallCaps/>
      <w:sz w:val="30"/>
    </w:rPr>
  </w:style>
  <w:style w:type="paragraph" w:customStyle="1" w:styleId="PTitle1Alpha">
    <w:name w:val="P_Title1_Alpha"/>
    <w:basedOn w:val="Normal"/>
    <w:next w:val="Normal"/>
    <w:uiPriority w:val="99"/>
    <w:rsid w:val="00271B22"/>
    <w:pPr>
      <w:spacing w:after="120"/>
      <w:jc w:val="center"/>
    </w:pPr>
    <w:rPr>
      <w:b/>
      <w:smallCaps/>
      <w:sz w:val="30"/>
    </w:rPr>
  </w:style>
  <w:style w:type="paragraph" w:customStyle="1" w:styleId="PTitle1IndexArticle">
    <w:name w:val="P_Title1_IndexArticle"/>
    <w:basedOn w:val="Normal"/>
    <w:uiPriority w:val="99"/>
    <w:rsid w:val="00271B22"/>
    <w:pPr>
      <w:spacing w:after="120"/>
      <w:jc w:val="center"/>
    </w:pPr>
    <w:rPr>
      <w:b/>
      <w:smallCaps/>
      <w:sz w:val="30"/>
    </w:rPr>
  </w:style>
  <w:style w:type="paragraph" w:customStyle="1" w:styleId="PTitle1IndexKey">
    <w:name w:val="P_Title1_IndexKey"/>
    <w:basedOn w:val="Normal"/>
    <w:uiPriority w:val="99"/>
    <w:rsid w:val="00271B22"/>
    <w:pPr>
      <w:spacing w:after="600"/>
      <w:jc w:val="center"/>
    </w:pPr>
    <w:rPr>
      <w:b/>
      <w:smallCaps/>
      <w:sz w:val="30"/>
    </w:rPr>
  </w:style>
  <w:style w:type="paragraph" w:customStyle="1" w:styleId="PTitle1Num">
    <w:name w:val="P_Title1_Num"/>
    <w:basedOn w:val="Normal"/>
    <w:next w:val="PListCaseNo"/>
    <w:uiPriority w:val="99"/>
    <w:rsid w:val="00271B22"/>
    <w:pPr>
      <w:spacing w:after="720"/>
      <w:jc w:val="center"/>
    </w:pPr>
    <w:rPr>
      <w:b/>
      <w:smallCaps/>
      <w:sz w:val="30"/>
    </w:rPr>
  </w:style>
  <w:style w:type="paragraph" w:customStyle="1" w:styleId="PTitle2Country">
    <w:name w:val="P_Title2_Country"/>
    <w:basedOn w:val="Normal"/>
    <w:next w:val="PListCases"/>
    <w:uiPriority w:val="99"/>
    <w:rsid w:val="00271B22"/>
    <w:pPr>
      <w:keepNext/>
      <w:keepLines/>
      <w:spacing w:before="600" w:after="360"/>
    </w:pPr>
    <w:rPr>
      <w:b/>
    </w:rPr>
  </w:style>
  <w:style w:type="paragraph" w:customStyle="1" w:styleId="PTitle2Letters">
    <w:name w:val="P_Title2_Letters"/>
    <w:basedOn w:val="Normal"/>
    <w:next w:val="PListCases"/>
    <w:uiPriority w:val="99"/>
    <w:rsid w:val="00271B22"/>
    <w:pPr>
      <w:keepNext/>
      <w:keepLines/>
      <w:spacing w:before="600" w:after="360"/>
    </w:pPr>
    <w:rPr>
      <w:b/>
      <w:sz w:val="28"/>
    </w:rPr>
  </w:style>
  <w:style w:type="paragraph" w:customStyle="1" w:styleId="PTitle2Part">
    <w:name w:val="P_Title2_Part"/>
    <w:basedOn w:val="Normal"/>
    <w:uiPriority w:val="99"/>
    <w:rsid w:val="00271B22"/>
    <w:pPr>
      <w:keepNext/>
      <w:keepLines/>
      <w:spacing w:before="600" w:after="240"/>
      <w:jc w:val="center"/>
    </w:pPr>
    <w:rPr>
      <w:b/>
      <w:caps/>
    </w:rPr>
  </w:style>
  <w:style w:type="paragraph" w:customStyle="1" w:styleId="PTitle3Article">
    <w:name w:val="P_Title3_Article"/>
    <w:basedOn w:val="Normal"/>
    <w:uiPriority w:val="99"/>
    <w:rsid w:val="00271B22"/>
    <w:pPr>
      <w:keepNext/>
      <w:keepLines/>
      <w:spacing w:before="360" w:after="120"/>
      <w:jc w:val="center"/>
    </w:pPr>
    <w:rPr>
      <w:b/>
      <w:smallCaps/>
      <w:sz w:val="22"/>
    </w:rPr>
  </w:style>
  <w:style w:type="paragraph" w:customStyle="1" w:styleId="PTitle4ArticleSub">
    <w:name w:val="P_Title4_Article_Sub"/>
    <w:basedOn w:val="PTitle3Article"/>
    <w:uiPriority w:val="99"/>
    <w:rsid w:val="00271B22"/>
    <w:pPr>
      <w:spacing w:before="240"/>
    </w:pPr>
    <w:rPr>
      <w:smallCaps w:val="0"/>
      <w:sz w:val="20"/>
    </w:rPr>
  </w:style>
  <w:style w:type="paragraph" w:customStyle="1" w:styleId="PTitle5Subject">
    <w:name w:val="P_Title5_Subject"/>
    <w:basedOn w:val="Normal"/>
    <w:uiPriority w:val="99"/>
    <w:rsid w:val="00271B22"/>
    <w:pPr>
      <w:keepNext/>
      <w:keepLines/>
      <w:spacing w:before="240" w:after="120"/>
      <w:jc w:val="both"/>
    </w:pPr>
    <w:rPr>
      <w:b/>
      <w:i/>
    </w:rPr>
  </w:style>
  <w:style w:type="paragraph" w:customStyle="1" w:styleId="PTitle6SubjectSub">
    <w:name w:val="P_Title6_Subject_Sub"/>
    <w:basedOn w:val="Normal"/>
    <w:uiPriority w:val="99"/>
    <w:rsid w:val="00271B22"/>
    <w:pPr>
      <w:keepNext/>
      <w:keepLines/>
      <w:spacing w:before="240" w:after="120"/>
      <w:ind w:left="284"/>
      <w:jc w:val="both"/>
    </w:pPr>
    <w:rPr>
      <w:b/>
      <w:sz w:val="20"/>
    </w:rPr>
  </w:style>
  <w:style w:type="paragraph" w:customStyle="1" w:styleId="PTitle7CaseName">
    <w:name w:val="P_Title7_CaseName"/>
    <w:basedOn w:val="Normal"/>
    <w:uiPriority w:val="99"/>
    <w:rsid w:val="00271B22"/>
    <w:pPr>
      <w:keepLines/>
      <w:spacing w:after="240"/>
      <w:jc w:val="right"/>
    </w:pPr>
    <w:rPr>
      <w:sz w:val="22"/>
    </w:rPr>
  </w:style>
  <w:style w:type="paragraph" w:customStyle="1" w:styleId="OpiParaSub">
    <w:name w:val="Opi_Para_Sub"/>
    <w:basedOn w:val="JuParaSub"/>
    <w:uiPriority w:val="99"/>
    <w:rsid w:val="00271B22"/>
  </w:style>
  <w:style w:type="paragraph" w:customStyle="1" w:styleId="OpiQuotSub">
    <w:name w:val="Opi_Quot_Sub"/>
    <w:basedOn w:val="JuQuotSub"/>
    <w:uiPriority w:val="99"/>
    <w:rsid w:val="00271B22"/>
  </w:style>
  <w:style w:type="character" w:customStyle="1" w:styleId="JuSignedChar">
    <w:name w:val="Ju_Signed Char"/>
    <w:basedOn w:val="DefaultParagraphFont"/>
    <w:link w:val="JuSigned"/>
    <w:uiPriority w:val="99"/>
    <w:locked/>
    <w:rsid w:val="000E4CBF"/>
    <w:rPr>
      <w:rFonts w:cs="Times New Roman"/>
      <w:sz w:val="24"/>
      <w:lang w:val="en-GB" w:eastAsia="fr-FR" w:bidi="ar-SA"/>
    </w:rPr>
  </w:style>
  <w:style w:type="paragraph" w:customStyle="1" w:styleId="NormalJustified">
    <w:name w:val="Normal_Justified"/>
    <w:basedOn w:val="Normal"/>
    <w:uiPriority w:val="99"/>
    <w:rsid w:val="00271B22"/>
    <w:pPr>
      <w:jc w:val="both"/>
    </w:pPr>
  </w:style>
  <w:style w:type="character" w:customStyle="1" w:styleId="JuJudgesChar">
    <w:name w:val="Ju_Judges Char"/>
    <w:basedOn w:val="DefaultParagraphFont"/>
    <w:link w:val="JuJudges"/>
    <w:uiPriority w:val="99"/>
    <w:locked/>
    <w:rsid w:val="00DB26CC"/>
    <w:rPr>
      <w:rFonts w:cs="Times New Roman"/>
      <w:sz w:val="24"/>
      <w:lang w:val="en-GB" w:eastAsia="fr-FR" w:bidi="ar-SA"/>
    </w:rPr>
  </w:style>
  <w:style w:type="character" w:customStyle="1" w:styleId="JuParaCar">
    <w:name w:val="Ju_Para Car"/>
    <w:basedOn w:val="DefaultParagraphFont"/>
    <w:link w:val="JuPara"/>
    <w:uiPriority w:val="99"/>
    <w:locked/>
    <w:rsid w:val="007F320A"/>
    <w:rPr>
      <w:rFonts w:cs="Times New Roman"/>
      <w:sz w:val="24"/>
      <w:lang w:val="en-GB" w:eastAsia="fr-FR" w:bidi="ar-SA"/>
    </w:rPr>
  </w:style>
  <w:style w:type="character" w:styleId="Hyperlink">
    <w:name w:val="Hyperlink"/>
    <w:basedOn w:val="DefaultParagraphFont"/>
    <w:uiPriority w:val="99"/>
    <w:rsid w:val="00293A6D"/>
    <w:rPr>
      <w:rFonts w:cs="Times New Roman"/>
      <w:color w:val="0000FF"/>
      <w:u w:val="single"/>
    </w:rPr>
  </w:style>
  <w:style w:type="character" w:customStyle="1" w:styleId="JuListChar">
    <w:name w:val="Ju_List Char"/>
    <w:basedOn w:val="JuParaCar"/>
    <w:link w:val="JuList"/>
    <w:uiPriority w:val="99"/>
    <w:locked/>
    <w:rsid w:val="004058E5"/>
    <w:rPr>
      <w:rFonts w:cs="Times New Roman"/>
      <w:sz w:val="24"/>
      <w:lang w:val="en-GB" w:eastAsia="fr-FR" w:bidi="ar-SA"/>
    </w:rPr>
  </w:style>
  <w:style w:type="paragraph" w:styleId="DocumentMap">
    <w:name w:val="Document Map"/>
    <w:basedOn w:val="Normal"/>
    <w:link w:val="DocumentMapChar"/>
    <w:uiPriority w:val="99"/>
    <w:semiHidden/>
    <w:rsid w:val="00AF23DA"/>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77698E"/>
    <w:rPr>
      <w:sz w:val="0"/>
      <w:szCs w:val="0"/>
      <w:lang w:val="en-GB" w:eastAsia="fr-FR"/>
    </w:rPr>
  </w:style>
  <w:style w:type="paragraph" w:customStyle="1" w:styleId="AppQuestion">
    <w:name w:val="App_Question"/>
    <w:basedOn w:val="ListBullet"/>
    <w:uiPriority w:val="99"/>
    <w:rsid w:val="00271B22"/>
    <w:pPr>
      <w:numPr>
        <w:numId w:val="35"/>
      </w:numPr>
      <w:tabs>
        <w:tab w:val="num" w:pos="851"/>
      </w:tabs>
    </w:pPr>
    <w:rPr>
      <w:b/>
      <w:color w:val="333333"/>
    </w:rPr>
  </w:style>
  <w:style w:type="paragraph" w:styleId="ListBullet">
    <w:name w:val="List Bullet"/>
    <w:basedOn w:val="Normal"/>
    <w:uiPriority w:val="99"/>
    <w:rsid w:val="00271B22"/>
    <w:pPr>
      <w:numPr>
        <w:numId w:val="34"/>
      </w:numPr>
    </w:pPr>
  </w:style>
  <w:style w:type="character" w:customStyle="1" w:styleId="JuQuotChar">
    <w:name w:val="Ju_Quot Char"/>
    <w:basedOn w:val="DefaultParagraphFont"/>
    <w:link w:val="JuQuot"/>
    <w:uiPriority w:val="99"/>
    <w:locked/>
    <w:rsid w:val="009603DB"/>
    <w:rPr>
      <w:rFonts w:cs="Times New Roman"/>
      <w:lang w:val="en-GB" w:eastAsia="fr-FR" w:bidi="ar-SA"/>
    </w:rPr>
  </w:style>
  <w:style w:type="character" w:customStyle="1" w:styleId="JuParaChar1">
    <w:name w:val="Ju_Para Char1"/>
    <w:basedOn w:val="DefaultParagraphFont"/>
    <w:uiPriority w:val="99"/>
    <w:rsid w:val="005227A1"/>
    <w:rPr>
      <w:rFonts w:cs="Times New Roman"/>
      <w:sz w:val="24"/>
      <w:lang w:val="fr-FR" w:eastAsia="fr-FR" w:bidi="ar-SA"/>
    </w:rPr>
  </w:style>
  <w:style w:type="character" w:customStyle="1" w:styleId="JuParaChar">
    <w:name w:val="Ju_Para Char"/>
    <w:basedOn w:val="DefaultParagraphFont"/>
    <w:uiPriority w:val="99"/>
    <w:rsid w:val="005227A1"/>
    <w:rPr>
      <w:rFonts w:cs="Times New Roman"/>
      <w:sz w:val="24"/>
      <w:lang w:val="fr-FR" w:eastAsia="fr-FR" w:bidi="ar-SA"/>
    </w:rPr>
  </w:style>
  <w:style w:type="paragraph" w:styleId="TOC2">
    <w:name w:val="toc 2"/>
    <w:basedOn w:val="Normal"/>
    <w:next w:val="Normal"/>
    <w:autoRedefine/>
    <w:uiPriority w:val="99"/>
    <w:semiHidden/>
    <w:rsid w:val="00C93D5A"/>
    <w:pPr>
      <w:tabs>
        <w:tab w:val="left" w:pos="540"/>
        <w:tab w:val="right" w:leader="dot" w:pos="9060"/>
      </w:tabs>
      <w:ind w:left="568" w:hanging="284"/>
      <w:jc w:val="both"/>
    </w:pPr>
    <w:rPr>
      <w:noProof/>
      <w:sz w:val="20"/>
      <w:lang w:val="fr-FR" w:eastAsia="en-US"/>
    </w:rPr>
  </w:style>
  <w:style w:type="paragraph" w:styleId="HTMLPreformatted">
    <w:name w:val="HTML Preformatted"/>
    <w:basedOn w:val="Normal"/>
    <w:link w:val="HTMLPreformattedChar"/>
    <w:uiPriority w:val="99"/>
    <w:rsid w:val="006518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en-GB"/>
    </w:rPr>
  </w:style>
  <w:style w:type="character" w:customStyle="1" w:styleId="HTMLPreformattedChar">
    <w:name w:val="HTML Preformatted Char"/>
    <w:basedOn w:val="DefaultParagraphFont"/>
    <w:link w:val="HTMLPreformatted"/>
    <w:uiPriority w:val="99"/>
    <w:semiHidden/>
    <w:rsid w:val="0077698E"/>
    <w:rPr>
      <w:rFonts w:ascii="Courier New" w:hAnsi="Courier New" w:cs="Courier New"/>
      <w:sz w:val="20"/>
      <w:szCs w:val="20"/>
      <w:lang w:val="en-GB" w:eastAsia="fr-FR"/>
    </w:rPr>
  </w:style>
  <w:style w:type="character" w:customStyle="1" w:styleId="ju-005fpara-0020car--char">
    <w:name w:val="ju-005fpara-0020car--char"/>
    <w:basedOn w:val="DefaultParagraphFont"/>
    <w:uiPriority w:val="99"/>
    <w:rsid w:val="001947D7"/>
    <w:rPr>
      <w:rFonts w:cs="Times New Roman"/>
    </w:rPr>
  </w:style>
  <w:style w:type="character" w:customStyle="1" w:styleId="JuParaLastChar">
    <w:name w:val="Ju_Para_Last Char"/>
    <w:basedOn w:val="JuParaCar"/>
    <w:link w:val="JuParaLast"/>
    <w:uiPriority w:val="99"/>
    <w:locked/>
    <w:rsid w:val="008C0136"/>
    <w:rPr>
      <w:rFonts w:cs="Times New Roman"/>
      <w:sz w:val="24"/>
      <w:lang w:val="en-GB" w:eastAsia="fr-F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3435760">
      <w:marLeft w:val="0"/>
      <w:marRight w:val="0"/>
      <w:marTop w:val="0"/>
      <w:marBottom w:val="0"/>
      <w:divBdr>
        <w:top w:val="none" w:sz="0" w:space="0" w:color="auto"/>
        <w:left w:val="none" w:sz="0" w:space="0" w:color="auto"/>
        <w:bottom w:val="none" w:sz="0" w:space="0" w:color="auto"/>
        <w:right w:val="none" w:sz="0" w:space="0" w:color="auto"/>
      </w:divBdr>
    </w:div>
    <w:div w:id="1363435761">
      <w:marLeft w:val="0"/>
      <w:marRight w:val="0"/>
      <w:marTop w:val="0"/>
      <w:marBottom w:val="0"/>
      <w:divBdr>
        <w:top w:val="none" w:sz="0" w:space="0" w:color="auto"/>
        <w:left w:val="none" w:sz="0" w:space="0" w:color="auto"/>
        <w:bottom w:val="none" w:sz="0" w:space="0" w:color="auto"/>
        <w:right w:val="none" w:sz="0" w:space="0" w:color="auto"/>
      </w:divBdr>
    </w:div>
    <w:div w:id="1363435762">
      <w:marLeft w:val="0"/>
      <w:marRight w:val="0"/>
      <w:marTop w:val="0"/>
      <w:marBottom w:val="0"/>
      <w:divBdr>
        <w:top w:val="none" w:sz="0" w:space="0" w:color="auto"/>
        <w:left w:val="none" w:sz="0" w:space="0" w:color="auto"/>
        <w:bottom w:val="none" w:sz="0" w:space="0" w:color="auto"/>
        <w:right w:val="none" w:sz="0" w:space="0" w:color="auto"/>
      </w:divBdr>
    </w:div>
    <w:div w:id="136343576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hudoc.echr.coe.int/"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hudoc.echr.coe.int/" TargetMode="External"/><Relationship Id="rId7" Type="http://schemas.openxmlformats.org/officeDocument/2006/relationships/webSettings" Target="webSettings.xml"/><Relationship Id="rId12" Type="http://schemas.openxmlformats.org/officeDocument/2006/relationships/hyperlink" Target="http://www.coe.int/humanrightstrustfund" TargetMode="External"/><Relationship Id="rId17" Type="http://schemas.openxmlformats.org/officeDocument/2006/relationships/hyperlink" Target="http://www.coe.int/humanrightstrustfund"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ublishing@echr.coe.int" TargetMode="External"/><Relationship Id="rId20" Type="http://schemas.openxmlformats.org/officeDocument/2006/relationships/hyperlink" Target="http://www.coe.int/humanrightstrustfund"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e.int/humanrightstrustfund" TargetMode="External"/><Relationship Id="rId24" Type="http://schemas.openxmlformats.org/officeDocument/2006/relationships/header" Target="header3.xml"/><Relationship Id="rId5" Type="http://schemas.openxmlformats.org/officeDocument/2006/relationships/styles" Target="styles.xml"/><Relationship Id="rId15" Type="http://schemas.openxmlformats.org/officeDocument/2006/relationships/hyperlink" Target="http://hudoc.echr.coe.int/" TargetMode="External"/><Relationship Id="rId23" Type="http://schemas.openxmlformats.org/officeDocument/2006/relationships/header" Target="header2.xml"/><Relationship Id="rId10" Type="http://schemas.openxmlformats.org/officeDocument/2006/relationships/hyperlink" Target="http://www.coe.int/humanrightstrustfund" TargetMode="External"/><Relationship Id="rId19" Type="http://schemas.openxmlformats.org/officeDocument/2006/relationships/hyperlink" Target="mailto:publishing@echr.coe.in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coe.int/humanrightstrustfund" TargetMode="External"/><Relationship Id="rId22" Type="http://schemas.openxmlformats.org/officeDocument/2006/relationships/hyperlink" Target="mailto:publishing@echr.coe.in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38E6C6-79EE-43F6-B5F8-77978EB271A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F3832EA-192F-45C7-B446-A8AF11F916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DED55AF-4EA7-4EF1-8ABF-3935E9E208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10720</Words>
  <Characters>61106</Characters>
  <Application>Microsoft Office Word</Application>
  <DocSecurity>0</DocSecurity>
  <Lines>509</Lines>
  <Paragraphs>143</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71683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1</cp:revision>
  <cp:lastPrinted>2011-09-06T12:36:00Z</cp:lastPrinted>
  <dcterms:created xsi:type="dcterms:W3CDTF">2025-06-03T13:25:00Z</dcterms:created>
  <dcterms:modified xsi:type="dcterms:W3CDTF">2025-06-03T13:25:00Z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