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BB1DC" w14:textId="77777777" w:rsidR="00CD3EA2" w:rsidRPr="00CD3EA2" w:rsidRDefault="00CD3EA2" w:rsidP="00CD3EA2">
      <w:pPr>
        <w:rPr>
          <w:rFonts w:asciiTheme="minorHAnsi" w:hAnsiTheme="minorHAnsi" w:cstheme="minorHAnsi"/>
          <w:sz w:val="24"/>
          <w:szCs w:val="24"/>
        </w:rPr>
      </w:pPr>
    </w:p>
    <w:p w14:paraId="2913285A" w14:textId="77777777" w:rsidR="00CD3EA2" w:rsidRPr="00CD3EA2" w:rsidRDefault="00CD3EA2" w:rsidP="00CD3EA2">
      <w:pPr>
        <w:rPr>
          <w:rFonts w:asciiTheme="minorHAnsi" w:hAnsiTheme="minorHAnsi" w:cstheme="minorHAnsi"/>
          <w:sz w:val="24"/>
          <w:szCs w:val="24"/>
        </w:rPr>
      </w:pPr>
      <w:r w:rsidRPr="00CD3EA2">
        <w:rPr>
          <w:rFonts w:asciiTheme="minorHAnsi" w:hAnsiTheme="minorHAnsi" w:cstheme="minorHAnsi"/>
          <w:sz w:val="24"/>
          <w:szCs w:val="24"/>
        </w:rPr>
        <w:t>BOSNA I HERCEGOVINA</w:t>
      </w:r>
    </w:p>
    <w:p w14:paraId="5EFFE008" w14:textId="77777777" w:rsidR="00CD3EA2" w:rsidRPr="00CD3EA2" w:rsidRDefault="00CD3EA2" w:rsidP="00CD3EA2">
      <w:pPr>
        <w:rPr>
          <w:rFonts w:asciiTheme="minorHAnsi" w:hAnsiTheme="minorHAnsi" w:cstheme="minorHAnsi"/>
          <w:sz w:val="24"/>
          <w:szCs w:val="24"/>
        </w:rPr>
      </w:pPr>
      <w:r w:rsidRPr="00CD3EA2">
        <w:rPr>
          <w:rFonts w:asciiTheme="minorHAnsi" w:hAnsiTheme="minorHAnsi" w:cstheme="minorHAnsi"/>
          <w:sz w:val="24"/>
          <w:szCs w:val="24"/>
        </w:rPr>
        <w:t>REPUBLIKA SRPSKA</w:t>
      </w:r>
    </w:p>
    <w:p w14:paraId="19427CDC" w14:textId="77777777" w:rsidR="00CD3EA2" w:rsidRPr="00CD3EA2" w:rsidRDefault="00CD3EA2" w:rsidP="00CD3EA2">
      <w:pPr>
        <w:tabs>
          <w:tab w:val="right" w:pos="8312"/>
        </w:tabs>
        <w:jc w:val="both"/>
        <w:rPr>
          <w:rFonts w:asciiTheme="minorHAnsi" w:hAnsiTheme="minorHAnsi" w:cstheme="minorHAnsi"/>
          <w:sz w:val="24"/>
          <w:szCs w:val="24"/>
        </w:rPr>
      </w:pPr>
      <w:r w:rsidRPr="00CD3EA2">
        <w:rPr>
          <w:rFonts w:asciiTheme="minorHAnsi" w:hAnsiTheme="minorHAnsi" w:cstheme="minorHAnsi"/>
          <w:sz w:val="24"/>
          <w:szCs w:val="24"/>
        </w:rPr>
        <w:t xml:space="preserve">OKRUŽNI PRIVREDNI SUD U BIJELJINI           </w:t>
      </w:r>
    </w:p>
    <w:p w14:paraId="26BCB141" w14:textId="77777777" w:rsidR="00CD3EA2" w:rsidRPr="00CD3EA2" w:rsidRDefault="00CD3EA2" w:rsidP="00CD3EA2">
      <w:pPr>
        <w:tabs>
          <w:tab w:val="right" w:pos="8312"/>
        </w:tabs>
        <w:jc w:val="both"/>
        <w:rPr>
          <w:rFonts w:asciiTheme="minorHAnsi" w:hAnsiTheme="minorHAnsi" w:cstheme="minorHAnsi"/>
          <w:sz w:val="24"/>
          <w:szCs w:val="24"/>
        </w:rPr>
      </w:pPr>
      <w:r w:rsidRPr="00CD3EA2">
        <w:rPr>
          <w:rFonts w:asciiTheme="minorHAnsi" w:hAnsiTheme="minorHAnsi" w:cstheme="minorHAnsi"/>
          <w:sz w:val="24"/>
          <w:szCs w:val="24"/>
        </w:rPr>
        <w:t>Broj: 59 0 V 040298 24 V</w:t>
      </w:r>
    </w:p>
    <w:p w14:paraId="2FE8E055" w14:textId="77777777" w:rsidR="00CD3EA2" w:rsidRPr="00CD3EA2" w:rsidRDefault="00CD3EA2" w:rsidP="00CD3EA2">
      <w:pPr>
        <w:tabs>
          <w:tab w:val="right" w:pos="8312"/>
        </w:tabs>
        <w:jc w:val="both"/>
        <w:rPr>
          <w:rFonts w:asciiTheme="minorHAnsi" w:hAnsiTheme="minorHAnsi" w:cstheme="minorHAnsi"/>
          <w:sz w:val="24"/>
          <w:szCs w:val="24"/>
        </w:rPr>
      </w:pPr>
      <w:r w:rsidRPr="00CD3EA2">
        <w:rPr>
          <w:rFonts w:asciiTheme="minorHAnsi" w:hAnsiTheme="minorHAnsi" w:cstheme="minorHAnsi"/>
          <w:sz w:val="24"/>
          <w:szCs w:val="24"/>
        </w:rPr>
        <w:t>Bijeljina, 05.12.2024. godine</w:t>
      </w:r>
    </w:p>
    <w:p w14:paraId="69C4CFF7" w14:textId="55B28042" w:rsidR="00CD3EA2" w:rsidRPr="00CD3EA2" w:rsidRDefault="00CD3EA2" w:rsidP="00CD3EA2">
      <w:pPr>
        <w:tabs>
          <w:tab w:val="right" w:pos="8312"/>
        </w:tabs>
        <w:jc w:val="both"/>
        <w:rPr>
          <w:rFonts w:asciiTheme="minorHAnsi" w:hAnsiTheme="minorHAnsi" w:cstheme="minorHAnsi"/>
          <w:sz w:val="24"/>
          <w:szCs w:val="24"/>
        </w:rPr>
      </w:pPr>
      <w:r w:rsidRPr="00CD3EA2">
        <w:rPr>
          <w:rFonts w:asciiTheme="minorHAnsi" w:hAnsiTheme="minorHAnsi" w:cstheme="minorHAnsi"/>
          <w:sz w:val="24"/>
          <w:szCs w:val="24"/>
        </w:rPr>
        <w:t xml:space="preserve"> </w:t>
      </w:r>
    </w:p>
    <w:p w14:paraId="3E6B16B7" w14:textId="5718CABF" w:rsidR="00CD3EA2" w:rsidRPr="00CD3EA2" w:rsidRDefault="00CD3EA2" w:rsidP="00CD3EA2">
      <w:pPr>
        <w:tabs>
          <w:tab w:val="right" w:pos="8312"/>
        </w:tabs>
        <w:jc w:val="both"/>
        <w:rPr>
          <w:rFonts w:asciiTheme="minorHAnsi" w:hAnsiTheme="minorHAnsi" w:cstheme="minorHAnsi"/>
          <w:sz w:val="24"/>
          <w:szCs w:val="24"/>
        </w:rPr>
      </w:pPr>
      <w:r w:rsidRPr="00CD3EA2">
        <w:rPr>
          <w:rFonts w:asciiTheme="minorHAnsi" w:hAnsiTheme="minorHAnsi" w:cstheme="minorHAnsi"/>
          <w:sz w:val="24"/>
          <w:szCs w:val="24"/>
        </w:rPr>
        <w:t xml:space="preserve">          Okružni privredni sud u Bijeljini, sudija Dragan Mitrović, u vanparničnom predmetu po prijedlogu predlagača Agencija za posredničke, informatičke i finansijske usluge, Banja Luka, Ul. Vuka Karadžića broj 6, zastupan po punomoćniku Pejaković O. Daliboru, advokatu iz Banja Luke, protiv protivnika predlagača Zajednica etažnih vlasnika Zgrada „SDK“ Zvornik, Ul. Svetog Save br. 64, zastupan po predsjedniku N</w:t>
      </w:r>
      <w:r w:rsidR="00A547B7">
        <w:rPr>
          <w:rFonts w:asciiTheme="minorHAnsi" w:hAnsiTheme="minorHAnsi" w:cstheme="minorHAnsi"/>
          <w:sz w:val="24"/>
          <w:szCs w:val="24"/>
        </w:rPr>
        <w:t xml:space="preserve">. </w:t>
      </w:r>
      <w:r w:rsidRPr="00CD3EA2">
        <w:rPr>
          <w:rFonts w:asciiTheme="minorHAnsi" w:hAnsiTheme="minorHAnsi" w:cstheme="minorHAnsi"/>
          <w:sz w:val="24"/>
          <w:szCs w:val="24"/>
        </w:rPr>
        <w:t>S</w:t>
      </w:r>
      <w:r w:rsidR="00A547B7">
        <w:rPr>
          <w:rFonts w:asciiTheme="minorHAnsi" w:hAnsiTheme="minorHAnsi" w:cstheme="minorHAnsi"/>
          <w:sz w:val="24"/>
          <w:szCs w:val="24"/>
        </w:rPr>
        <w:t>.</w:t>
      </w:r>
      <w:bookmarkStart w:id="0" w:name="_GoBack"/>
      <w:bookmarkEnd w:id="0"/>
      <w:r w:rsidRPr="00CD3EA2">
        <w:rPr>
          <w:rFonts w:asciiTheme="minorHAnsi" w:hAnsiTheme="minorHAnsi" w:cstheme="minorHAnsi"/>
          <w:sz w:val="24"/>
          <w:szCs w:val="24"/>
        </w:rPr>
        <w:t xml:space="preserve">, vrijednost spora 6.000,00 KM, radi donošenja odluke o sazivanju Skupštine Zajednice etažnih vlasnika Zgrada „SDK“ Zvornik, van ročišta dana 05.12.2024. godine, donio je sledeće </w:t>
      </w:r>
    </w:p>
    <w:p w14:paraId="2D53381C" w14:textId="77777777" w:rsidR="00CD3EA2" w:rsidRPr="00CD3EA2" w:rsidRDefault="00CD3EA2" w:rsidP="00CD3EA2">
      <w:pPr>
        <w:rPr>
          <w:rFonts w:asciiTheme="minorHAnsi" w:hAnsiTheme="minorHAnsi" w:cstheme="minorHAnsi"/>
          <w:sz w:val="24"/>
          <w:szCs w:val="24"/>
        </w:rPr>
      </w:pPr>
    </w:p>
    <w:p w14:paraId="6C9C448A" w14:textId="77777777" w:rsidR="00CD3EA2" w:rsidRPr="00CD3EA2" w:rsidRDefault="00CD3EA2" w:rsidP="00CD3EA2">
      <w:pPr>
        <w:rPr>
          <w:rFonts w:asciiTheme="minorHAnsi" w:hAnsiTheme="minorHAnsi" w:cstheme="minorHAnsi"/>
          <w:sz w:val="24"/>
          <w:szCs w:val="24"/>
        </w:rPr>
      </w:pPr>
    </w:p>
    <w:p w14:paraId="41FE4F14" w14:textId="77777777" w:rsidR="00CD3EA2" w:rsidRPr="00CD3EA2" w:rsidRDefault="00CD3EA2" w:rsidP="00CD3EA2">
      <w:pPr>
        <w:jc w:val="center"/>
        <w:rPr>
          <w:rFonts w:asciiTheme="minorHAnsi" w:hAnsiTheme="minorHAnsi" w:cstheme="minorHAnsi"/>
          <w:sz w:val="24"/>
          <w:szCs w:val="24"/>
        </w:rPr>
      </w:pPr>
      <w:r w:rsidRPr="00CD3EA2">
        <w:rPr>
          <w:rFonts w:asciiTheme="minorHAnsi" w:hAnsiTheme="minorHAnsi" w:cstheme="minorHAnsi"/>
          <w:sz w:val="24"/>
          <w:szCs w:val="24"/>
        </w:rPr>
        <w:t>R J E Š E NJ E</w:t>
      </w:r>
    </w:p>
    <w:p w14:paraId="4CA8B23D" w14:textId="64D0D51C" w:rsidR="00CD3EA2" w:rsidRPr="00CD3EA2" w:rsidRDefault="00CD3EA2" w:rsidP="00CD3EA2">
      <w:pPr>
        <w:rPr>
          <w:rFonts w:asciiTheme="minorHAnsi" w:hAnsiTheme="minorHAnsi" w:cstheme="minorHAnsi"/>
          <w:sz w:val="24"/>
          <w:szCs w:val="24"/>
        </w:rPr>
      </w:pPr>
    </w:p>
    <w:p w14:paraId="7ECAA6F2" w14:textId="77777777" w:rsidR="00CD3EA2" w:rsidRPr="00CD3EA2" w:rsidRDefault="00CD3EA2" w:rsidP="00CD3EA2">
      <w:pPr>
        <w:ind w:left="567"/>
        <w:jc w:val="both"/>
        <w:rPr>
          <w:rFonts w:asciiTheme="minorHAnsi" w:hAnsiTheme="minorHAnsi" w:cstheme="minorHAnsi"/>
          <w:sz w:val="24"/>
          <w:szCs w:val="24"/>
        </w:rPr>
      </w:pPr>
      <w:r w:rsidRPr="00CD3EA2">
        <w:rPr>
          <w:rFonts w:asciiTheme="minorHAnsi" w:hAnsiTheme="minorHAnsi" w:cstheme="minorHAnsi"/>
          <w:sz w:val="24"/>
          <w:szCs w:val="24"/>
        </w:rPr>
        <w:t xml:space="preserve">  I  Prijedlog za donošenje rješenja o sazivanju Skupštine Zajednice etažnih vlasnika Zgrada „SDK“ Zvornik, se odbacuje.</w:t>
      </w:r>
    </w:p>
    <w:p w14:paraId="3F739B7C" w14:textId="77777777" w:rsidR="00CD3EA2" w:rsidRPr="00CD3EA2" w:rsidRDefault="00CD3EA2" w:rsidP="00CD3EA2">
      <w:pPr>
        <w:ind w:left="567"/>
        <w:jc w:val="both"/>
        <w:rPr>
          <w:rFonts w:asciiTheme="minorHAnsi" w:hAnsiTheme="minorHAnsi" w:cstheme="minorHAnsi"/>
          <w:sz w:val="24"/>
          <w:szCs w:val="24"/>
        </w:rPr>
      </w:pPr>
    </w:p>
    <w:p w14:paraId="5093AF88" w14:textId="685C680A" w:rsidR="00CD3EA2" w:rsidRPr="00CD3EA2" w:rsidRDefault="00CD3EA2" w:rsidP="00CD3EA2">
      <w:pPr>
        <w:ind w:left="426"/>
        <w:jc w:val="both"/>
        <w:rPr>
          <w:rFonts w:asciiTheme="minorHAnsi" w:hAnsiTheme="minorHAnsi" w:cstheme="minorHAnsi"/>
          <w:sz w:val="24"/>
          <w:szCs w:val="24"/>
        </w:rPr>
      </w:pPr>
      <w:r w:rsidRPr="00CD3EA2">
        <w:rPr>
          <w:rFonts w:asciiTheme="minorHAnsi" w:hAnsiTheme="minorHAnsi" w:cstheme="minorHAnsi"/>
          <w:sz w:val="24"/>
          <w:szCs w:val="24"/>
        </w:rPr>
        <w:t xml:space="preserve">    II Prijedlog odluke Agencije za posredničke, informatičke i finansijske usluge, Banja Luka, o korekciji obračuna naknade za Zajednicu etažnih vlasnika na način da se isti oslobađa obračuna naknade za podrumske prostorije u površini od 326,24 m2, te da se vrši obračun ostalih dijelova poslovnih prostorija Agencije za posredničke, informatičke i finansijske usluge, Banja Luka, u površini od 488,73 m2 po cijeni od 0,40 KM po m2, za period od 15.05.2022. godine pa ubuduće, te prijedlog odluke Agencije za posredničke, informatičke i finansijske usluge, Banja Luka i Nove banke a.d. Banja Luka o istupanju iz zajednice etažnih vlasnika i formiranja i upisa nove zajednice etažnih vlasnika kao vlasnika posebnih lamela, se odbacuje.</w:t>
      </w:r>
    </w:p>
    <w:p w14:paraId="4CC1D464" w14:textId="77777777" w:rsidR="00CD3EA2" w:rsidRPr="00CD3EA2" w:rsidRDefault="00CD3EA2" w:rsidP="00CD3EA2">
      <w:pPr>
        <w:jc w:val="center"/>
        <w:rPr>
          <w:rFonts w:asciiTheme="minorHAnsi" w:hAnsiTheme="minorHAnsi" w:cstheme="minorHAnsi"/>
          <w:sz w:val="24"/>
          <w:szCs w:val="24"/>
        </w:rPr>
      </w:pPr>
    </w:p>
    <w:p w14:paraId="42FDCDF4" w14:textId="77777777" w:rsidR="00CD3EA2" w:rsidRPr="00CD3EA2" w:rsidRDefault="00CD3EA2" w:rsidP="00CD3EA2">
      <w:pPr>
        <w:jc w:val="center"/>
        <w:rPr>
          <w:rFonts w:asciiTheme="minorHAnsi" w:hAnsiTheme="minorHAnsi" w:cstheme="minorHAnsi"/>
          <w:sz w:val="24"/>
          <w:szCs w:val="24"/>
        </w:rPr>
      </w:pPr>
      <w:r w:rsidRPr="00CD3EA2">
        <w:rPr>
          <w:rFonts w:asciiTheme="minorHAnsi" w:hAnsiTheme="minorHAnsi" w:cstheme="minorHAnsi"/>
          <w:sz w:val="24"/>
          <w:szCs w:val="24"/>
        </w:rPr>
        <w:t>O b r a z l o ž e nj e</w:t>
      </w:r>
    </w:p>
    <w:p w14:paraId="1DD2EA60" w14:textId="77777777" w:rsidR="00CD3EA2" w:rsidRPr="00CD3EA2" w:rsidRDefault="00CD3EA2" w:rsidP="00CD3EA2">
      <w:pPr>
        <w:rPr>
          <w:rFonts w:asciiTheme="minorHAnsi" w:hAnsiTheme="minorHAnsi" w:cstheme="minorHAnsi"/>
          <w:sz w:val="24"/>
          <w:szCs w:val="24"/>
        </w:rPr>
      </w:pPr>
    </w:p>
    <w:p w14:paraId="3F762B75"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Predlagač je dana 23.10.2024. godine, podnio sudu zahtjev za održavanjem Skupštine protivnika predlagača sa sledećim dnevnim redom: prijedlog odluke o programu investicionog i redovnog održavanja zgrade za 2024. i 2025. godinu, prijedlog odluke o usvajanju finansijskog plana za 2024. i 2025. godinu, prijedlog odluke o usvajanju godišnjeg obračuna zajednice za 2023. i 2025. godinu, prijedlog odluke o usvajanju godišnjeg izvještaja o održavanju zgrade za 2023. i 2025. godinu, prijedlog odluke Agencije za posredničke, informatičke i finansijske usluge, Banja Luka, o korekciji obračuna naknade za zajednicu etažnih vlasnika, oslobađanju obračuna naknade za podrumske prostorije u površini od 326,24 m2, te obračuna ostalih dijelova prostorija Agencije za posredničke, informatičke i finansijske usluge po cijeni od 0,40 KM po m2 za period od 15.06.2022. godine pa ubuduće, prijedlog odluke Agencije za posredničke, informatičke i finansijske usluge i Nove banke a.d. Banja Luka o istupanju iz zajednice etažnih vlasnika i formiranja i upisa nove zajednice etažnih vlasnika kao vlasnika posebnih lamela, zatim da sud o trošku protivnika predlagača imenuje posebno lice za privremenog zastupnika sa ovlaštenjem da sazove i predsjedava sjednici skupštine, da utvrdi </w:t>
      </w:r>
      <w:r w:rsidRPr="00CD3EA2">
        <w:rPr>
          <w:rFonts w:asciiTheme="minorHAnsi" w:hAnsiTheme="minorHAnsi" w:cstheme="minorHAnsi"/>
          <w:sz w:val="24"/>
          <w:szCs w:val="24"/>
        </w:rPr>
        <w:lastRenderedPageBreak/>
        <w:t>datum i mjesto održavanja sjednice i da utvrdi dnevni red sjednice u skladu sa postavljenim zahtjevom. Traži da troškove postupka snosi protivnik predlagača.</w:t>
      </w:r>
    </w:p>
    <w:p w14:paraId="336E0564" w14:textId="77777777" w:rsidR="00CD3EA2" w:rsidRPr="00CD3EA2" w:rsidRDefault="00CD3EA2" w:rsidP="00CD3EA2">
      <w:pPr>
        <w:rPr>
          <w:rFonts w:asciiTheme="minorHAnsi" w:hAnsiTheme="minorHAnsi" w:cstheme="minorHAnsi"/>
          <w:sz w:val="24"/>
          <w:szCs w:val="24"/>
        </w:rPr>
      </w:pPr>
    </w:p>
    <w:p w14:paraId="1ED197A9"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Predlagač ističe alternativni zahtjev, ukoliko sud smatra svrsishodnijim, da sud donese odluku kojom će usvojiti prijedlog odluke Agencije za posredničke, informatičke i finansijske usluge, o korekciji obračuna naknade za zajednicu etažnih vlasnika na način da se isti oslobađa obračuna naknade za podrumske prostorije u površini od 326,24 m2 te da se vrši obračun ostalih dijelova poslovnih prostorija Agencije za posredničke, informatičke i finansijske usluge u površini od 488,73 m2 po cijeni od 0,40 KM po m2 za period od 15.05.2022. godine pa ubuduće i prijedlog odluke Agencije za posredničke, informatičke i finansijske usluge  i Nove banke a.d. Banja Luka o istupanju iz zajednice etažnih vlasnika i formiranja i upisa nove zajednice etažnih vlasnika, kao vlasnika posebnih lamela.</w:t>
      </w:r>
    </w:p>
    <w:p w14:paraId="69B3E910" w14:textId="77777777" w:rsidR="00CD3EA2" w:rsidRPr="00CD3EA2" w:rsidRDefault="00CD3EA2" w:rsidP="00CD3EA2">
      <w:pPr>
        <w:jc w:val="both"/>
        <w:rPr>
          <w:rFonts w:asciiTheme="minorHAnsi" w:hAnsiTheme="minorHAnsi" w:cstheme="minorHAnsi"/>
          <w:sz w:val="24"/>
          <w:szCs w:val="24"/>
        </w:rPr>
      </w:pPr>
    </w:p>
    <w:p w14:paraId="3600ED45" w14:textId="5E6BB8EC"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U prijedlogu se navodi sledeće: da je predlagač vlasnik poslovnog prostora koji se sastoji od podruma površine 326,44 m</w:t>
      </w:r>
      <w:r w:rsidR="004248E4">
        <w:rPr>
          <w:rFonts w:asciiTheme="minorHAnsi" w:hAnsiTheme="minorHAnsi" w:cstheme="minorHAnsi"/>
          <w:sz w:val="24"/>
          <w:szCs w:val="24"/>
        </w:rPr>
        <w:t xml:space="preserve"> </w:t>
      </w:r>
      <w:r w:rsidRPr="00CD3EA2">
        <w:rPr>
          <w:rFonts w:asciiTheme="minorHAnsi" w:hAnsiTheme="minorHAnsi" w:cstheme="minorHAnsi"/>
          <w:sz w:val="24"/>
          <w:szCs w:val="24"/>
        </w:rPr>
        <w:t xml:space="preserve">2 i prizemlja površine 488,73 m2, koji se nalazi u Zvorniku, Ul. Svetog Save broj 6 tzv. „Zgrada SDK“ izgrađena na parceli označenoj kao k.č. broj 1399 upisana u List nepokretnosti broj 1722/13 k.o. Zvornik Grad; da je protivnik predlagača obračunao predlagaču troškove održavanja zgrade u skladu sa zakonom, da bi dana 15.06.2022. godine održao skupštinu gdje je donio odluku da se od 01.07.2022. godine troškovi održavanja uvećaju za 50 %, tako da su predlagaču uvećani troškovi održavanja zgrade na iznos od 0,60 KM po m2 ne uzimajući u obzir činjenicu o površini kvadrature koja se nalazi u podrumu i koja je neupotrebljiva; da je zbog velikih troškova održavanja predmetne zgrade u visini od 489,00 KM mjesečno, predlagač uputio protivniku predlagača zahtjev za korekciju obračuna troškova, što je protivnik predlagača udovoljio takvom zahtjevu, te cijenu održavanja za podrumske prostorije umanjio za 50 %; da je dana 25.07.2024. godine predlagač uputio protivniku predlagača zahtjev za korekciju obračuna troškova za održavanje zajedničkih prostorija, te da je protivnik predagača odgovorio da nije u mogućnosti udovoljiti takvom zahtjevu; da je dana 12.09.2024. godine predlagač uputio protivniku predlagača inicijativu za sazivanje skupštine zajednice etažnih vlasnika, radi odlučivanja o pitanjima bitnim za funkcionisanje objekta; da je dana 26.09.2024. godine održana skupština zajednice etažnih vlasnika sa 4 tačke dnevnog reda, a na kojoj nije stavljena tačka dnevnog reda koju je predložio predlagač; da nakon održane skupštine zajednice etažnih vlasnika, nisu predlagaču dostavljene odluke, kao ni odluka koja se tiče smanjenja naknade za održavanje za predlagača; da je protivnik predlagača prekršio zakon, jer članovima zajednice etažnih vlasnika nije dostavio materijale za skupštinu, niti prijedloge odluka, niti je iste obavijestio o sazivanju na način propisan zakonom, već je predlagač slučajno saznao da je skupština sazvana; da je tačka pod rednim brojem 2 koja se odnosi na razmatranje prigovora predlagača na visinu naknade održavanje zgrade završena donošenjem zaključka, odnosne uslovne odluke, da se saglasnost za korekciju obračuna naknade za zajednicu etažnih vlasnika, predlagaču ima odobriti pod uslovom da isti da saglasnost za postavljanje lifta, a takva odluka se ne može donijeti, ista ne može biti uslovna, niti je sačinjena kao odluka u pisanoj formi; da je predlagač dana 09.08.2024. godine dostavio protivniku predlagača zahtjev za izdavanje saglasnosti da protivnik predlagača zajedno sa Novom bankom a.d. Banja Luka pokrene postupak osnivanja zajednice etažnih vlasnika i istupanja iz postojeće Zajednice etažnih vlasnika, budući da su ova dva vlasnika nekretnina u zgradi potpuno odvojeni od ostalih etažnih zajedničara, na koji zahtjev protivnik predlagača nije odgovorio, niti je ovaj prijedlog uvrstio kao tačku dnevnog reda. </w:t>
      </w:r>
    </w:p>
    <w:p w14:paraId="5C9B3D77" w14:textId="77777777" w:rsidR="00CD3EA2" w:rsidRPr="00CD3EA2" w:rsidRDefault="00CD3EA2" w:rsidP="00CD3EA2">
      <w:pPr>
        <w:rPr>
          <w:rFonts w:asciiTheme="minorHAnsi" w:hAnsiTheme="minorHAnsi" w:cstheme="minorHAnsi"/>
          <w:sz w:val="24"/>
          <w:szCs w:val="24"/>
        </w:rPr>
      </w:pPr>
    </w:p>
    <w:p w14:paraId="4A91F06C"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lastRenderedPageBreak/>
        <w:t xml:space="preserve">         Predlagač predlaže da sud usvoji njegov zahtjev za zakazivanjem sjednice Skupštine protivnika predlagača, pozivajući se na odredbu člana 269. Zakona o privrednim društvima, a ukoliko sud smatra za svrsishodnijim, ističe alternativni zahtjev da se predlagač oslobodi obračuna naknade za podrumske prostorije u površini od 326,24 m2, te da se vrši obračun ostalih dijelova poslovnih prostorija predlagača u površini od 488,73 m2 po cijeni od 0,40 KM po m2 za period od 15.05.2022. godine pa ubuduće, te zahtjev o istupanju iz postojeće zajednice etažnih vlasnika i formiranja i upisa nove zajednice etažnih vlasnika predlagača i Nove banke a.d. Banja Luka kao vlasnika posebnih lamela, pozivajući se na odredbu člana 29. stav 3. Zakona o održavanju zgrada.</w:t>
      </w:r>
    </w:p>
    <w:p w14:paraId="5BC1322E" w14:textId="77777777" w:rsidR="00CD3EA2" w:rsidRPr="00CD3EA2" w:rsidRDefault="00CD3EA2" w:rsidP="00CD3EA2">
      <w:pPr>
        <w:jc w:val="both"/>
        <w:rPr>
          <w:rFonts w:asciiTheme="minorHAnsi" w:hAnsiTheme="minorHAnsi" w:cstheme="minorHAnsi"/>
          <w:sz w:val="24"/>
          <w:szCs w:val="24"/>
        </w:rPr>
      </w:pPr>
    </w:p>
    <w:p w14:paraId="1DAEEB79" w14:textId="77777777" w:rsidR="00CD3EA2" w:rsidRPr="00CD3EA2" w:rsidRDefault="00CD3EA2" w:rsidP="00CD3EA2">
      <w:pPr>
        <w:jc w:val="both"/>
        <w:rPr>
          <w:rFonts w:asciiTheme="minorHAnsi" w:hAnsiTheme="minorHAnsi" w:cstheme="minorHAnsi"/>
          <w:sz w:val="24"/>
          <w:szCs w:val="24"/>
          <w:lang w:val="sr-Latn-BA"/>
        </w:rPr>
      </w:pPr>
      <w:r w:rsidRPr="00CD3EA2">
        <w:rPr>
          <w:rFonts w:asciiTheme="minorHAnsi" w:hAnsiTheme="minorHAnsi" w:cstheme="minorHAnsi"/>
          <w:sz w:val="24"/>
          <w:szCs w:val="24"/>
        </w:rPr>
        <w:t xml:space="preserve">          Protivnik predlagača je zajednica etažnih vlasnika, koja je kao takva definisana odredbom člana 23. </w:t>
      </w:r>
      <w:r w:rsidRPr="00CD3EA2">
        <w:rPr>
          <w:rFonts w:asciiTheme="minorHAnsi" w:hAnsiTheme="minorHAnsi" w:cstheme="minorHAnsi"/>
          <w:sz w:val="24"/>
          <w:szCs w:val="24"/>
          <w:lang w:val="sr-Latn-BA"/>
        </w:rPr>
        <w:t>Zakona o održavanju zgrada (Službeni glasnik Republike Srpske broj 101/11, u daljem tekstu: Zakon o održavanju zgrada), ima status pravnog lica i upisuje se u registar zajednica kod organa uprave nadležnog za stambene poslove.</w:t>
      </w:r>
    </w:p>
    <w:p w14:paraId="5A8C55D9" w14:textId="77777777" w:rsidR="00CD3EA2" w:rsidRPr="00CD3EA2" w:rsidRDefault="00CD3EA2" w:rsidP="00CD3EA2">
      <w:pPr>
        <w:jc w:val="both"/>
        <w:rPr>
          <w:rFonts w:asciiTheme="minorHAnsi" w:hAnsiTheme="minorHAnsi" w:cstheme="minorHAnsi"/>
          <w:sz w:val="24"/>
          <w:szCs w:val="24"/>
          <w:lang w:val="sr-Latn-BA"/>
        </w:rPr>
      </w:pPr>
    </w:p>
    <w:p w14:paraId="54C65E51"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lang w:val="sr-Latn-BA"/>
        </w:rPr>
        <w:t xml:space="preserve">       Odredba člana 1.  </w:t>
      </w:r>
      <w:r w:rsidRPr="00CD3EA2">
        <w:rPr>
          <w:rFonts w:asciiTheme="minorHAnsi" w:hAnsiTheme="minorHAnsi" w:cstheme="minorHAnsi"/>
          <w:sz w:val="24"/>
          <w:szCs w:val="24"/>
        </w:rPr>
        <w:t>Zakona o privrednim društvima (Službeni glasnik RS br. 127/08 do 17/23 –u daljem tekstu: ZPD) propisuje da se tim zakonom uređuje osnivanje privrednih društava, upravljanje društvima, prava i obaveze osnivača, ortaka, članova i akcionara.</w:t>
      </w:r>
    </w:p>
    <w:p w14:paraId="591D2643" w14:textId="77777777" w:rsidR="00CD3EA2" w:rsidRPr="00CD3EA2" w:rsidRDefault="00CD3EA2" w:rsidP="00CD3EA2">
      <w:pPr>
        <w:jc w:val="both"/>
        <w:rPr>
          <w:rFonts w:asciiTheme="minorHAnsi" w:hAnsiTheme="minorHAnsi" w:cstheme="minorHAnsi"/>
          <w:sz w:val="24"/>
          <w:szCs w:val="24"/>
        </w:rPr>
      </w:pPr>
    </w:p>
    <w:p w14:paraId="4E51B434"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Kako protivnik predlagača nije organizovan kao privredno društvo u formi akcionarskog društva, to se u konkretnom slučaju ne mogu primijeniti odredbe člana 268. i člana 269. </w:t>
      </w:r>
      <w:r w:rsidRPr="00CD3EA2">
        <w:rPr>
          <w:rFonts w:asciiTheme="minorHAnsi" w:hAnsiTheme="minorHAnsi" w:cstheme="minorHAnsi"/>
          <w:sz w:val="24"/>
          <w:szCs w:val="24"/>
          <w:lang w:val="sr-Cyrl-CS"/>
        </w:rPr>
        <w:t>ZPD</w:t>
      </w:r>
      <w:r w:rsidRPr="00CD3EA2">
        <w:rPr>
          <w:rFonts w:asciiTheme="minorHAnsi" w:hAnsiTheme="minorHAnsi" w:cstheme="minorHAnsi"/>
          <w:sz w:val="24"/>
          <w:szCs w:val="24"/>
        </w:rPr>
        <w:t xml:space="preserve">, tj. da sud naloži protivniku predlagača održavanje redovne skupštine, obzirom da protivnik predlagača nije organizovan u formi akcionarskog društva i na njega se ne odnosi primjena odredbi ZPD, nego se primjenjuju odredbe Zakona o održavanju zgrada. Odredba člana 27. Zakona o održavanju zgrada propisuje način sazivanja Skupštine zajednice etažnih vlasnika, iz koje odredbe proizilazi da sazivanje skupštine ne može naložiti sud. </w:t>
      </w:r>
    </w:p>
    <w:p w14:paraId="2F7AFCE4" w14:textId="77777777" w:rsidR="00CD3EA2" w:rsidRPr="00CD3EA2" w:rsidRDefault="00CD3EA2" w:rsidP="00CD3EA2">
      <w:pPr>
        <w:jc w:val="both"/>
        <w:rPr>
          <w:rFonts w:asciiTheme="minorHAnsi" w:hAnsiTheme="minorHAnsi" w:cstheme="minorHAnsi"/>
          <w:sz w:val="24"/>
          <w:szCs w:val="24"/>
        </w:rPr>
      </w:pPr>
    </w:p>
    <w:p w14:paraId="1C44940B"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Imajući u vidu naprijed navedeno, sud je odlučio kao u stavu I izreke Rješenja.</w:t>
      </w:r>
    </w:p>
    <w:p w14:paraId="0DF01BFA" w14:textId="77777777" w:rsidR="00CD3EA2" w:rsidRPr="00CD3EA2" w:rsidRDefault="00CD3EA2" w:rsidP="00CD3EA2">
      <w:pPr>
        <w:jc w:val="both"/>
        <w:rPr>
          <w:rFonts w:asciiTheme="minorHAnsi" w:hAnsiTheme="minorHAnsi" w:cstheme="minorHAnsi"/>
          <w:sz w:val="24"/>
          <w:szCs w:val="24"/>
        </w:rPr>
      </w:pPr>
    </w:p>
    <w:p w14:paraId="4F6DFF37"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Odredba člana 13. Zakona o održavanju zgrada propisuje šta se podrazumijeva pod redovnim održavanjem zajedničkih dijelova zgrade, dok odredba člana 14. Zakona o održavanju zgrada propisuje šta se podrazumijeva pod investicionim održavanjem zajedničkih dijelova zgrade.</w:t>
      </w:r>
    </w:p>
    <w:p w14:paraId="49E4C010" w14:textId="77777777" w:rsidR="00CD3EA2" w:rsidRPr="00CD3EA2" w:rsidRDefault="00CD3EA2" w:rsidP="00CD3EA2">
      <w:pPr>
        <w:jc w:val="both"/>
        <w:rPr>
          <w:rFonts w:asciiTheme="minorHAnsi" w:hAnsiTheme="minorHAnsi" w:cstheme="minorHAnsi"/>
          <w:sz w:val="24"/>
          <w:szCs w:val="24"/>
        </w:rPr>
      </w:pPr>
    </w:p>
    <w:p w14:paraId="67A912E8"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Odredba člana 29. stav 1. Zakona o održavanju zgrada propisuje da za donošenje odluka skupštine koje se odnose na obavljanje poslove redovnog upravljanja zgradom potrebna je nadpolovična saglasnost od ukupnog broja etažnih vlasnika, za donošenje odluka skupštine koje prelaze okvire redovnog upravljanja zgradom, kao što je promjena namjene ili izdavanje u zakup zajedničkih prostorija, zasnivanje hipoteke, zasnivanje službenosti, veće popravke ili prepravke koje nisu redovno održavanje, dogradnja i nadogradnja zgrade, potrebna saglasnost svih etažnih vlasnika (stav 2.), ako se ne postigne saglasnost etažnih vlasnika i odluka ne donese u skladu sa stavom 1. i stavom 2., kada za preuzimanje poslova postoje naročito opravdani razlozi, svaki etažni vlasnik može tražiti da o tome odluči sud (stav 3.).</w:t>
      </w:r>
    </w:p>
    <w:p w14:paraId="5C473A1A" w14:textId="77777777" w:rsidR="00CD3EA2" w:rsidRPr="00CD3EA2" w:rsidRDefault="00CD3EA2" w:rsidP="00CD3EA2">
      <w:pPr>
        <w:jc w:val="both"/>
        <w:rPr>
          <w:rFonts w:asciiTheme="minorHAnsi" w:hAnsiTheme="minorHAnsi" w:cstheme="minorHAnsi"/>
          <w:sz w:val="24"/>
          <w:szCs w:val="24"/>
        </w:rPr>
      </w:pPr>
    </w:p>
    <w:p w14:paraId="338CDFE5"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Predlagač traži da sud donese odluku o korekciji obračuna naknade za zajednicu etažnih vlasnika, te odluku o istupanju predlagača i Nove banke a.d. Banja Luka iz postojeće zajednice etažnih vlasnika i upis nove zajednice etažnih vlasnika, o čemu sud ne može odlučivati </w:t>
      </w:r>
      <w:r w:rsidRPr="00CD3EA2">
        <w:rPr>
          <w:rFonts w:asciiTheme="minorHAnsi" w:hAnsiTheme="minorHAnsi" w:cstheme="minorHAnsi"/>
          <w:sz w:val="24"/>
          <w:szCs w:val="24"/>
        </w:rPr>
        <w:lastRenderedPageBreak/>
        <w:t>primjenom odredbe člana 29. stav 3. Zakona o održavanju zgrada, jer se u konkretnom slučaju ne radi o poslovima redovnog upravljanja zgradom, niti o poslovima koje prelaze okvire redovnog upravljanja zgradom, kako je to propisano odredbom člana 29. stav 1. i stav 2.,  te odredbe člana 13. i 14. Zakona o održavanju zgrada.</w:t>
      </w:r>
    </w:p>
    <w:p w14:paraId="3E7635F9" w14:textId="77777777" w:rsidR="00CD3EA2" w:rsidRPr="00CD3EA2" w:rsidRDefault="00CD3EA2" w:rsidP="00CD3EA2">
      <w:pPr>
        <w:jc w:val="both"/>
        <w:rPr>
          <w:rFonts w:asciiTheme="minorHAnsi" w:hAnsiTheme="minorHAnsi" w:cstheme="minorHAnsi"/>
          <w:sz w:val="24"/>
          <w:szCs w:val="24"/>
        </w:rPr>
      </w:pPr>
    </w:p>
    <w:p w14:paraId="58016CDE"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Odredba člana 22. Zakona o održavanju zgrada propisuje nadležnost zajednice etažnih vlasnika, dok odredba člana 25. Zakona o održavanju zgrada propisuje nadležnost Skupštine zajednice etažnih vlasnika, između ostalog i odluku o vrijednosti boda za akontaciju troškova održavanja. Imajući u vidu te odredbe, proizilazi da o troškovima održavanja zgrade, odlučuje skupština zajednice etažnih vlasnika, a ne sud u vanparničnom postupku.</w:t>
      </w:r>
    </w:p>
    <w:p w14:paraId="49BA7191" w14:textId="77777777" w:rsidR="00CD3EA2" w:rsidRPr="00CD3EA2" w:rsidRDefault="00CD3EA2" w:rsidP="00CD3EA2">
      <w:pPr>
        <w:jc w:val="both"/>
        <w:rPr>
          <w:rFonts w:asciiTheme="minorHAnsi" w:hAnsiTheme="minorHAnsi" w:cstheme="minorHAnsi"/>
          <w:sz w:val="24"/>
          <w:szCs w:val="24"/>
        </w:rPr>
      </w:pPr>
    </w:p>
    <w:p w14:paraId="10A39741"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Također, odredba člana 20. stav 3. Zakona o održavanju zgrada propisuje da se Ugovor o osnivanju zajednice može mijenjati samo uz pismeni pristanak onih etažnih vlasnika čija se prava mijenjaju, a zajednica se može osnovati kad najmanje 51 % etažnih vlasnika potpiše ugovor o osnivanju zajednice (stav 4.), iz čega proizilazi da sud nije nadležan da donese odluku istupanju predlagača i Nove banke a.d. Banja Luka iz postojeće zajednice etažnih vlasnika i upis nove zajednice etažnih vlasnika, jer se to tiče isključivo etažnih vlasnika čija se prava mijenjaju. Osim toga, zajednica se može osnovati kad najmanje 51 % etažnih vlasnika potpiše ugovor o osnivanju zajednice, a predlagač ničim ne dokazuje da zajedno sa Novom bankom a.d. Banja Luka, čini najmanje 51 % etažnih vlasnika u Zgradi „SDK“ u Zvorniku, da bi se tom slučaju formirala nova zajednica etažnih vlasnika.   </w:t>
      </w:r>
    </w:p>
    <w:p w14:paraId="6EEE4857" w14:textId="77777777" w:rsidR="00CD3EA2" w:rsidRPr="00CD3EA2" w:rsidRDefault="00CD3EA2" w:rsidP="00CD3EA2">
      <w:pPr>
        <w:jc w:val="both"/>
        <w:rPr>
          <w:rFonts w:asciiTheme="minorHAnsi" w:hAnsiTheme="minorHAnsi" w:cstheme="minorHAnsi"/>
          <w:sz w:val="24"/>
          <w:szCs w:val="24"/>
        </w:rPr>
      </w:pPr>
    </w:p>
    <w:p w14:paraId="465A267E"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          Dakle, odlučivanje o troškovima održavanja zgrade je u nadležnosti Skupštine zajednice etažnih vlasnika, tj. to ne predstavlja sudsku nadležnost, niti spada u sudsku nadležnost donošenje odluke o istupanju iz zajednice etažnih vlasnika i formiranje nove zajednice etažnih vlasnika.</w:t>
      </w:r>
    </w:p>
    <w:p w14:paraId="0B839767" w14:textId="77777777" w:rsidR="00CD3EA2" w:rsidRPr="00CD3EA2" w:rsidRDefault="00CD3EA2" w:rsidP="00CD3EA2">
      <w:pPr>
        <w:jc w:val="both"/>
        <w:rPr>
          <w:rFonts w:asciiTheme="minorHAnsi" w:hAnsiTheme="minorHAnsi" w:cstheme="minorHAnsi"/>
          <w:sz w:val="24"/>
          <w:szCs w:val="24"/>
          <w:lang w:val="sr-Cyrl-CS"/>
        </w:rPr>
      </w:pPr>
    </w:p>
    <w:p w14:paraId="525405E9" w14:textId="77777777" w:rsidR="00CD3EA2" w:rsidRPr="00CD3EA2" w:rsidRDefault="00CD3EA2" w:rsidP="00CD3EA2">
      <w:pPr>
        <w:pStyle w:val="ListParagraph"/>
        <w:spacing w:after="526"/>
        <w:ind w:left="0"/>
        <w:jc w:val="both"/>
        <w:rPr>
          <w:rFonts w:asciiTheme="minorHAnsi" w:hAnsiTheme="minorHAnsi" w:cstheme="minorHAnsi"/>
          <w:sz w:val="24"/>
          <w:szCs w:val="24"/>
          <w:lang w:val="sr-Latn-BA"/>
        </w:rPr>
      </w:pPr>
      <w:r w:rsidRPr="00CD3EA2">
        <w:rPr>
          <w:rFonts w:asciiTheme="minorHAnsi" w:hAnsiTheme="minorHAnsi" w:cstheme="minorHAnsi"/>
          <w:sz w:val="24"/>
          <w:szCs w:val="24"/>
        </w:rPr>
        <w:t xml:space="preserve">           Odredbom člana 2. stav 1. Zakona o vanparničnom postupku </w:t>
      </w:r>
      <w:r w:rsidRPr="00CD3EA2">
        <w:rPr>
          <w:rFonts w:asciiTheme="minorHAnsi" w:hAnsiTheme="minorHAnsi" w:cstheme="minorHAnsi"/>
          <w:spacing w:val="-3"/>
          <w:sz w:val="24"/>
          <w:szCs w:val="24"/>
        </w:rPr>
        <w:t>(Službeni glasnik Republike Srpske broj 36</w:t>
      </w:r>
      <w:r w:rsidRPr="00CD3EA2">
        <w:rPr>
          <w:rFonts w:asciiTheme="minorHAnsi" w:hAnsiTheme="minorHAnsi" w:cstheme="minorHAnsi"/>
          <w:sz w:val="24"/>
          <w:szCs w:val="24"/>
        </w:rPr>
        <w:t xml:space="preserve">/09, 91/16 i 16/23) je propisana shodna primjena odredbi </w:t>
      </w:r>
      <w:r w:rsidRPr="00CD3EA2">
        <w:rPr>
          <w:rFonts w:asciiTheme="minorHAnsi" w:hAnsiTheme="minorHAnsi" w:cstheme="minorHAnsi"/>
          <w:sz w:val="24"/>
          <w:szCs w:val="24"/>
          <w:lang w:val="sr-Latn-BA"/>
        </w:rPr>
        <w:t>Zakona o parničnom postupku (Sl.gl.RS br. 58/03, 85/03, 74/05, 63/07, 49/09, 105/08, 45/09, 49/09, 61/13, 109/21 i 27/24 – u daljem tekstu: ZPP).</w:t>
      </w:r>
    </w:p>
    <w:p w14:paraId="7C739E06" w14:textId="77777777" w:rsidR="00CD3EA2" w:rsidRPr="00CD3EA2" w:rsidRDefault="00CD3EA2" w:rsidP="00CD3EA2">
      <w:pPr>
        <w:pStyle w:val="ListParagraph"/>
        <w:spacing w:after="526"/>
        <w:ind w:left="0"/>
        <w:jc w:val="both"/>
        <w:rPr>
          <w:rFonts w:asciiTheme="minorHAnsi" w:hAnsiTheme="minorHAnsi" w:cstheme="minorHAnsi"/>
          <w:sz w:val="24"/>
          <w:szCs w:val="24"/>
          <w:lang w:val="sr-Latn-BA"/>
        </w:rPr>
      </w:pPr>
    </w:p>
    <w:p w14:paraId="7A8238F9" w14:textId="77777777" w:rsidR="00CD3EA2" w:rsidRPr="00CD3EA2" w:rsidRDefault="00CD3EA2" w:rsidP="00CD3EA2">
      <w:pPr>
        <w:pStyle w:val="ListParagraph"/>
        <w:spacing w:after="526"/>
        <w:ind w:left="0"/>
        <w:jc w:val="both"/>
        <w:rPr>
          <w:rFonts w:asciiTheme="minorHAnsi" w:hAnsiTheme="minorHAnsi" w:cstheme="minorHAnsi"/>
          <w:sz w:val="24"/>
          <w:szCs w:val="24"/>
        </w:rPr>
      </w:pPr>
      <w:r w:rsidRPr="00CD3EA2">
        <w:rPr>
          <w:rFonts w:asciiTheme="minorHAnsi" w:hAnsiTheme="minorHAnsi" w:cstheme="minorHAnsi"/>
          <w:sz w:val="24"/>
          <w:szCs w:val="24"/>
          <w:lang w:val="sr-Latn-BA"/>
        </w:rPr>
        <w:t xml:space="preserve">          Kako odlučivanje </w:t>
      </w:r>
      <w:r w:rsidRPr="00CD3EA2">
        <w:rPr>
          <w:rFonts w:asciiTheme="minorHAnsi" w:hAnsiTheme="minorHAnsi" w:cstheme="minorHAnsi"/>
          <w:sz w:val="24"/>
          <w:szCs w:val="24"/>
          <w:lang w:val="hr-BA"/>
        </w:rPr>
        <w:t>o alternativnom zahtjevu predlagača, ne spada u sudsku nadležnost, a na šta sud pazi po službenoj dužnosti, to je sud primjenom odredbe člana 16. ZPP</w:t>
      </w:r>
      <w:r w:rsidRPr="00CD3EA2">
        <w:rPr>
          <w:rFonts w:asciiTheme="minorHAnsi" w:hAnsiTheme="minorHAnsi" w:cstheme="minorHAnsi"/>
          <w:sz w:val="24"/>
          <w:szCs w:val="24"/>
          <w:lang w:val="sr-Latn-BA"/>
        </w:rPr>
        <w:t>, odlučio kao u stavu II izreke ovoga rješenja.</w:t>
      </w:r>
    </w:p>
    <w:p w14:paraId="70D09EC4" w14:textId="3104BE61"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 xml:space="preserve">PRAVNA POUKA:                                                                                   </w:t>
      </w:r>
      <w:r w:rsidR="004248E4">
        <w:rPr>
          <w:rFonts w:asciiTheme="minorHAnsi" w:hAnsiTheme="minorHAnsi" w:cstheme="minorHAnsi"/>
          <w:sz w:val="24"/>
          <w:szCs w:val="24"/>
        </w:rPr>
        <w:t xml:space="preserve">             </w:t>
      </w:r>
      <w:r w:rsidRPr="00CD3EA2">
        <w:rPr>
          <w:rFonts w:asciiTheme="minorHAnsi" w:hAnsiTheme="minorHAnsi" w:cstheme="minorHAnsi"/>
          <w:sz w:val="24"/>
          <w:szCs w:val="24"/>
        </w:rPr>
        <w:t xml:space="preserve">   S U D I J A</w:t>
      </w:r>
    </w:p>
    <w:p w14:paraId="0E67BE37"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Protiv ovog rješenja može se izjaviti žalba                                                    Dragan Mitrović</w:t>
      </w:r>
    </w:p>
    <w:p w14:paraId="3CF904F2" w14:textId="77777777" w:rsidR="00CD3EA2" w:rsidRPr="00CD3EA2" w:rsidRDefault="00CD3EA2" w:rsidP="00CD3EA2">
      <w:pPr>
        <w:jc w:val="both"/>
        <w:rPr>
          <w:rFonts w:asciiTheme="minorHAnsi" w:hAnsiTheme="minorHAnsi" w:cstheme="minorHAnsi"/>
          <w:sz w:val="24"/>
          <w:szCs w:val="24"/>
        </w:rPr>
      </w:pPr>
      <w:r w:rsidRPr="00CD3EA2">
        <w:rPr>
          <w:rFonts w:asciiTheme="minorHAnsi" w:hAnsiTheme="minorHAnsi" w:cstheme="minorHAnsi"/>
          <w:sz w:val="24"/>
          <w:szCs w:val="24"/>
        </w:rPr>
        <w:t>Višem privrednom sudu u Banja Luci u</w:t>
      </w:r>
    </w:p>
    <w:p w14:paraId="383F7DE6" w14:textId="77777777" w:rsidR="00CD3EA2" w:rsidRPr="00CD3EA2" w:rsidRDefault="00CD3EA2" w:rsidP="00CD3EA2">
      <w:pPr>
        <w:rPr>
          <w:rFonts w:asciiTheme="minorHAnsi" w:hAnsiTheme="minorHAnsi" w:cstheme="minorHAnsi"/>
          <w:sz w:val="24"/>
          <w:szCs w:val="24"/>
        </w:rPr>
      </w:pPr>
      <w:r w:rsidRPr="00CD3EA2">
        <w:rPr>
          <w:rFonts w:asciiTheme="minorHAnsi" w:hAnsiTheme="minorHAnsi" w:cstheme="minorHAnsi"/>
          <w:sz w:val="24"/>
          <w:szCs w:val="24"/>
        </w:rPr>
        <w:t>roku od 8 dana od dana prijema, putem ovog suda.</w:t>
      </w:r>
      <w:r w:rsidRPr="00CD3EA2">
        <w:rPr>
          <w:rFonts w:asciiTheme="minorHAnsi" w:hAnsiTheme="minorHAnsi" w:cstheme="minorHAnsi"/>
          <w:b/>
          <w:sz w:val="24"/>
          <w:szCs w:val="24"/>
        </w:rPr>
        <w:t xml:space="preserve">      </w:t>
      </w:r>
      <w:r w:rsidRPr="00CD3EA2">
        <w:rPr>
          <w:rFonts w:asciiTheme="minorHAnsi" w:hAnsiTheme="minorHAnsi" w:cstheme="minorHAnsi"/>
          <w:b/>
          <w:sz w:val="24"/>
          <w:szCs w:val="24"/>
        </w:rPr>
        <w:tab/>
        <w:t xml:space="preserve">                             </w:t>
      </w:r>
    </w:p>
    <w:p w14:paraId="76CDAD0E" w14:textId="77777777" w:rsidR="00CD3EA2" w:rsidRPr="00CD3EA2" w:rsidRDefault="00CD3EA2" w:rsidP="00CD3EA2">
      <w:pPr>
        <w:rPr>
          <w:rFonts w:asciiTheme="minorHAnsi" w:hAnsiTheme="minorHAnsi" w:cstheme="minorHAnsi"/>
          <w:sz w:val="24"/>
          <w:szCs w:val="24"/>
        </w:rPr>
      </w:pPr>
    </w:p>
    <w:p w14:paraId="4B74DD62" w14:textId="77777777" w:rsidR="00CD3EA2" w:rsidRPr="00CD3EA2" w:rsidRDefault="00CD3EA2" w:rsidP="00CD3EA2">
      <w:pPr>
        <w:jc w:val="both"/>
        <w:rPr>
          <w:rFonts w:asciiTheme="minorHAnsi" w:hAnsiTheme="minorHAnsi" w:cstheme="minorHAnsi"/>
          <w:sz w:val="24"/>
          <w:szCs w:val="24"/>
        </w:rPr>
      </w:pPr>
    </w:p>
    <w:p w14:paraId="5D5DD6A3" w14:textId="77777777" w:rsidR="00CD3EA2" w:rsidRPr="00CD3EA2" w:rsidRDefault="00CD3EA2" w:rsidP="00CD3EA2">
      <w:pPr>
        <w:spacing w:before="100" w:beforeAutospacing="1"/>
        <w:contextualSpacing/>
        <w:jc w:val="both"/>
        <w:rPr>
          <w:rFonts w:asciiTheme="minorHAnsi" w:hAnsiTheme="minorHAnsi" w:cstheme="minorHAnsi"/>
          <w:sz w:val="24"/>
          <w:szCs w:val="24"/>
          <w:lang w:val="sr-Latn-BA"/>
        </w:rPr>
      </w:pPr>
      <w:r w:rsidRPr="00CD3EA2">
        <w:rPr>
          <w:rFonts w:asciiTheme="minorHAnsi" w:hAnsiTheme="minorHAnsi" w:cstheme="minorHAnsi"/>
          <w:sz w:val="24"/>
          <w:szCs w:val="24"/>
          <w:lang w:val="hr-BA"/>
        </w:rPr>
        <w:t xml:space="preserve">   </w:t>
      </w:r>
    </w:p>
    <w:p w14:paraId="7400037A" w14:textId="77777777" w:rsidR="00CD3EA2" w:rsidRPr="00CD3EA2" w:rsidRDefault="00CD3EA2" w:rsidP="00CD3EA2">
      <w:pPr>
        <w:rPr>
          <w:rFonts w:asciiTheme="minorHAnsi" w:hAnsiTheme="minorHAnsi" w:cstheme="minorHAnsi"/>
          <w:sz w:val="24"/>
          <w:szCs w:val="24"/>
        </w:rPr>
      </w:pPr>
    </w:p>
    <w:p w14:paraId="3F925E79" w14:textId="77777777" w:rsidR="00CD3EA2" w:rsidRPr="00CD3EA2" w:rsidRDefault="00CD3EA2" w:rsidP="00CD3EA2">
      <w:pPr>
        <w:rPr>
          <w:rFonts w:asciiTheme="minorHAnsi" w:hAnsiTheme="minorHAnsi" w:cstheme="minorHAnsi"/>
          <w:sz w:val="24"/>
          <w:szCs w:val="24"/>
        </w:rPr>
      </w:pPr>
    </w:p>
    <w:p w14:paraId="6D3F2B3C" w14:textId="77777777" w:rsidR="00CD3EA2" w:rsidRPr="00CD3EA2" w:rsidRDefault="00CD3EA2" w:rsidP="00CD3EA2">
      <w:pPr>
        <w:jc w:val="both"/>
        <w:rPr>
          <w:rFonts w:asciiTheme="minorHAnsi" w:hAnsiTheme="minorHAnsi" w:cstheme="minorHAnsi"/>
          <w:b/>
          <w:sz w:val="24"/>
          <w:szCs w:val="24"/>
          <w:lang w:val="sr-Latn-BA"/>
        </w:rPr>
      </w:pPr>
      <w:r w:rsidRPr="00CD3EA2">
        <w:rPr>
          <w:rFonts w:asciiTheme="minorHAnsi" w:hAnsiTheme="minorHAnsi" w:cstheme="minorHAnsi"/>
          <w:sz w:val="24"/>
          <w:szCs w:val="24"/>
          <w:lang w:val="sr-Latn-BA"/>
        </w:rPr>
        <w:t xml:space="preserve">  </w:t>
      </w:r>
      <w:r w:rsidRPr="00CD3EA2">
        <w:rPr>
          <w:rFonts w:asciiTheme="minorHAnsi" w:hAnsiTheme="minorHAnsi" w:cstheme="minorHAnsi"/>
          <w:b/>
          <w:sz w:val="24"/>
          <w:szCs w:val="24"/>
          <w:lang w:val="sr-Latn-BA"/>
        </w:rPr>
        <w:t xml:space="preserve">  </w:t>
      </w:r>
    </w:p>
    <w:p w14:paraId="6E45E55C" w14:textId="45020698" w:rsidR="00614B47" w:rsidRPr="00CD3EA2" w:rsidRDefault="00614B47" w:rsidP="00CD3EA2">
      <w:pPr>
        <w:rPr>
          <w:rFonts w:asciiTheme="minorHAnsi" w:hAnsiTheme="minorHAnsi" w:cstheme="minorHAnsi"/>
          <w:sz w:val="24"/>
          <w:szCs w:val="24"/>
        </w:rPr>
      </w:pPr>
    </w:p>
    <w:sectPr w:rsidR="00614B47" w:rsidRPr="00CD3EA2" w:rsidSect="002D4758">
      <w:footerReference w:type="default" r:id="rId7"/>
      <w:footerReference w:type="firs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02205" w14:textId="77777777" w:rsidR="003F4EB4" w:rsidRDefault="003F4EB4">
      <w:r>
        <w:separator/>
      </w:r>
    </w:p>
  </w:endnote>
  <w:endnote w:type="continuationSeparator" w:id="0">
    <w:p w14:paraId="11DD81E2" w14:textId="77777777" w:rsidR="003F4EB4" w:rsidRDefault="003F4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634387"/>
      <w:docPartObj>
        <w:docPartGallery w:val="Page Numbers (Bottom of Page)"/>
        <w:docPartUnique/>
      </w:docPartObj>
    </w:sdtPr>
    <w:sdtEndPr>
      <w:rPr>
        <w:noProof/>
      </w:rPr>
    </w:sdtEndPr>
    <w:sdtContent>
      <w:p w14:paraId="3FB35378" w14:textId="30A328AB" w:rsidR="004664FF" w:rsidRDefault="00645529">
        <w:pPr>
          <w:pStyle w:val="Footer"/>
          <w:jc w:val="center"/>
        </w:pPr>
        <w:r>
          <w:fldChar w:fldCharType="begin"/>
        </w:r>
        <w:r>
          <w:instrText xml:space="preserve"> PAGE   \* MERGEFORMAT </w:instrText>
        </w:r>
        <w:r>
          <w:fldChar w:fldCharType="separate"/>
        </w:r>
        <w:r w:rsidR="00A547B7">
          <w:rPr>
            <w:noProof/>
          </w:rPr>
          <w:t>4</w:t>
        </w:r>
        <w:r>
          <w:rPr>
            <w:noProof/>
          </w:rPr>
          <w:fldChar w:fldCharType="end"/>
        </w:r>
      </w:p>
    </w:sdtContent>
  </w:sdt>
  <w:p w14:paraId="5D95F204" w14:textId="77777777" w:rsidR="004664FF" w:rsidRDefault="003F4E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98001"/>
      <w:docPartObj>
        <w:docPartGallery w:val="Page Numbers (Bottom of Page)"/>
        <w:docPartUnique/>
      </w:docPartObj>
    </w:sdtPr>
    <w:sdtEndPr>
      <w:rPr>
        <w:noProof/>
      </w:rPr>
    </w:sdtEndPr>
    <w:sdtContent>
      <w:p w14:paraId="2D8B343A" w14:textId="2A2E92C4" w:rsidR="004664FF" w:rsidRDefault="00645529">
        <w:pPr>
          <w:pStyle w:val="Footer"/>
          <w:jc w:val="center"/>
        </w:pPr>
        <w:r>
          <w:fldChar w:fldCharType="begin"/>
        </w:r>
        <w:r>
          <w:instrText xml:space="preserve"> PAGE   \* MERGEFORMAT </w:instrText>
        </w:r>
        <w:r>
          <w:fldChar w:fldCharType="separate"/>
        </w:r>
        <w:r w:rsidR="00A547B7">
          <w:rPr>
            <w:noProof/>
          </w:rPr>
          <w:t>1</w:t>
        </w:r>
        <w:r>
          <w:rPr>
            <w:noProof/>
          </w:rPr>
          <w:fldChar w:fldCharType="end"/>
        </w:r>
      </w:p>
    </w:sdtContent>
  </w:sdt>
  <w:p w14:paraId="505F5595" w14:textId="77777777" w:rsidR="004664FF" w:rsidRDefault="003F4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062F6" w14:textId="77777777" w:rsidR="003F4EB4" w:rsidRDefault="003F4EB4">
      <w:r>
        <w:separator/>
      </w:r>
    </w:p>
  </w:footnote>
  <w:footnote w:type="continuationSeparator" w:id="0">
    <w:p w14:paraId="44985203" w14:textId="77777777" w:rsidR="003F4EB4" w:rsidRDefault="003F4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64742"/>
    <w:multiLevelType w:val="hybridMultilevel"/>
    <w:tmpl w:val="3918DE42"/>
    <w:lvl w:ilvl="0" w:tplc="DEE222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9ED"/>
    <w:rsid w:val="000302ED"/>
    <w:rsid w:val="00035006"/>
    <w:rsid w:val="000418CD"/>
    <w:rsid w:val="00046E97"/>
    <w:rsid w:val="000956F2"/>
    <w:rsid w:val="000A07B2"/>
    <w:rsid w:val="000D08B6"/>
    <w:rsid w:val="000D50A0"/>
    <w:rsid w:val="000E72CC"/>
    <w:rsid w:val="000F1271"/>
    <w:rsid w:val="000F29E2"/>
    <w:rsid w:val="00102435"/>
    <w:rsid w:val="00106304"/>
    <w:rsid w:val="00137D04"/>
    <w:rsid w:val="001574C0"/>
    <w:rsid w:val="0016342D"/>
    <w:rsid w:val="00174B86"/>
    <w:rsid w:val="001C6C58"/>
    <w:rsid w:val="001D7686"/>
    <w:rsid w:val="001E65DB"/>
    <w:rsid w:val="001E72CD"/>
    <w:rsid w:val="002209ED"/>
    <w:rsid w:val="00221F74"/>
    <w:rsid w:val="002246C0"/>
    <w:rsid w:val="002423F5"/>
    <w:rsid w:val="002428F5"/>
    <w:rsid w:val="00244870"/>
    <w:rsid w:val="00253562"/>
    <w:rsid w:val="00283A6F"/>
    <w:rsid w:val="00291631"/>
    <w:rsid w:val="002B51BF"/>
    <w:rsid w:val="002C7559"/>
    <w:rsid w:val="002D3D34"/>
    <w:rsid w:val="002E2CEE"/>
    <w:rsid w:val="002E7604"/>
    <w:rsid w:val="002E7EA3"/>
    <w:rsid w:val="002F5D70"/>
    <w:rsid w:val="002F60E4"/>
    <w:rsid w:val="00314F0D"/>
    <w:rsid w:val="003240A1"/>
    <w:rsid w:val="00337AEF"/>
    <w:rsid w:val="00342DAA"/>
    <w:rsid w:val="0034305A"/>
    <w:rsid w:val="00343B87"/>
    <w:rsid w:val="00393EB4"/>
    <w:rsid w:val="0039411B"/>
    <w:rsid w:val="0039773D"/>
    <w:rsid w:val="003D6AE9"/>
    <w:rsid w:val="003F4EB4"/>
    <w:rsid w:val="004248E4"/>
    <w:rsid w:val="00442643"/>
    <w:rsid w:val="00451E01"/>
    <w:rsid w:val="004E2342"/>
    <w:rsid w:val="0051451C"/>
    <w:rsid w:val="00532361"/>
    <w:rsid w:val="006101AF"/>
    <w:rsid w:val="00614B47"/>
    <w:rsid w:val="00634B26"/>
    <w:rsid w:val="00642C3B"/>
    <w:rsid w:val="00645529"/>
    <w:rsid w:val="00692966"/>
    <w:rsid w:val="006A25B0"/>
    <w:rsid w:val="006C3227"/>
    <w:rsid w:val="006D3280"/>
    <w:rsid w:val="006D5493"/>
    <w:rsid w:val="006E1459"/>
    <w:rsid w:val="006E1B24"/>
    <w:rsid w:val="0072019F"/>
    <w:rsid w:val="00735847"/>
    <w:rsid w:val="00763F98"/>
    <w:rsid w:val="007723E9"/>
    <w:rsid w:val="00775482"/>
    <w:rsid w:val="0079463F"/>
    <w:rsid w:val="00797CD4"/>
    <w:rsid w:val="007B0B32"/>
    <w:rsid w:val="007F1B81"/>
    <w:rsid w:val="00821F9E"/>
    <w:rsid w:val="00822279"/>
    <w:rsid w:val="00856C4B"/>
    <w:rsid w:val="00865A86"/>
    <w:rsid w:val="0087603B"/>
    <w:rsid w:val="00881928"/>
    <w:rsid w:val="00884843"/>
    <w:rsid w:val="008A7DC1"/>
    <w:rsid w:val="008B0FD8"/>
    <w:rsid w:val="008C2100"/>
    <w:rsid w:val="008D53BE"/>
    <w:rsid w:val="008F15DE"/>
    <w:rsid w:val="00913A40"/>
    <w:rsid w:val="009448F1"/>
    <w:rsid w:val="00945FD9"/>
    <w:rsid w:val="009B1DA4"/>
    <w:rsid w:val="009B380A"/>
    <w:rsid w:val="009E15B0"/>
    <w:rsid w:val="00A06CE4"/>
    <w:rsid w:val="00A547B7"/>
    <w:rsid w:val="00A921C4"/>
    <w:rsid w:val="00AA5234"/>
    <w:rsid w:val="00AC2C04"/>
    <w:rsid w:val="00AD7B1D"/>
    <w:rsid w:val="00B12DF0"/>
    <w:rsid w:val="00B13E0B"/>
    <w:rsid w:val="00B27267"/>
    <w:rsid w:val="00B31CE6"/>
    <w:rsid w:val="00BF7529"/>
    <w:rsid w:val="00C05CAD"/>
    <w:rsid w:val="00C06923"/>
    <w:rsid w:val="00C07448"/>
    <w:rsid w:val="00C72483"/>
    <w:rsid w:val="00C75B0C"/>
    <w:rsid w:val="00C8258A"/>
    <w:rsid w:val="00C868C4"/>
    <w:rsid w:val="00C91AB5"/>
    <w:rsid w:val="00C97637"/>
    <w:rsid w:val="00CB4BD7"/>
    <w:rsid w:val="00CB7B23"/>
    <w:rsid w:val="00CD1A46"/>
    <w:rsid w:val="00CD3857"/>
    <w:rsid w:val="00CD3EA2"/>
    <w:rsid w:val="00CE27FC"/>
    <w:rsid w:val="00CF2F2D"/>
    <w:rsid w:val="00D11039"/>
    <w:rsid w:val="00D244CE"/>
    <w:rsid w:val="00D26E68"/>
    <w:rsid w:val="00D4305A"/>
    <w:rsid w:val="00D54B9D"/>
    <w:rsid w:val="00D7450A"/>
    <w:rsid w:val="00D827B3"/>
    <w:rsid w:val="00D8600F"/>
    <w:rsid w:val="00D975CA"/>
    <w:rsid w:val="00DA5ED4"/>
    <w:rsid w:val="00DB49CB"/>
    <w:rsid w:val="00DD1CC0"/>
    <w:rsid w:val="00E01B52"/>
    <w:rsid w:val="00E47BF2"/>
    <w:rsid w:val="00E758D7"/>
    <w:rsid w:val="00EA31DA"/>
    <w:rsid w:val="00EA36F3"/>
    <w:rsid w:val="00EC57C9"/>
    <w:rsid w:val="00EF14D4"/>
    <w:rsid w:val="00EF3BC6"/>
    <w:rsid w:val="00F07EDC"/>
    <w:rsid w:val="00F14984"/>
    <w:rsid w:val="00F45C04"/>
    <w:rsid w:val="00F63534"/>
    <w:rsid w:val="00F83DE4"/>
    <w:rsid w:val="00F93E79"/>
    <w:rsid w:val="00F97831"/>
    <w:rsid w:val="00FA2EEE"/>
    <w:rsid w:val="00FD658C"/>
    <w:rsid w:val="00FE6F20"/>
    <w:rsid w:val="00FE742B"/>
    <w:rsid w:val="00FF1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DD74"/>
  <w15:chartTrackingRefBased/>
  <w15:docId w15:val="{8E8FA467-568C-4C5C-BAF2-CCA56661C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529"/>
    <w:pPr>
      <w:jc w:val="left"/>
    </w:pPr>
    <w:rPr>
      <w:rFonts w:eastAsia="Times New Roman" w:cs="Times New Roman"/>
      <w:sz w:val="20"/>
      <w:szCs w:val="20"/>
      <w:lang w:val="bs-Latn-BA"/>
    </w:rPr>
  </w:style>
  <w:style w:type="paragraph" w:styleId="Heading1">
    <w:name w:val="heading 1"/>
    <w:basedOn w:val="Normal"/>
    <w:next w:val="Normal"/>
    <w:link w:val="Heading1Char"/>
    <w:qFormat/>
    <w:rsid w:val="00A06CE4"/>
    <w:pPr>
      <w:keepNext/>
      <w:jc w:val="center"/>
      <w:outlineLvl w:val="0"/>
    </w:pPr>
    <w:rPr>
      <w:b/>
      <w:sz w:val="24"/>
      <w:szCs w:val="24"/>
      <w:lang w:val="hr-HR" w:eastAsia="hr-HR"/>
    </w:rPr>
  </w:style>
  <w:style w:type="paragraph" w:styleId="Heading2">
    <w:name w:val="heading 2"/>
    <w:basedOn w:val="Normal"/>
    <w:next w:val="Normal"/>
    <w:link w:val="Heading2Char"/>
    <w:uiPriority w:val="9"/>
    <w:unhideWhenUsed/>
    <w:qFormat/>
    <w:rsid w:val="00D244C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29"/>
    <w:pPr>
      <w:ind w:left="720"/>
      <w:contextualSpacing/>
    </w:pPr>
  </w:style>
  <w:style w:type="paragraph" w:styleId="BodyText">
    <w:name w:val="Body Text"/>
    <w:basedOn w:val="Normal"/>
    <w:link w:val="BodyTextChar"/>
    <w:rsid w:val="00645529"/>
    <w:pPr>
      <w:jc w:val="both"/>
    </w:pPr>
    <w:rPr>
      <w:sz w:val="24"/>
      <w:lang w:val="hr-HR"/>
    </w:rPr>
  </w:style>
  <w:style w:type="character" w:customStyle="1" w:styleId="BodyTextChar">
    <w:name w:val="Body Text Char"/>
    <w:basedOn w:val="DefaultParagraphFont"/>
    <w:link w:val="BodyText"/>
    <w:rsid w:val="00645529"/>
    <w:rPr>
      <w:rFonts w:eastAsia="Times New Roman" w:cs="Times New Roman"/>
      <w:szCs w:val="20"/>
      <w:lang w:val="hr-HR"/>
    </w:rPr>
  </w:style>
  <w:style w:type="paragraph" w:styleId="NoSpacing">
    <w:name w:val="No Spacing"/>
    <w:link w:val="NoSpacingChar"/>
    <w:uiPriority w:val="1"/>
    <w:qFormat/>
    <w:rsid w:val="00645529"/>
    <w:pPr>
      <w:jc w:val="left"/>
    </w:pPr>
    <w:rPr>
      <w:rFonts w:eastAsia="Times New Roman" w:cs="Times New Roman"/>
      <w:sz w:val="20"/>
      <w:szCs w:val="20"/>
      <w:lang w:val="sr-Latn-CS" w:eastAsia="sr-Latn-CS"/>
    </w:rPr>
  </w:style>
  <w:style w:type="paragraph" w:styleId="Footer">
    <w:name w:val="footer"/>
    <w:basedOn w:val="Normal"/>
    <w:link w:val="FooterChar"/>
    <w:uiPriority w:val="99"/>
    <w:unhideWhenUsed/>
    <w:rsid w:val="00645529"/>
    <w:pPr>
      <w:tabs>
        <w:tab w:val="center" w:pos="4680"/>
        <w:tab w:val="right" w:pos="9360"/>
      </w:tabs>
    </w:pPr>
  </w:style>
  <w:style w:type="character" w:customStyle="1" w:styleId="FooterChar">
    <w:name w:val="Footer Char"/>
    <w:basedOn w:val="DefaultParagraphFont"/>
    <w:link w:val="Footer"/>
    <w:uiPriority w:val="99"/>
    <w:rsid w:val="00645529"/>
    <w:rPr>
      <w:rFonts w:eastAsia="Times New Roman" w:cs="Times New Roman"/>
      <w:sz w:val="20"/>
      <w:szCs w:val="20"/>
      <w:lang w:val="bs-Latn-BA"/>
    </w:rPr>
  </w:style>
  <w:style w:type="character" w:styleId="Emphasis">
    <w:name w:val="Emphasis"/>
    <w:qFormat/>
    <w:rsid w:val="00D7450A"/>
    <w:rPr>
      <w:i/>
      <w:iCs/>
    </w:rPr>
  </w:style>
  <w:style w:type="paragraph" w:customStyle="1" w:styleId="paragraph">
    <w:name w:val="paragraph"/>
    <w:basedOn w:val="Normal"/>
    <w:rsid w:val="00FE742B"/>
    <w:pPr>
      <w:spacing w:before="100" w:beforeAutospacing="1" w:after="100" w:afterAutospacing="1"/>
    </w:pPr>
    <w:rPr>
      <w:sz w:val="24"/>
      <w:szCs w:val="24"/>
    </w:rPr>
  </w:style>
  <w:style w:type="character" w:customStyle="1" w:styleId="normaltextrun">
    <w:name w:val="normaltextrun"/>
    <w:rsid w:val="00FE742B"/>
  </w:style>
  <w:style w:type="character" w:customStyle="1" w:styleId="NoSpacingChar">
    <w:name w:val="No Spacing Char"/>
    <w:basedOn w:val="DefaultParagraphFont"/>
    <w:link w:val="NoSpacing"/>
    <w:uiPriority w:val="1"/>
    <w:rsid w:val="00C8258A"/>
    <w:rPr>
      <w:rFonts w:eastAsia="Times New Roman" w:cs="Times New Roman"/>
      <w:sz w:val="20"/>
      <w:szCs w:val="20"/>
      <w:lang w:val="sr-Latn-CS" w:eastAsia="sr-Latn-CS"/>
    </w:rPr>
  </w:style>
  <w:style w:type="character" w:customStyle="1" w:styleId="Heading1Char">
    <w:name w:val="Heading 1 Char"/>
    <w:basedOn w:val="DefaultParagraphFont"/>
    <w:link w:val="Heading1"/>
    <w:rsid w:val="00A06CE4"/>
    <w:rPr>
      <w:rFonts w:eastAsia="Times New Roman" w:cs="Times New Roman"/>
      <w:b/>
      <w:szCs w:val="24"/>
      <w:lang w:val="hr-HR" w:eastAsia="hr-HR"/>
    </w:rPr>
  </w:style>
  <w:style w:type="character" w:customStyle="1" w:styleId="Heading2Char">
    <w:name w:val="Heading 2 Char"/>
    <w:basedOn w:val="DefaultParagraphFont"/>
    <w:link w:val="Heading2"/>
    <w:uiPriority w:val="9"/>
    <w:rsid w:val="00D244CE"/>
    <w:rPr>
      <w:rFonts w:asciiTheme="majorHAnsi" w:eastAsiaTheme="majorEastAsia" w:hAnsiTheme="majorHAnsi" w:cstheme="majorBidi"/>
      <w:color w:val="2F5496" w:themeColor="accent1" w:themeShade="BF"/>
      <w:sz w:val="26"/>
      <w:szCs w:val="26"/>
      <w:lang w:val="bs-Latn-BA"/>
    </w:rPr>
  </w:style>
  <w:style w:type="character" w:styleId="Strong">
    <w:name w:val="Strong"/>
    <w:qFormat/>
    <w:rsid w:val="00342DAA"/>
    <w:rPr>
      <w:b/>
      <w:bCs/>
    </w:rPr>
  </w:style>
  <w:style w:type="character" w:styleId="SubtleReference">
    <w:name w:val="Subtle Reference"/>
    <w:uiPriority w:val="31"/>
    <w:qFormat/>
    <w:rsid w:val="00CE27FC"/>
    <w:rPr>
      <w:smallCaps/>
      <w:color w:val="5A5A5A"/>
    </w:rPr>
  </w:style>
  <w:style w:type="paragraph" w:styleId="NormalWeb">
    <w:name w:val="Normal (Web)"/>
    <w:basedOn w:val="Normal"/>
    <w:uiPriority w:val="99"/>
    <w:unhideWhenUsed/>
    <w:rsid w:val="00EA31DA"/>
    <w:pPr>
      <w:spacing w:before="100" w:beforeAutospacing="1" w:after="100" w:afterAutospacing="1"/>
    </w:pPr>
    <w:rPr>
      <w:sz w:val="24"/>
      <w:szCs w:val="24"/>
      <w:lang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3901">
      <w:bodyDiv w:val="1"/>
      <w:marLeft w:val="0"/>
      <w:marRight w:val="0"/>
      <w:marTop w:val="0"/>
      <w:marBottom w:val="0"/>
      <w:divBdr>
        <w:top w:val="none" w:sz="0" w:space="0" w:color="auto"/>
        <w:left w:val="none" w:sz="0" w:space="0" w:color="auto"/>
        <w:bottom w:val="none" w:sz="0" w:space="0" w:color="auto"/>
        <w:right w:val="none" w:sz="0" w:space="0" w:color="auto"/>
      </w:divBdr>
    </w:div>
    <w:div w:id="1570112342">
      <w:bodyDiv w:val="1"/>
      <w:marLeft w:val="0"/>
      <w:marRight w:val="0"/>
      <w:marTop w:val="0"/>
      <w:marBottom w:val="0"/>
      <w:divBdr>
        <w:top w:val="none" w:sz="0" w:space="0" w:color="auto"/>
        <w:left w:val="none" w:sz="0" w:space="0" w:color="auto"/>
        <w:bottom w:val="none" w:sz="0" w:space="0" w:color="auto"/>
        <w:right w:val="none" w:sz="0" w:space="0" w:color="auto"/>
      </w:divBdr>
    </w:div>
    <w:div w:id="207797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Olivera Sakota</dc:creator>
  <cp:keywords/>
  <dc:description/>
  <cp:lastModifiedBy>Biljana Gluhovic</cp:lastModifiedBy>
  <cp:revision>4</cp:revision>
  <dcterms:created xsi:type="dcterms:W3CDTF">2025-12-10T09:31:00Z</dcterms:created>
  <dcterms:modified xsi:type="dcterms:W3CDTF">2025-12-10T09:32:00Z</dcterms:modified>
</cp:coreProperties>
</file>