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BD0ED"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14:paraId="357AE013"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14:paraId="45F319C9" w14:textId="2DCEB7A1"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Na temelju članaka 6. stav (3) Pravilnika o orijentacionim mjerilima za rad tužilaca u tužilaštvima u Bosni i Hercegovini („Službeni gla</w:t>
      </w:r>
      <w:r w:rsidR="003B2EF2">
        <w:rPr>
          <w:rFonts w:ascii="Arial" w:eastAsia="CIDFont+F1" w:hAnsi="Arial" w:cs="Arial"/>
          <w:i/>
          <w:color w:val="000000"/>
          <w:sz w:val="24"/>
          <w:szCs w:val="24"/>
        </w:rPr>
        <w:t>snik BiH“, broj</w:t>
      </w:r>
      <w:r w:rsidR="003B2EF2" w:rsidRPr="004940F1">
        <w:rPr>
          <w:rFonts w:ascii="Arial" w:eastAsia="CIDFont+F1" w:hAnsi="Arial" w:cs="Arial"/>
          <w:i/>
          <w:color w:val="000000"/>
          <w:sz w:val="24"/>
          <w:szCs w:val="24"/>
        </w:rPr>
        <w:t>:</w:t>
      </w:r>
      <w:r w:rsidR="004940F1" w:rsidRPr="004940F1">
        <w:rPr>
          <w:rFonts w:ascii="Arial" w:hAnsi="Arial" w:cs="Arial"/>
          <w:i/>
          <w:color w:val="252525"/>
          <w:sz w:val="24"/>
          <w:szCs w:val="24"/>
          <w:shd w:val="clear" w:color="auto" w:fill="FFFFFF"/>
        </w:rPr>
        <w:t xml:space="preserve"> 06/22, 76/22, 3/24 i 69/25)</w:t>
      </w:r>
      <w:r w:rsidRPr="00D72741">
        <w:rPr>
          <w:rFonts w:ascii="Arial" w:eastAsia="CIDFont+F1" w:hAnsi="Arial" w:cs="Arial"/>
          <w:i/>
          <w:color w:val="000000"/>
          <w:sz w:val="24"/>
          <w:szCs w:val="24"/>
        </w:rPr>
        <w:t>, članaka 6. Uputstva za izradu planova rješavanja starih predmeta u tužilaštvima u BiH, broj: 13-02-3963-1/14 od 19.12.2014. godine, 13-02-3820-1/2015 od 24.12.2015. godine</w:t>
      </w:r>
      <w:r w:rsidR="007B0D40">
        <w:rPr>
          <w:rFonts w:ascii="Arial" w:eastAsia="CIDFont+F1" w:hAnsi="Arial" w:cs="Arial"/>
          <w:i/>
          <w:color w:val="000000"/>
          <w:sz w:val="24"/>
          <w:szCs w:val="24"/>
        </w:rPr>
        <w:t xml:space="preserve">, </w:t>
      </w:r>
      <w:r w:rsidRPr="00D72741">
        <w:rPr>
          <w:rFonts w:ascii="Arial" w:eastAsia="CIDFont+F1" w:hAnsi="Arial" w:cs="Arial"/>
          <w:i/>
          <w:color w:val="000000"/>
          <w:sz w:val="24"/>
          <w:szCs w:val="24"/>
        </w:rPr>
        <w:t>13-02-3-1272-1/2016 od 18.04.2016. godine</w:t>
      </w:r>
      <w:r w:rsidR="007B0D40">
        <w:rPr>
          <w:rFonts w:ascii="Arial" w:eastAsia="CIDFont+F1" w:hAnsi="Arial" w:cs="Arial"/>
          <w:i/>
          <w:color w:val="000000"/>
          <w:sz w:val="24"/>
          <w:szCs w:val="24"/>
        </w:rPr>
        <w:t xml:space="preserve"> i</w:t>
      </w:r>
      <w:r w:rsidRPr="00D72741">
        <w:rPr>
          <w:rFonts w:ascii="Arial" w:eastAsia="CIDFont+F1" w:hAnsi="Arial" w:cs="Arial"/>
          <w:i/>
          <w:color w:val="000000"/>
          <w:sz w:val="24"/>
          <w:szCs w:val="24"/>
        </w:rPr>
        <w:t xml:space="preserve"> 13-02-3-3492-1/2017 od 10.11.2017. godine,</w:t>
      </w:r>
      <w:r w:rsidR="007B0D40">
        <w:rPr>
          <w:rFonts w:ascii="Arial" w:eastAsia="CIDFont+F1" w:hAnsi="Arial" w:cs="Arial"/>
          <w:i/>
          <w:color w:val="000000"/>
          <w:sz w:val="24"/>
          <w:szCs w:val="24"/>
        </w:rPr>
        <w:t xml:space="preserve"> vršitelj</w:t>
      </w:r>
      <w:r w:rsidRPr="00D72741">
        <w:rPr>
          <w:rFonts w:ascii="Arial" w:eastAsia="CIDFont+F1" w:hAnsi="Arial" w:cs="Arial"/>
          <w:i/>
          <w:color w:val="000000"/>
          <w:sz w:val="24"/>
          <w:szCs w:val="24"/>
        </w:rPr>
        <w:t xml:space="preserve"> </w:t>
      </w:r>
      <w:r w:rsidR="00313C63">
        <w:rPr>
          <w:rFonts w:ascii="Arial" w:eastAsia="CIDFont+F1" w:hAnsi="Arial" w:cs="Arial"/>
          <w:i/>
          <w:color w:val="000000"/>
          <w:sz w:val="24"/>
          <w:szCs w:val="24"/>
        </w:rPr>
        <w:t>dužnosti glavnog kantonalnog tužitelja</w:t>
      </w:r>
      <w:r w:rsidR="009B5EDA">
        <w:rPr>
          <w:rFonts w:ascii="Arial" w:eastAsia="CIDFont+F1" w:hAnsi="Arial" w:cs="Arial"/>
          <w:i/>
          <w:color w:val="000000"/>
          <w:sz w:val="24"/>
          <w:szCs w:val="24"/>
        </w:rPr>
        <w:t xml:space="preserve"> Kantonalnog tužiteljstva</w:t>
      </w:r>
      <w:r w:rsidR="00313C63">
        <w:rPr>
          <w:rFonts w:ascii="Arial" w:eastAsia="CIDFont+F1" w:hAnsi="Arial" w:cs="Arial"/>
          <w:i/>
          <w:color w:val="000000"/>
          <w:sz w:val="24"/>
          <w:szCs w:val="24"/>
        </w:rPr>
        <w:t xml:space="preserve"> </w:t>
      </w:r>
      <w:r w:rsidRPr="00D72741">
        <w:rPr>
          <w:rFonts w:ascii="Arial" w:eastAsia="CIDFont+F1" w:hAnsi="Arial" w:cs="Arial"/>
          <w:i/>
          <w:color w:val="000000"/>
          <w:sz w:val="24"/>
          <w:szCs w:val="24"/>
        </w:rPr>
        <w:t xml:space="preserve">Kantona 10 u Livnu, donosi sljedeći </w:t>
      </w:r>
    </w:p>
    <w:p w14:paraId="1A31088B"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14:paraId="66216BC6"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u w:val="single"/>
        </w:rPr>
      </w:pPr>
      <w:r w:rsidRPr="00D72741">
        <w:rPr>
          <w:rFonts w:ascii="Arial" w:eastAsia="CIDFont+F1" w:hAnsi="Arial" w:cs="Arial"/>
          <w:b/>
          <w:i/>
          <w:color w:val="000000"/>
          <w:sz w:val="24"/>
          <w:szCs w:val="24"/>
          <w:u w:val="single"/>
        </w:rPr>
        <w:t>P L A N</w:t>
      </w:r>
    </w:p>
    <w:p w14:paraId="2B307C5F"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u w:val="single"/>
        </w:rPr>
      </w:pPr>
      <w:r w:rsidRPr="00D72741">
        <w:rPr>
          <w:rFonts w:ascii="Arial" w:eastAsia="CIDFont+F1" w:hAnsi="Arial" w:cs="Arial"/>
          <w:b/>
          <w:i/>
          <w:color w:val="000000"/>
          <w:sz w:val="24"/>
          <w:szCs w:val="24"/>
          <w:u w:val="single"/>
        </w:rPr>
        <w:t>RJEŠAVANJA STARIH PREDMETA</w:t>
      </w:r>
    </w:p>
    <w:p w14:paraId="7E20227F" w14:textId="26964912" w:rsidR="00D72741" w:rsidRPr="00D72741" w:rsidRDefault="00A363D1" w:rsidP="00D72741">
      <w:pPr>
        <w:autoSpaceDE w:val="0"/>
        <w:autoSpaceDN w:val="0"/>
        <w:adjustRightInd w:val="0"/>
        <w:spacing w:after="0" w:line="240" w:lineRule="auto"/>
        <w:jc w:val="center"/>
        <w:rPr>
          <w:rFonts w:ascii="Arial" w:eastAsia="CIDFont+F1" w:hAnsi="Arial" w:cs="Arial"/>
          <w:b/>
          <w:i/>
          <w:color w:val="000000"/>
          <w:sz w:val="24"/>
          <w:szCs w:val="24"/>
          <w:u w:val="single"/>
        </w:rPr>
      </w:pPr>
      <w:r>
        <w:rPr>
          <w:rFonts w:ascii="Arial" w:eastAsia="CIDFont+F1" w:hAnsi="Arial" w:cs="Arial"/>
          <w:b/>
          <w:i/>
          <w:color w:val="000000"/>
          <w:sz w:val="24"/>
          <w:szCs w:val="24"/>
          <w:u w:val="single"/>
        </w:rPr>
        <w:t>ZA 202</w:t>
      </w:r>
      <w:r w:rsidR="00910596">
        <w:rPr>
          <w:rFonts w:ascii="Arial" w:eastAsia="CIDFont+F1" w:hAnsi="Arial" w:cs="Arial"/>
          <w:b/>
          <w:i/>
          <w:color w:val="000000"/>
          <w:sz w:val="24"/>
          <w:szCs w:val="24"/>
          <w:u w:val="single"/>
        </w:rPr>
        <w:t>6</w:t>
      </w:r>
      <w:r w:rsidR="00D72741" w:rsidRPr="00D72741">
        <w:rPr>
          <w:rFonts w:ascii="Arial" w:eastAsia="CIDFont+F1" w:hAnsi="Arial" w:cs="Arial"/>
          <w:b/>
          <w:i/>
          <w:color w:val="000000"/>
          <w:sz w:val="24"/>
          <w:szCs w:val="24"/>
          <w:u w:val="single"/>
        </w:rPr>
        <w:t>. GODINU</w:t>
      </w:r>
    </w:p>
    <w:p w14:paraId="31D8681C" w14:textId="77777777" w:rsidR="00D72741" w:rsidRPr="00D72741" w:rsidRDefault="00D72741" w:rsidP="00D72741">
      <w:pPr>
        <w:autoSpaceDE w:val="0"/>
        <w:autoSpaceDN w:val="0"/>
        <w:adjustRightInd w:val="0"/>
        <w:spacing w:after="0" w:line="240" w:lineRule="auto"/>
        <w:jc w:val="center"/>
        <w:rPr>
          <w:rFonts w:ascii="Arial" w:eastAsia="CIDFont+F1" w:hAnsi="Arial" w:cs="Arial"/>
          <w:i/>
          <w:color w:val="000000"/>
          <w:sz w:val="24"/>
          <w:szCs w:val="24"/>
        </w:rPr>
      </w:pPr>
    </w:p>
    <w:p w14:paraId="561ECB51"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1.</w:t>
      </w:r>
    </w:p>
    <w:p w14:paraId="766AD7C3"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(Predmet)</w:t>
      </w:r>
    </w:p>
    <w:p w14:paraId="7BE43EE9" w14:textId="77777777" w:rsidR="00D72741" w:rsidRPr="00D72741" w:rsidRDefault="00D72741" w:rsidP="00D72741">
      <w:pPr>
        <w:autoSpaceDE w:val="0"/>
        <w:autoSpaceDN w:val="0"/>
        <w:adjustRightInd w:val="0"/>
        <w:spacing w:after="0" w:line="240" w:lineRule="auto"/>
        <w:jc w:val="center"/>
        <w:rPr>
          <w:rFonts w:ascii="Arial" w:eastAsia="CIDFont+F1" w:hAnsi="Arial" w:cs="Arial"/>
          <w:i/>
          <w:color w:val="000000"/>
          <w:sz w:val="24"/>
          <w:szCs w:val="24"/>
        </w:rPr>
      </w:pPr>
    </w:p>
    <w:p w14:paraId="7E4E6036" w14:textId="746DB36B"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Planom rješavanja starih predmeta Kantonalnog tužil</w:t>
      </w:r>
      <w:r w:rsidR="002E795C">
        <w:rPr>
          <w:rFonts w:ascii="Arial" w:eastAsia="CIDFont+F1" w:hAnsi="Arial" w:cs="Arial"/>
          <w:i/>
          <w:color w:val="000000"/>
          <w:sz w:val="24"/>
          <w:szCs w:val="24"/>
        </w:rPr>
        <w:t>aštva Kantona 10 u Livnu za 202</w:t>
      </w:r>
      <w:r w:rsidR="00910596">
        <w:rPr>
          <w:rFonts w:ascii="Arial" w:eastAsia="CIDFont+F1" w:hAnsi="Arial" w:cs="Arial"/>
          <w:i/>
          <w:color w:val="000000"/>
          <w:sz w:val="24"/>
          <w:szCs w:val="24"/>
        </w:rPr>
        <w:t>6</w:t>
      </w:r>
      <w:r w:rsidRPr="00D72741">
        <w:rPr>
          <w:rFonts w:ascii="Arial" w:eastAsia="CIDFont+F1" w:hAnsi="Arial" w:cs="Arial"/>
          <w:i/>
          <w:color w:val="000000"/>
          <w:sz w:val="24"/>
          <w:szCs w:val="24"/>
        </w:rPr>
        <w:t>. godinu (u daljem tekstu: Plan rješavanja starih predmeta) utvrđuje se broj i struktura starih predmeta u Kantonalnom tužilaštvu Kantona 10 u Livnu (u daljem tekstu: Tužilaštvo) i određuje mjere, nosioci i rokovi za njihovo rješavanje.</w:t>
      </w:r>
    </w:p>
    <w:p w14:paraId="1FCDE34B"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14:paraId="38956879"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2.</w:t>
      </w:r>
    </w:p>
    <w:p w14:paraId="56D5B496"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(Cilj)</w:t>
      </w:r>
    </w:p>
    <w:p w14:paraId="5F7DB508"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14:paraId="7496EC3D" w14:textId="51B8CD32"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 xml:space="preserve">(1) U skladu </w:t>
      </w:r>
      <w:r w:rsidR="002E795C">
        <w:rPr>
          <w:rFonts w:ascii="Arial" w:eastAsia="CIDFont+F1" w:hAnsi="Arial" w:cs="Arial"/>
          <w:i/>
          <w:color w:val="000000"/>
          <w:sz w:val="24"/>
          <w:szCs w:val="24"/>
        </w:rPr>
        <w:t>s Planom rada Tužilaštva za 20</w:t>
      </w:r>
      <w:r w:rsidR="00846CC4">
        <w:rPr>
          <w:rFonts w:ascii="Arial" w:eastAsia="CIDFont+F1" w:hAnsi="Arial" w:cs="Arial"/>
          <w:i/>
          <w:color w:val="000000"/>
          <w:sz w:val="24"/>
          <w:szCs w:val="24"/>
        </w:rPr>
        <w:t>2</w:t>
      </w:r>
      <w:r w:rsidR="009805E4">
        <w:rPr>
          <w:rFonts w:ascii="Arial" w:eastAsia="CIDFont+F1" w:hAnsi="Arial" w:cs="Arial"/>
          <w:i/>
          <w:color w:val="000000"/>
          <w:sz w:val="24"/>
          <w:szCs w:val="24"/>
        </w:rPr>
        <w:t>6</w:t>
      </w:r>
      <w:r w:rsidRPr="00D72741">
        <w:rPr>
          <w:rFonts w:ascii="Arial" w:eastAsia="CIDFont+F1" w:hAnsi="Arial" w:cs="Arial"/>
          <w:i/>
          <w:color w:val="000000"/>
          <w:sz w:val="24"/>
          <w:szCs w:val="24"/>
        </w:rPr>
        <w:t>.</w:t>
      </w:r>
      <w:r>
        <w:rPr>
          <w:rFonts w:ascii="Arial" w:eastAsia="CIDFont+F1" w:hAnsi="Arial" w:cs="Arial"/>
          <w:i/>
          <w:color w:val="000000"/>
          <w:sz w:val="24"/>
          <w:szCs w:val="24"/>
        </w:rPr>
        <w:t xml:space="preserve"> </w:t>
      </w:r>
      <w:r w:rsidRPr="00D72741">
        <w:rPr>
          <w:rFonts w:ascii="Arial" w:eastAsia="CIDFont+F1" w:hAnsi="Arial" w:cs="Arial"/>
          <w:i/>
          <w:color w:val="000000"/>
          <w:sz w:val="24"/>
          <w:szCs w:val="24"/>
        </w:rPr>
        <w:t xml:space="preserve">godinu Planom rješavanja starih predmeta utvrđuje se obaveza </w:t>
      </w:r>
      <w:proofErr w:type="spellStart"/>
      <w:r w:rsidRPr="00D72741">
        <w:rPr>
          <w:rFonts w:ascii="Arial" w:eastAsia="CIDFont+F1" w:hAnsi="Arial" w:cs="Arial"/>
          <w:i/>
          <w:color w:val="000000"/>
          <w:sz w:val="24"/>
          <w:szCs w:val="24"/>
        </w:rPr>
        <w:t>postupajućim</w:t>
      </w:r>
      <w:proofErr w:type="spellEnd"/>
      <w:r w:rsidRPr="00D72741">
        <w:rPr>
          <w:rFonts w:ascii="Arial" w:eastAsia="CIDFont+F1" w:hAnsi="Arial" w:cs="Arial"/>
          <w:i/>
          <w:color w:val="000000"/>
          <w:sz w:val="24"/>
          <w:szCs w:val="24"/>
        </w:rPr>
        <w:t xml:space="preserve"> tužiocima da tokom planskog perioda završe sve stare predmete</w:t>
      </w:r>
      <w:r w:rsidR="00EB6C0C">
        <w:rPr>
          <w:rFonts w:ascii="Arial" w:eastAsia="CIDFont+F1" w:hAnsi="Arial" w:cs="Arial"/>
          <w:i/>
          <w:color w:val="000000"/>
          <w:sz w:val="24"/>
          <w:szCs w:val="24"/>
        </w:rPr>
        <w:t xml:space="preserve"> (</w:t>
      </w:r>
      <w:r w:rsidR="00910596">
        <w:rPr>
          <w:rFonts w:ascii="Arial" w:eastAsia="CIDFont+F1" w:hAnsi="Arial" w:cs="Arial"/>
          <w:i/>
          <w:color w:val="000000"/>
          <w:sz w:val="24"/>
          <w:szCs w:val="24"/>
        </w:rPr>
        <w:t>6</w:t>
      </w:r>
      <w:r w:rsidRPr="00D72741">
        <w:rPr>
          <w:rFonts w:ascii="Arial" w:eastAsia="CIDFont+F1" w:hAnsi="Arial" w:cs="Arial"/>
          <w:i/>
          <w:color w:val="000000"/>
          <w:sz w:val="24"/>
          <w:szCs w:val="24"/>
        </w:rPr>
        <w:t xml:space="preserve"> predmeta).</w:t>
      </w:r>
    </w:p>
    <w:p w14:paraId="5CF1D56C"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(2) Izuzetno od stava (1) ukoliko nije moguće završiti stare predmete tužioci su dužni dovesti ih u stanje da se jedino objektivne okolnosti mogu uzeti kao razlog ne okončanja predmeta.</w:t>
      </w:r>
    </w:p>
    <w:p w14:paraId="4495746A"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14:paraId="349FDABA"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3.</w:t>
      </w:r>
    </w:p>
    <w:p w14:paraId="7396F1B3"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(Stari predmeti)</w:t>
      </w:r>
    </w:p>
    <w:p w14:paraId="00C361F5"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14:paraId="6291A647" w14:textId="73C8BF39"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(1) Plan rješavanja starih predmeta obuhvaća nezavršene</w:t>
      </w:r>
      <w:r w:rsidR="00D070BB">
        <w:rPr>
          <w:rFonts w:ascii="Arial" w:eastAsia="CIDFont+F1" w:hAnsi="Arial" w:cs="Arial"/>
          <w:i/>
          <w:color w:val="000000"/>
          <w:sz w:val="24"/>
          <w:szCs w:val="24"/>
        </w:rPr>
        <w:t xml:space="preserve"> KT i </w:t>
      </w:r>
      <w:proofErr w:type="spellStart"/>
      <w:r w:rsidR="00D070BB">
        <w:rPr>
          <w:rFonts w:ascii="Arial" w:eastAsia="CIDFont+F1" w:hAnsi="Arial" w:cs="Arial"/>
          <w:i/>
          <w:color w:val="000000"/>
          <w:sz w:val="24"/>
          <w:szCs w:val="24"/>
        </w:rPr>
        <w:t>KTA</w:t>
      </w:r>
      <w:proofErr w:type="spellEnd"/>
      <w:r w:rsidR="00D070BB">
        <w:rPr>
          <w:rFonts w:ascii="Arial" w:eastAsia="CIDFont+F1" w:hAnsi="Arial" w:cs="Arial"/>
          <w:i/>
          <w:color w:val="000000"/>
          <w:sz w:val="24"/>
          <w:szCs w:val="24"/>
        </w:rPr>
        <w:t xml:space="preserve"> predmete otvorene 202</w:t>
      </w:r>
      <w:r w:rsidR="00910596">
        <w:rPr>
          <w:rFonts w:ascii="Arial" w:eastAsia="CIDFont+F1" w:hAnsi="Arial" w:cs="Arial"/>
          <w:i/>
          <w:color w:val="000000"/>
          <w:sz w:val="24"/>
          <w:szCs w:val="24"/>
        </w:rPr>
        <w:t>4</w:t>
      </w:r>
      <w:r w:rsidRPr="00D72741">
        <w:rPr>
          <w:rFonts w:ascii="Arial" w:eastAsia="CIDFont+F1" w:hAnsi="Arial" w:cs="Arial"/>
          <w:i/>
          <w:color w:val="000000"/>
          <w:sz w:val="24"/>
          <w:szCs w:val="24"/>
        </w:rPr>
        <w:t>.</w:t>
      </w:r>
      <w:r w:rsidR="00D334D7">
        <w:rPr>
          <w:rFonts w:ascii="Arial" w:eastAsia="CIDFont+F1" w:hAnsi="Arial" w:cs="Arial"/>
          <w:i/>
          <w:color w:val="000000"/>
          <w:sz w:val="24"/>
          <w:szCs w:val="24"/>
        </w:rPr>
        <w:t xml:space="preserve"> </w:t>
      </w:r>
      <w:r w:rsidRPr="00D72741">
        <w:rPr>
          <w:rFonts w:ascii="Arial" w:eastAsia="CIDFont+F1" w:hAnsi="Arial" w:cs="Arial"/>
          <w:i/>
          <w:color w:val="000000"/>
          <w:sz w:val="24"/>
          <w:szCs w:val="24"/>
        </w:rPr>
        <w:t>godine i ranije u kojima je tokom planskog perioda objektivno moguće donijeti tužilačku odluku.</w:t>
      </w:r>
    </w:p>
    <w:p w14:paraId="08A4ED6E" w14:textId="116ED04E"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(2) Suglasno članku 4. Uputstva</w:t>
      </w:r>
      <w:r w:rsidR="009B5EDA">
        <w:rPr>
          <w:rFonts w:ascii="Arial" w:eastAsia="CIDFont+F1" w:hAnsi="Arial" w:cs="Arial"/>
          <w:i/>
          <w:color w:val="000000"/>
          <w:sz w:val="24"/>
          <w:szCs w:val="24"/>
        </w:rPr>
        <w:t>,</w:t>
      </w:r>
      <w:r w:rsidRPr="00D72741">
        <w:rPr>
          <w:rFonts w:ascii="Arial" w:eastAsia="CIDFont+F1" w:hAnsi="Arial" w:cs="Arial"/>
          <w:i/>
          <w:color w:val="000000"/>
          <w:sz w:val="24"/>
          <w:szCs w:val="24"/>
        </w:rPr>
        <w:t xml:space="preserve"> iz Plana rješavanja starih predmeta isključene su sljedeće vrste predmeta:</w:t>
      </w:r>
    </w:p>
    <w:p w14:paraId="3A3548AA"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a) stari predmeti u kojima su raspisane potjernice;</w:t>
      </w:r>
    </w:p>
    <w:p w14:paraId="293161F9"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b) predmeti ratnih zločina, koji se rješavaju u skladu s posebnim planovima i</w:t>
      </w:r>
    </w:p>
    <w:p w14:paraId="66885A7B"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c) predmeti za krivična djela za koje je propisana kazna zatvora do tri godine, u kojima se ne može izdati potjernica, a osumnjičeni je nedostupan.</w:t>
      </w:r>
    </w:p>
    <w:p w14:paraId="18041666" w14:textId="775CE48A"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(3) Suglasno Uputstvu za izradu planova, Plan rješavanja starih predmet</w:t>
      </w:r>
      <w:r w:rsidR="00C43484">
        <w:rPr>
          <w:rFonts w:ascii="Arial" w:eastAsia="CIDFont+F1" w:hAnsi="Arial" w:cs="Arial"/>
          <w:i/>
          <w:color w:val="000000"/>
          <w:sz w:val="24"/>
          <w:szCs w:val="24"/>
        </w:rPr>
        <w:t>a obuhvaća i predmete koje ovo U</w:t>
      </w:r>
      <w:r w:rsidRPr="00D72741">
        <w:rPr>
          <w:rFonts w:ascii="Arial" w:eastAsia="CIDFont+F1" w:hAnsi="Arial" w:cs="Arial"/>
          <w:i/>
          <w:color w:val="000000"/>
          <w:sz w:val="24"/>
          <w:szCs w:val="24"/>
        </w:rPr>
        <w:t>putstvo ne predviđa za isključenje, mada njihovo okončanje nije moguće zbog objektivnih razloga, dakle razloga koji ne stoje na strani Tužilaštva.</w:t>
      </w:r>
    </w:p>
    <w:p w14:paraId="6FDC083D"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lastRenderedPageBreak/>
        <w:t>(4) Predmeti iz stava (2) točke a) i c) i stavka (3) ovog članaka riješit će tokom planskog perioda, ukoliko objektivne okolnosti koje sprječavaju njihovo okončanje prestanu postojati.</w:t>
      </w:r>
    </w:p>
    <w:p w14:paraId="67350D69"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 xml:space="preserve">(5) Plan rješavanja starih predmeta iskazuje se tabelarnim prikazom ukupnog broja starih KT i </w:t>
      </w:r>
      <w:proofErr w:type="spellStart"/>
      <w:r w:rsidRPr="00D72741">
        <w:rPr>
          <w:rFonts w:ascii="Arial" w:eastAsia="CIDFont+F1" w:hAnsi="Arial" w:cs="Arial"/>
          <w:i/>
          <w:color w:val="000000"/>
          <w:sz w:val="24"/>
          <w:szCs w:val="24"/>
        </w:rPr>
        <w:t>KTA</w:t>
      </w:r>
      <w:proofErr w:type="spellEnd"/>
      <w:r w:rsidRPr="00D72741">
        <w:rPr>
          <w:rFonts w:ascii="Arial" w:eastAsia="CIDFont+F1" w:hAnsi="Arial" w:cs="Arial"/>
          <w:i/>
          <w:color w:val="000000"/>
          <w:sz w:val="24"/>
          <w:szCs w:val="24"/>
        </w:rPr>
        <w:t xml:space="preserve"> predmeta sa njihovim oznakama, zakonskim nazivom krivičnog djela i navođenjem odredbe Krivičnog zakona FBIH, </w:t>
      </w:r>
      <w:proofErr w:type="spellStart"/>
      <w:r w:rsidRPr="00D72741">
        <w:rPr>
          <w:rFonts w:ascii="Arial" w:eastAsia="CIDFont+F1" w:hAnsi="Arial" w:cs="Arial"/>
          <w:i/>
          <w:color w:val="000000"/>
          <w:sz w:val="24"/>
          <w:szCs w:val="24"/>
        </w:rPr>
        <w:t>postupajućim</w:t>
      </w:r>
      <w:proofErr w:type="spellEnd"/>
      <w:r w:rsidRPr="00D72741">
        <w:rPr>
          <w:rFonts w:ascii="Arial" w:eastAsia="CIDFont+F1" w:hAnsi="Arial" w:cs="Arial"/>
          <w:i/>
          <w:color w:val="000000"/>
          <w:sz w:val="24"/>
          <w:szCs w:val="24"/>
        </w:rPr>
        <w:t xml:space="preserve"> tužiocima i ostalim parametrima iz članaka 6. Uputstva za izradu planova.</w:t>
      </w:r>
    </w:p>
    <w:p w14:paraId="79505BB8"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 xml:space="preserve">(6) Tabelarni prikaz iz stava (5) ovog članaka automatski se generira u Sistemu za upravljanje predmetima u tužilaštvima (u daljem tekstu: </w:t>
      </w:r>
      <w:proofErr w:type="spellStart"/>
      <w:r w:rsidRPr="00D72741">
        <w:rPr>
          <w:rFonts w:ascii="Arial" w:eastAsia="CIDFont+F1" w:hAnsi="Arial" w:cs="Arial"/>
          <w:i/>
          <w:color w:val="000000"/>
          <w:sz w:val="24"/>
          <w:szCs w:val="24"/>
        </w:rPr>
        <w:t>TCMS</w:t>
      </w:r>
      <w:proofErr w:type="spellEnd"/>
      <w:r w:rsidRPr="00D72741">
        <w:rPr>
          <w:rFonts w:ascii="Arial" w:eastAsia="CIDFont+F1" w:hAnsi="Arial" w:cs="Arial"/>
          <w:i/>
          <w:color w:val="000000"/>
          <w:sz w:val="24"/>
          <w:szCs w:val="24"/>
        </w:rPr>
        <w:t>) i kao takav predstavlja sastavni dio ovog plana.</w:t>
      </w:r>
    </w:p>
    <w:p w14:paraId="1ADB953C"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14:paraId="74F8EE25"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4.</w:t>
      </w:r>
    </w:p>
    <w:p w14:paraId="0CD4E8FF"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(Predmeti koji će postati stari)</w:t>
      </w:r>
    </w:p>
    <w:p w14:paraId="5EFB334F"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14:paraId="65EC5223"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Zadužuju se tužioci da usporedno s rješavanjem starih predmeta iz članaka 3. stav (6) ovog plana rješavaju i predmete koji će tokom planskog perioda steći status starog predmeta.</w:t>
      </w:r>
    </w:p>
    <w:p w14:paraId="3617ECE5"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14:paraId="4EE7E169"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5.</w:t>
      </w:r>
    </w:p>
    <w:p w14:paraId="30BF5947"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(Aktivnosti na rješavanju starih predmeta)</w:t>
      </w:r>
    </w:p>
    <w:p w14:paraId="37D0D45B"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14:paraId="616F7F8C"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(1) Tužioci su dužni u starim predmetima uspostaviti i održavati odgovarajuću dinamiku kako bi do kraja godine svi oni bili riješeni.</w:t>
      </w:r>
    </w:p>
    <w:p w14:paraId="0D7D0B8F"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(2) Optimalnu dinamiku u predmetima tužioci su dužni održavati redovnim i blagovremenim poduzimanjem tužilačkih radnji i mjera iz svoje nadležnosti, pravilnim određivanjem i praćenjem optimalnih rokova evidencije u spisima i drugim efektivnim mjerama na koje su ovlašteni tako da period neaktivnosti u predmetu (u daljem tekstu: period neaktivnosti) bude sveden na najmanju moguću mjeru.</w:t>
      </w:r>
    </w:p>
    <w:p w14:paraId="11311D6E"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(3) Period neaktivnosti, koji se računa od dana poduzimanja posljednje tužilačke radnje u spisu, iz objektivnih razloga ne može trajati duže od dva mjeseca.</w:t>
      </w:r>
    </w:p>
    <w:p w14:paraId="2442CC72"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(4) Ukoliko je period neaktivnosti jednom ili više puta prekoračen tužioci su dužni za svako takvo prekoračenje u službenoj zabilješci navesti detaljne razloge i objašnjenja.</w:t>
      </w:r>
    </w:p>
    <w:p w14:paraId="31A9EFD5"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(5) Tužioci su dužni prioritet u rješavanju dati starim predmetima koju su ranije otvoreni, te na kraju izvještajnog perioda (polugodišnjeg i godišnjeg planskog okvira) dati obrazloženje razloga za nerješavanje predmeta, koji su prema starosti inicijalnog akta stariji od onih koji su riješeni u izvještajnom periodu.</w:t>
      </w:r>
    </w:p>
    <w:p w14:paraId="5F627D9E"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14:paraId="6079FBED"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6</w:t>
      </w:r>
    </w:p>
    <w:p w14:paraId="42C291A8"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(Pomoćne evidencije)</w:t>
      </w:r>
    </w:p>
    <w:p w14:paraId="3D5ABCB6"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14:paraId="5D06746C" w14:textId="40B5CAF6"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U cilju praćenja izvršenja Plana rješavanja starih predmeta Tužilaštvo ć</w:t>
      </w:r>
      <w:r w:rsidR="002E795C">
        <w:rPr>
          <w:rFonts w:ascii="Arial" w:eastAsia="CIDFont+F1" w:hAnsi="Arial" w:cs="Arial"/>
          <w:i/>
          <w:color w:val="000000"/>
          <w:sz w:val="24"/>
          <w:szCs w:val="24"/>
        </w:rPr>
        <w:t>e u skladu s Planom rada za 202</w:t>
      </w:r>
      <w:r w:rsidR="009B5EDA">
        <w:rPr>
          <w:rFonts w:ascii="Arial" w:eastAsia="CIDFont+F1" w:hAnsi="Arial" w:cs="Arial"/>
          <w:i/>
          <w:color w:val="000000"/>
          <w:sz w:val="24"/>
          <w:szCs w:val="24"/>
        </w:rPr>
        <w:t>6</w:t>
      </w:r>
      <w:r w:rsidRPr="00D72741">
        <w:rPr>
          <w:rFonts w:ascii="Arial" w:eastAsia="CIDFont+F1" w:hAnsi="Arial" w:cs="Arial"/>
          <w:i/>
          <w:color w:val="000000"/>
          <w:sz w:val="24"/>
          <w:szCs w:val="24"/>
        </w:rPr>
        <w:t>.</w:t>
      </w:r>
      <w:r w:rsidR="00A832E5">
        <w:rPr>
          <w:rFonts w:ascii="Arial" w:eastAsia="CIDFont+F1" w:hAnsi="Arial" w:cs="Arial"/>
          <w:i/>
          <w:color w:val="000000"/>
          <w:sz w:val="24"/>
          <w:szCs w:val="24"/>
        </w:rPr>
        <w:t xml:space="preserve"> </w:t>
      </w:r>
      <w:r w:rsidRPr="00D72741">
        <w:rPr>
          <w:rFonts w:ascii="Arial" w:eastAsia="CIDFont+F1" w:hAnsi="Arial" w:cs="Arial"/>
          <w:i/>
          <w:color w:val="000000"/>
          <w:sz w:val="24"/>
          <w:szCs w:val="24"/>
        </w:rPr>
        <w:t>godinu uspostaviti i voditi odgovarajuće evidencije.</w:t>
      </w:r>
    </w:p>
    <w:p w14:paraId="5BAD3910"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14:paraId="1F72EEE2"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7.</w:t>
      </w:r>
    </w:p>
    <w:p w14:paraId="1743264D"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(Aktivnosti glavnog tužioca)</w:t>
      </w:r>
    </w:p>
    <w:p w14:paraId="0621156B"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14:paraId="3E3F5B40"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(1) Glavni tužilac će vršiti nadzor nad izvršenjem Plana rješavanja starih predmeta uvidom u evidencije o starim predmetima i poduzimanjem drugih mjera iz svoje nadležnosti.</w:t>
      </w:r>
    </w:p>
    <w:p w14:paraId="1F9C74A1"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lastRenderedPageBreak/>
        <w:t>(2) O stupnju izvršenja Plana rješavanja starih predmeta tužioci su dužni izvještavati glavnog tužioca dostavljanjem obavještenja relevantnih za poduzimanje mjera iz njegove nadležnosti.</w:t>
      </w:r>
    </w:p>
    <w:p w14:paraId="5032F7D0"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(3) Glavni tužilac će kontinuirano pratiti realizaciju Plana rješavanja starih predmeta i istekom svaka dva mjeseca putem Kolegija Tužilaštva i na drugi prigodan način upoznavati tužioce o ostvarenim rezultatima, te mjerama koje se u tom pravcu imaju poduzeti.</w:t>
      </w:r>
    </w:p>
    <w:p w14:paraId="4E59D0A9"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 xml:space="preserve">(4) Nakon pregleda predmeta i razgovora s </w:t>
      </w:r>
      <w:proofErr w:type="spellStart"/>
      <w:r w:rsidRPr="00D72741">
        <w:rPr>
          <w:rFonts w:ascii="Arial" w:eastAsia="CIDFont+F1" w:hAnsi="Arial" w:cs="Arial"/>
          <w:i/>
          <w:color w:val="000000"/>
          <w:sz w:val="24"/>
          <w:szCs w:val="24"/>
        </w:rPr>
        <w:t>postupajućim</w:t>
      </w:r>
      <w:proofErr w:type="spellEnd"/>
      <w:r w:rsidRPr="00D72741">
        <w:rPr>
          <w:rFonts w:ascii="Arial" w:eastAsia="CIDFont+F1" w:hAnsi="Arial" w:cs="Arial"/>
          <w:i/>
          <w:color w:val="000000"/>
          <w:sz w:val="24"/>
          <w:szCs w:val="24"/>
        </w:rPr>
        <w:t xml:space="preserve"> tužiocima glavni tužilac će odlučiti o eventualnim mjerama prema odgovornim tužiocima, ukoliko ne nađe da su razlozi neizvršavanja njegovih naloga izdanih u cilju rješavanja starih predmeta opravdani.</w:t>
      </w:r>
    </w:p>
    <w:p w14:paraId="66A6C506"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(5) Glavni tužilac će istekom svakog kvartala planskog perioda izvršiti reviziju Plana rješavanja starih predmeta i evaluaciju ukupno ostvarenih rezultata, te odlučiti o potrebi eventualne korekcije ovog planskog dokumenta.</w:t>
      </w:r>
    </w:p>
    <w:p w14:paraId="26E16B05"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(6) Glavni tužilac dostavlja polugodišnju i godišnju informaciju o realiziranju Plana rješavanja starih predmeta Visokom sudskom i tužilačkom vijeću Bosne i Hercegovine (u daljem tekstu: Vijeće).</w:t>
      </w:r>
    </w:p>
    <w:p w14:paraId="30D3719D" w14:textId="21DC4E82"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(7) Polugodišnja informacija d</w:t>
      </w:r>
      <w:r w:rsidR="002E795C">
        <w:rPr>
          <w:rFonts w:ascii="Arial" w:eastAsia="CIDFont+F1" w:hAnsi="Arial" w:cs="Arial"/>
          <w:i/>
          <w:color w:val="000000"/>
          <w:sz w:val="24"/>
          <w:szCs w:val="24"/>
        </w:rPr>
        <w:t>ostavlja se Vijeću do 31.07.202</w:t>
      </w:r>
      <w:r w:rsidR="00FC2FA3">
        <w:rPr>
          <w:rFonts w:ascii="Arial" w:eastAsia="CIDFont+F1" w:hAnsi="Arial" w:cs="Arial"/>
          <w:i/>
          <w:color w:val="000000"/>
          <w:sz w:val="24"/>
          <w:szCs w:val="24"/>
        </w:rPr>
        <w:t>6</w:t>
      </w:r>
      <w:r w:rsidRPr="00D72741">
        <w:rPr>
          <w:rFonts w:ascii="Arial" w:eastAsia="CIDFont+F1" w:hAnsi="Arial" w:cs="Arial"/>
          <w:i/>
          <w:color w:val="000000"/>
          <w:sz w:val="24"/>
          <w:szCs w:val="24"/>
        </w:rPr>
        <w:t>.</w:t>
      </w:r>
      <w:r w:rsidR="002E795C">
        <w:rPr>
          <w:rFonts w:ascii="Arial" w:eastAsia="CIDFont+F1" w:hAnsi="Arial" w:cs="Arial"/>
          <w:i/>
          <w:color w:val="000000"/>
          <w:sz w:val="24"/>
          <w:szCs w:val="24"/>
        </w:rPr>
        <w:t>godine, a godišnja do 31.01.202</w:t>
      </w:r>
      <w:r w:rsidR="00FC2FA3">
        <w:rPr>
          <w:rFonts w:ascii="Arial" w:eastAsia="CIDFont+F1" w:hAnsi="Arial" w:cs="Arial"/>
          <w:i/>
          <w:color w:val="000000"/>
          <w:sz w:val="24"/>
          <w:szCs w:val="24"/>
        </w:rPr>
        <w:t>7</w:t>
      </w:r>
      <w:r w:rsidRPr="00D72741">
        <w:rPr>
          <w:rFonts w:ascii="Arial" w:eastAsia="CIDFont+F1" w:hAnsi="Arial" w:cs="Arial"/>
          <w:i/>
          <w:color w:val="000000"/>
          <w:sz w:val="24"/>
          <w:szCs w:val="24"/>
        </w:rPr>
        <w:t>.godine.</w:t>
      </w:r>
    </w:p>
    <w:p w14:paraId="3ABA62DC"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14:paraId="1B6F6F0F" w14:textId="77777777"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8</w:t>
      </w:r>
    </w:p>
    <w:p w14:paraId="1D0463D3" w14:textId="77777777" w:rsid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(Stupanje na snagu)</w:t>
      </w:r>
    </w:p>
    <w:p w14:paraId="4C76532B" w14:textId="77777777" w:rsidR="00A832E5" w:rsidRPr="00D72741" w:rsidRDefault="00A832E5" w:rsidP="00D72741">
      <w:pPr>
        <w:autoSpaceDE w:val="0"/>
        <w:autoSpaceDN w:val="0"/>
        <w:adjustRightInd w:val="0"/>
        <w:spacing w:after="0" w:line="240" w:lineRule="auto"/>
        <w:jc w:val="center"/>
        <w:rPr>
          <w:rFonts w:ascii="Arial" w:eastAsia="CIDFont+F1" w:hAnsi="Arial" w:cs="Arial"/>
          <w:b/>
          <w:i/>
          <w:color w:val="000000"/>
          <w:sz w:val="24"/>
          <w:szCs w:val="24"/>
        </w:rPr>
      </w:pPr>
    </w:p>
    <w:p w14:paraId="72617754"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Plan rješavanja starih predmeta stupa na snagu danom donošenja i objavljuje se na web stranici Tužilaštva.</w:t>
      </w:r>
    </w:p>
    <w:p w14:paraId="202BC223"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14:paraId="49C36C7D" w14:textId="00B4F99F"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Broj: A-</w:t>
      </w:r>
      <w:r w:rsidR="00E877E7">
        <w:rPr>
          <w:rFonts w:ascii="Arial" w:eastAsia="CIDFont+F1" w:hAnsi="Arial" w:cs="Arial"/>
          <w:i/>
          <w:color w:val="000000"/>
          <w:sz w:val="24"/>
          <w:szCs w:val="24"/>
        </w:rPr>
        <w:t>13</w:t>
      </w:r>
      <w:r w:rsidR="002E795C">
        <w:rPr>
          <w:rFonts w:ascii="Arial" w:eastAsia="CIDFont+F1" w:hAnsi="Arial" w:cs="Arial"/>
          <w:i/>
          <w:color w:val="000000"/>
          <w:sz w:val="24"/>
          <w:szCs w:val="24"/>
        </w:rPr>
        <w:t>/2</w:t>
      </w:r>
      <w:r w:rsidR="00E877E7">
        <w:rPr>
          <w:rFonts w:ascii="Arial" w:eastAsia="CIDFont+F1" w:hAnsi="Arial" w:cs="Arial"/>
          <w:i/>
          <w:color w:val="000000"/>
          <w:sz w:val="24"/>
          <w:szCs w:val="24"/>
        </w:rPr>
        <w:t>6</w:t>
      </w:r>
    </w:p>
    <w:p w14:paraId="6925E4F4" w14:textId="71511823" w:rsidR="00D72741" w:rsidRPr="00D72741" w:rsidRDefault="002E795C" w:rsidP="00D72741">
      <w:pPr>
        <w:autoSpaceDE w:val="0"/>
        <w:autoSpaceDN w:val="0"/>
        <w:adjustRightInd w:val="0"/>
        <w:spacing w:after="0" w:line="240" w:lineRule="auto"/>
        <w:jc w:val="both"/>
        <w:rPr>
          <w:rFonts w:ascii="Arial" w:eastAsia="CIDFont+F1" w:hAnsi="Arial" w:cs="Arial"/>
          <w:i/>
          <w:color w:val="000000"/>
          <w:sz w:val="24"/>
          <w:szCs w:val="24"/>
        </w:rPr>
      </w:pPr>
      <w:r>
        <w:rPr>
          <w:rFonts w:ascii="Arial" w:eastAsia="CIDFont+F1" w:hAnsi="Arial" w:cs="Arial"/>
          <w:i/>
          <w:color w:val="000000"/>
          <w:sz w:val="24"/>
          <w:szCs w:val="24"/>
        </w:rPr>
        <w:t>Livno, 09.01.202</w:t>
      </w:r>
      <w:r w:rsidR="00E877E7">
        <w:rPr>
          <w:rFonts w:ascii="Arial" w:eastAsia="CIDFont+F1" w:hAnsi="Arial" w:cs="Arial"/>
          <w:i/>
          <w:color w:val="000000"/>
          <w:sz w:val="24"/>
          <w:szCs w:val="24"/>
        </w:rPr>
        <w:t>6</w:t>
      </w:r>
      <w:r w:rsidR="00D72741" w:rsidRPr="00D72741">
        <w:rPr>
          <w:rFonts w:ascii="Arial" w:eastAsia="CIDFont+F1" w:hAnsi="Arial" w:cs="Arial"/>
          <w:i/>
          <w:color w:val="000000"/>
          <w:sz w:val="24"/>
          <w:szCs w:val="24"/>
        </w:rPr>
        <w:t>. godine</w:t>
      </w:r>
    </w:p>
    <w:p w14:paraId="6DCD53E8"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14:paraId="7918E15D" w14:textId="77777777"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14:paraId="4A8AB72D" w14:textId="77777777" w:rsidR="00D72741" w:rsidRPr="00D72741" w:rsidRDefault="00D72741" w:rsidP="00D72741">
      <w:pPr>
        <w:spacing w:after="0" w:line="240" w:lineRule="auto"/>
        <w:jc w:val="both"/>
        <w:rPr>
          <w:rFonts w:ascii="Arial" w:hAnsi="Arial" w:cs="Arial"/>
          <w:i/>
          <w:sz w:val="24"/>
          <w:szCs w:val="24"/>
          <w:lang w:val="en-US"/>
        </w:rPr>
      </w:pPr>
    </w:p>
    <w:p w14:paraId="46A22612" w14:textId="6A3954C9" w:rsidR="00D72741" w:rsidRPr="00D72741" w:rsidRDefault="00D72741" w:rsidP="00E877E7">
      <w:pPr>
        <w:spacing w:after="0" w:line="240" w:lineRule="auto"/>
        <w:ind w:left="5664"/>
        <w:rPr>
          <w:rFonts w:ascii="Arial" w:hAnsi="Arial" w:cs="Arial"/>
          <w:b/>
          <w:i/>
          <w:sz w:val="24"/>
          <w:szCs w:val="24"/>
          <w:lang w:val="hr-HR"/>
        </w:rPr>
      </w:pPr>
      <w:r w:rsidRPr="00D72741">
        <w:rPr>
          <w:rFonts w:ascii="Arial" w:hAnsi="Arial" w:cs="Arial"/>
          <w:b/>
          <w:i/>
          <w:sz w:val="24"/>
          <w:szCs w:val="24"/>
          <w:lang w:val="hr-HR"/>
        </w:rPr>
        <w:t xml:space="preserve">    </w:t>
      </w:r>
      <w:r w:rsidR="00E877E7">
        <w:rPr>
          <w:rFonts w:ascii="Arial" w:hAnsi="Arial" w:cs="Arial"/>
          <w:b/>
          <w:i/>
          <w:sz w:val="24"/>
          <w:szCs w:val="24"/>
          <w:lang w:val="hr-HR"/>
        </w:rPr>
        <w:t xml:space="preserve">V.D. </w:t>
      </w:r>
      <w:r w:rsidRPr="00D72741">
        <w:rPr>
          <w:rFonts w:ascii="Arial" w:hAnsi="Arial" w:cs="Arial"/>
          <w:b/>
          <w:i/>
          <w:sz w:val="24"/>
          <w:szCs w:val="24"/>
          <w:lang w:val="hr-HR"/>
        </w:rPr>
        <w:t>GLAVN</w:t>
      </w:r>
      <w:r w:rsidR="00E877E7">
        <w:rPr>
          <w:rFonts w:ascii="Arial" w:hAnsi="Arial" w:cs="Arial"/>
          <w:b/>
          <w:i/>
          <w:sz w:val="24"/>
          <w:szCs w:val="24"/>
          <w:lang w:val="hr-HR"/>
        </w:rPr>
        <w:t xml:space="preserve">OG </w:t>
      </w:r>
      <w:r w:rsidRPr="00D72741">
        <w:rPr>
          <w:rFonts w:ascii="Arial" w:hAnsi="Arial" w:cs="Arial"/>
          <w:b/>
          <w:i/>
          <w:sz w:val="24"/>
          <w:szCs w:val="24"/>
          <w:lang w:val="hr-HR"/>
        </w:rPr>
        <w:t>TUŽI</w:t>
      </w:r>
      <w:r w:rsidR="00140A8C">
        <w:rPr>
          <w:rFonts w:ascii="Arial" w:hAnsi="Arial" w:cs="Arial"/>
          <w:b/>
          <w:i/>
          <w:sz w:val="24"/>
          <w:szCs w:val="24"/>
          <w:lang w:val="hr-HR"/>
        </w:rPr>
        <w:t>TELJ</w:t>
      </w:r>
      <w:r w:rsidR="00E877E7">
        <w:rPr>
          <w:rFonts w:ascii="Arial" w:hAnsi="Arial" w:cs="Arial"/>
          <w:b/>
          <w:i/>
          <w:sz w:val="24"/>
          <w:szCs w:val="24"/>
          <w:lang w:val="hr-HR"/>
        </w:rPr>
        <w:t>A</w:t>
      </w:r>
    </w:p>
    <w:p w14:paraId="26040EA3" w14:textId="77777777" w:rsidR="00D72741" w:rsidRDefault="00D72741" w:rsidP="00D72741">
      <w:pPr>
        <w:spacing w:after="0" w:line="240" w:lineRule="auto"/>
        <w:rPr>
          <w:rFonts w:ascii="Arial" w:hAnsi="Arial" w:cs="Arial"/>
          <w:b/>
          <w:i/>
          <w:sz w:val="24"/>
          <w:szCs w:val="24"/>
          <w:lang w:val="hr-HR"/>
        </w:rPr>
      </w:pPr>
    </w:p>
    <w:p w14:paraId="44ABA709" w14:textId="64790591" w:rsidR="00E877E7" w:rsidRPr="00E877E7" w:rsidRDefault="00E877E7" w:rsidP="00D72741">
      <w:pPr>
        <w:spacing w:after="0" w:line="240" w:lineRule="auto"/>
        <w:rPr>
          <w:rFonts w:ascii="Cambria" w:hAnsi="Cambria"/>
          <w:bCs/>
          <w:sz w:val="24"/>
          <w:szCs w:val="24"/>
          <w:lang w:val="hr-HR"/>
        </w:rPr>
      </w:pPr>
      <w:r>
        <w:rPr>
          <w:rFonts w:ascii="Arial" w:hAnsi="Arial" w:cs="Arial"/>
          <w:b/>
          <w:i/>
          <w:sz w:val="24"/>
          <w:szCs w:val="24"/>
          <w:lang w:val="hr-HR"/>
        </w:rPr>
        <w:tab/>
      </w:r>
      <w:r>
        <w:rPr>
          <w:rFonts w:ascii="Arial" w:hAnsi="Arial" w:cs="Arial"/>
          <w:b/>
          <w:i/>
          <w:sz w:val="24"/>
          <w:szCs w:val="24"/>
          <w:lang w:val="hr-HR"/>
        </w:rPr>
        <w:tab/>
      </w:r>
      <w:r>
        <w:rPr>
          <w:rFonts w:ascii="Arial" w:hAnsi="Arial" w:cs="Arial"/>
          <w:b/>
          <w:i/>
          <w:sz w:val="24"/>
          <w:szCs w:val="24"/>
          <w:lang w:val="hr-HR"/>
        </w:rPr>
        <w:tab/>
      </w:r>
      <w:r>
        <w:rPr>
          <w:rFonts w:ascii="Arial" w:hAnsi="Arial" w:cs="Arial"/>
          <w:b/>
          <w:i/>
          <w:sz w:val="24"/>
          <w:szCs w:val="24"/>
          <w:lang w:val="hr-HR"/>
        </w:rPr>
        <w:tab/>
      </w:r>
      <w:r>
        <w:rPr>
          <w:rFonts w:ascii="Arial" w:hAnsi="Arial" w:cs="Arial"/>
          <w:b/>
          <w:i/>
          <w:sz w:val="24"/>
          <w:szCs w:val="24"/>
          <w:lang w:val="hr-HR"/>
        </w:rPr>
        <w:tab/>
      </w:r>
      <w:r>
        <w:rPr>
          <w:rFonts w:ascii="Arial" w:hAnsi="Arial" w:cs="Arial"/>
          <w:b/>
          <w:i/>
          <w:sz w:val="24"/>
          <w:szCs w:val="24"/>
          <w:lang w:val="hr-HR"/>
        </w:rPr>
        <w:tab/>
      </w:r>
      <w:r>
        <w:rPr>
          <w:rFonts w:ascii="Arial" w:hAnsi="Arial" w:cs="Arial"/>
          <w:b/>
          <w:i/>
          <w:sz w:val="24"/>
          <w:szCs w:val="24"/>
          <w:lang w:val="hr-HR"/>
        </w:rPr>
        <w:tab/>
      </w:r>
      <w:r>
        <w:rPr>
          <w:rFonts w:ascii="Arial" w:hAnsi="Arial" w:cs="Arial"/>
          <w:b/>
          <w:i/>
          <w:sz w:val="24"/>
          <w:szCs w:val="24"/>
          <w:lang w:val="hr-HR"/>
        </w:rPr>
        <w:tab/>
      </w:r>
      <w:r>
        <w:rPr>
          <w:rFonts w:ascii="Arial" w:hAnsi="Arial" w:cs="Arial"/>
          <w:b/>
          <w:i/>
          <w:sz w:val="24"/>
          <w:szCs w:val="24"/>
          <w:lang w:val="hr-HR"/>
        </w:rPr>
        <w:tab/>
      </w:r>
      <w:r w:rsidRPr="00E877E7">
        <w:rPr>
          <w:rFonts w:ascii="Arial" w:hAnsi="Arial" w:cs="Arial"/>
          <w:bCs/>
          <w:i/>
          <w:sz w:val="24"/>
          <w:szCs w:val="24"/>
          <w:lang w:val="hr-HR"/>
        </w:rPr>
        <w:t>Mladen Stojanović</w:t>
      </w:r>
    </w:p>
    <w:p w14:paraId="04B249E0" w14:textId="77777777" w:rsidR="0048416B" w:rsidRPr="00F60A17" w:rsidRDefault="0048416B" w:rsidP="00F60A17">
      <w:pPr>
        <w:pStyle w:val="Bezproreda"/>
        <w:rPr>
          <w:rFonts w:ascii="Cambria" w:hAnsi="Cambria"/>
          <w:sz w:val="24"/>
          <w:szCs w:val="24"/>
          <w:lang w:val="hr-HR"/>
        </w:rPr>
      </w:pPr>
    </w:p>
    <w:sectPr w:rsidR="0048416B" w:rsidRPr="00F60A17" w:rsidSect="00205300">
      <w:headerReference w:type="first" r:id="rId7"/>
      <w:pgSz w:w="11906" w:h="16838" w:code="9"/>
      <w:pgMar w:top="2268"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16F2F" w14:textId="77777777" w:rsidR="00DB46FF" w:rsidRDefault="00DB46FF" w:rsidP="00F60A17">
      <w:pPr>
        <w:spacing w:after="0" w:line="240" w:lineRule="auto"/>
      </w:pPr>
      <w:r>
        <w:separator/>
      </w:r>
    </w:p>
  </w:endnote>
  <w:endnote w:type="continuationSeparator" w:id="0">
    <w:p w14:paraId="35F76248" w14:textId="77777777" w:rsidR="00DB46FF" w:rsidRDefault="00DB46FF" w:rsidP="00F60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IDFont+F1">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2E042" w14:textId="77777777" w:rsidR="00DB46FF" w:rsidRDefault="00DB46FF" w:rsidP="00F60A17">
      <w:pPr>
        <w:spacing w:after="0" w:line="240" w:lineRule="auto"/>
      </w:pPr>
      <w:r>
        <w:separator/>
      </w:r>
    </w:p>
  </w:footnote>
  <w:footnote w:type="continuationSeparator" w:id="0">
    <w:p w14:paraId="4CE71038" w14:textId="77777777" w:rsidR="00DB46FF" w:rsidRDefault="00DB46FF" w:rsidP="00F60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99DE1" w14:textId="77777777" w:rsidR="005D04B2" w:rsidRDefault="00000000">
    <w:pPr>
      <w:pStyle w:val="Zaglavlje"/>
    </w:pPr>
    <w:r>
      <w:rPr>
        <w:noProof/>
        <w:lang w:eastAsia="hr-BA"/>
      </w:rPr>
      <w:pict w14:anchorId="4DA338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58.2pt;margin-top:-117pt;width:598.2pt;height:846pt;z-index:-251658752;mso-wrap-edited:f;mso-position-horizontal-relative:margin;mso-position-vertical-relative:margin" wrapcoords="2459 906 1603 1082 1461 1158 1710 1309 1247 1309 1247 1359 2209 2089 1710 2240 1746 2366 10800 2517 10800 19434 1247 19611 1247 19661 10800 19837 4205 19837 1996 19938 1960 20366 4205 20618 5203 20643 3172 20744 1211 20819 1211 20844 20495 20844 20495 20819 18320 20744 16110 20643 17287 20618 19354 20391 19354 19963 16324 19837 10800 19837 20459 19661 20459 19611 10800 19434 10764 2492 8376 2114 8946 2089 10300 1812 10372 1560 9908 1460 8304 1309 8304 1158 7592 1107 2637 906 2459 906">
          <v:imagedata r:id="rId1" o:title="Tuziteljstvo BIH_memorandum"/>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A17"/>
    <w:rsid w:val="00025BC6"/>
    <w:rsid w:val="00061A81"/>
    <w:rsid w:val="000A4122"/>
    <w:rsid w:val="000E29CE"/>
    <w:rsid w:val="001138A5"/>
    <w:rsid w:val="00140A8C"/>
    <w:rsid w:val="00184435"/>
    <w:rsid w:val="001A7859"/>
    <w:rsid w:val="00205300"/>
    <w:rsid w:val="00227C59"/>
    <w:rsid w:val="00263DF2"/>
    <w:rsid w:val="002E795C"/>
    <w:rsid w:val="00313C63"/>
    <w:rsid w:val="003B2EF2"/>
    <w:rsid w:val="003F1E0F"/>
    <w:rsid w:val="0048416B"/>
    <w:rsid w:val="004940F1"/>
    <w:rsid w:val="004A1082"/>
    <w:rsid w:val="004A5760"/>
    <w:rsid w:val="0056584B"/>
    <w:rsid w:val="00585781"/>
    <w:rsid w:val="005D04B2"/>
    <w:rsid w:val="00602D0D"/>
    <w:rsid w:val="006A6B30"/>
    <w:rsid w:val="007501E5"/>
    <w:rsid w:val="00792CCE"/>
    <w:rsid w:val="007B0D40"/>
    <w:rsid w:val="007B0E9B"/>
    <w:rsid w:val="00846CC4"/>
    <w:rsid w:val="008E22AE"/>
    <w:rsid w:val="00910596"/>
    <w:rsid w:val="00914430"/>
    <w:rsid w:val="00922F68"/>
    <w:rsid w:val="00926DFD"/>
    <w:rsid w:val="009805E4"/>
    <w:rsid w:val="009B5EDA"/>
    <w:rsid w:val="00A222FC"/>
    <w:rsid w:val="00A254A2"/>
    <w:rsid w:val="00A35292"/>
    <w:rsid w:val="00A363D1"/>
    <w:rsid w:val="00A832E5"/>
    <w:rsid w:val="00AA4819"/>
    <w:rsid w:val="00AA5B94"/>
    <w:rsid w:val="00B74BD8"/>
    <w:rsid w:val="00C23514"/>
    <w:rsid w:val="00C30EB3"/>
    <w:rsid w:val="00C43484"/>
    <w:rsid w:val="00CE628F"/>
    <w:rsid w:val="00D070BB"/>
    <w:rsid w:val="00D334D7"/>
    <w:rsid w:val="00D72741"/>
    <w:rsid w:val="00DB1C0E"/>
    <w:rsid w:val="00DB46FF"/>
    <w:rsid w:val="00DF36D5"/>
    <w:rsid w:val="00E145C0"/>
    <w:rsid w:val="00E77EA9"/>
    <w:rsid w:val="00E877E7"/>
    <w:rsid w:val="00EB6C0C"/>
    <w:rsid w:val="00EC5F24"/>
    <w:rsid w:val="00F60A17"/>
    <w:rsid w:val="00FC2FA3"/>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ADFEC"/>
  <w15:chartTrackingRefBased/>
  <w15:docId w15:val="{49EC4C8A-CEEB-4A1E-ABDF-81B860B4F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F60A17"/>
    <w:pPr>
      <w:spacing w:after="0" w:line="240" w:lineRule="auto"/>
    </w:pPr>
  </w:style>
  <w:style w:type="paragraph" w:styleId="Zaglavlje">
    <w:name w:val="header"/>
    <w:basedOn w:val="Normal"/>
    <w:link w:val="ZaglavljeChar"/>
    <w:uiPriority w:val="99"/>
    <w:unhideWhenUsed/>
    <w:rsid w:val="00F60A1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F60A17"/>
  </w:style>
  <w:style w:type="paragraph" w:styleId="Podnoje">
    <w:name w:val="footer"/>
    <w:basedOn w:val="Normal"/>
    <w:link w:val="PodnojeChar"/>
    <w:uiPriority w:val="99"/>
    <w:unhideWhenUsed/>
    <w:rsid w:val="00F60A1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F60A17"/>
  </w:style>
  <w:style w:type="paragraph" w:styleId="Tekstbalonia">
    <w:name w:val="Balloon Text"/>
    <w:basedOn w:val="Normal"/>
    <w:link w:val="TekstbaloniaChar"/>
    <w:uiPriority w:val="99"/>
    <w:semiHidden/>
    <w:unhideWhenUsed/>
    <w:rsid w:val="005D04B2"/>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D04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06D5B-7362-4147-9954-1FD541817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1</Pages>
  <Words>924</Words>
  <Characters>5272</Characters>
  <Application>Microsoft Office Word</Application>
  <DocSecurity>0</DocSecurity>
  <Lines>43</Lines>
  <Paragraphs>12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Lovric</dc:creator>
  <cp:keywords/>
  <dc:description/>
  <cp:lastModifiedBy>Vladimir Sljivic</cp:lastModifiedBy>
  <cp:revision>19</cp:revision>
  <cp:lastPrinted>2026-01-13T08:50:00Z</cp:lastPrinted>
  <dcterms:created xsi:type="dcterms:W3CDTF">2017-02-06T08:59:00Z</dcterms:created>
  <dcterms:modified xsi:type="dcterms:W3CDTF">2026-01-13T09:02:00Z</dcterms:modified>
</cp:coreProperties>
</file>