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23C2" w:rsidRPr="00E823C2" w:rsidRDefault="00E823C2" w:rsidP="00E823C2">
      <w:pPr>
        <w:jc w:val="center"/>
        <w:rPr>
          <w:rFonts w:ascii="Arial" w:eastAsia="Times New Roman" w:hAnsi="Arial" w:cs="Arial"/>
          <w:color w:val="252525"/>
          <w:sz w:val="48"/>
          <w:szCs w:val="48"/>
          <w:shd w:val="clear" w:color="auto" w:fill="FFFFFF"/>
        </w:rPr>
      </w:pPr>
      <w:r w:rsidRPr="00E823C2">
        <w:rPr>
          <w:rFonts w:ascii="Arial" w:eastAsia="Times New Roman" w:hAnsi="Arial" w:cs="Arial"/>
          <w:b/>
          <w:bCs/>
          <w:color w:val="252525"/>
          <w:sz w:val="48"/>
          <w:szCs w:val="48"/>
          <w:shd w:val="clear" w:color="auto" w:fill="FFFFFF"/>
        </w:rPr>
        <w:t>ZAKON</w:t>
      </w:r>
    </w:p>
    <w:p w:rsidR="00E823C2" w:rsidRPr="00E823C2" w:rsidRDefault="00E823C2" w:rsidP="00E823C2">
      <w:pPr>
        <w:jc w:val="center"/>
        <w:rPr>
          <w:rFonts w:ascii="Arial" w:eastAsia="Times New Roman" w:hAnsi="Arial" w:cs="Arial"/>
          <w:color w:val="252525"/>
          <w:sz w:val="48"/>
          <w:szCs w:val="48"/>
          <w:shd w:val="clear" w:color="auto" w:fill="FFFFFF"/>
        </w:rPr>
      </w:pPr>
      <w:r w:rsidRPr="00E823C2">
        <w:rPr>
          <w:rFonts w:ascii="Arial" w:eastAsia="Times New Roman" w:hAnsi="Arial" w:cs="Arial"/>
          <w:b/>
          <w:bCs/>
          <w:color w:val="252525"/>
          <w:sz w:val="48"/>
          <w:szCs w:val="48"/>
          <w:shd w:val="clear" w:color="auto" w:fill="FFFFFF"/>
        </w:rPr>
        <w:t>O ZABRANI DISKRIMINACIJE</w:t>
      </w:r>
    </w:p>
    <w:p w:rsidR="002E78F7" w:rsidRDefault="002E78F7"/>
    <w:p w:rsidR="005647DA" w:rsidRPr="005647DA" w:rsidRDefault="005647DA" w:rsidP="005647DA">
      <w:pPr>
        <w:pBdr>
          <w:bottom w:val="single" w:sz="6" w:space="0" w:color="AAAAAA"/>
        </w:pBdr>
        <w:spacing w:after="60"/>
        <w:jc w:val="left"/>
        <w:outlineLvl w:val="0"/>
        <w:rPr>
          <w:rFonts w:ascii="Georgia" w:eastAsia="Times New Roman" w:hAnsi="Georgia" w:cs="Times New Roman"/>
          <w:color w:val="000000"/>
          <w:kern w:val="36"/>
          <w:sz w:val="43"/>
          <w:szCs w:val="43"/>
          <w:lang w:val="en"/>
        </w:rPr>
      </w:pPr>
      <w:r w:rsidRPr="005647DA">
        <w:rPr>
          <w:rFonts w:ascii="Georgia" w:eastAsia="Times New Roman" w:hAnsi="Georgia" w:cs="Times New Roman"/>
          <w:color w:val="000000"/>
          <w:kern w:val="36"/>
          <w:sz w:val="43"/>
          <w:szCs w:val="43"/>
          <w:lang w:val="en"/>
        </w:rPr>
        <w:t>Zakon o zabrani diskriminacije BiH (Službeni glasnik BiH, broj 59/09)</w:t>
      </w:r>
    </w:p>
    <w:p w:rsidR="00E823C2" w:rsidRDefault="00E823C2"/>
    <w:p w:rsidR="00CF5DEE" w:rsidRPr="00CF5DEE" w:rsidRDefault="00CF5DEE" w:rsidP="00CF5DEE">
      <w:pPr>
        <w:pBdr>
          <w:bottom w:val="single" w:sz="6" w:space="0" w:color="AAAAAA"/>
        </w:pBdr>
        <w:shd w:val="clear" w:color="auto" w:fill="FFFFFF"/>
        <w:spacing w:after="60"/>
        <w:jc w:val="left"/>
        <w:outlineLvl w:val="0"/>
        <w:rPr>
          <w:rFonts w:ascii="Georgia" w:eastAsia="Times New Roman" w:hAnsi="Georgia" w:cs="Times New Roman"/>
          <w:color w:val="000000"/>
          <w:kern w:val="36"/>
          <w:sz w:val="43"/>
          <w:szCs w:val="43"/>
        </w:rPr>
      </w:pPr>
      <w:r w:rsidRPr="00CF5DEE">
        <w:rPr>
          <w:rFonts w:ascii="Georgia" w:eastAsia="Times New Roman" w:hAnsi="Georgia" w:cs="Times New Roman"/>
          <w:color w:val="000000"/>
          <w:kern w:val="36"/>
          <w:sz w:val="43"/>
          <w:szCs w:val="43"/>
        </w:rPr>
        <w:t>GLAVA I - OPŠTE ODREDBE</w:t>
      </w: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Član 1.</w:t>
      </w: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(Predmet Zakona)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(1) Ovim zakonom uspostavlja se okvir za ostvarivanje istih prava i mogućnosti svim licima u Bosni i Hercegovini i uređuje sistem zaštite od diskriminacije.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(2) U skladu sa Ustavom Bosne i Hercegovine i međunarodnim standardima koji se odnose na ljudska prava i osnovne slobode, ovim zakonom utvrđuju se odgovornosti i obaveze zakonodavne, sudske i izvršne vlasti u Bosni i Hercegovini, kao i pravnih lica i pojedinaca koji vrše javna ovlašćenja (u daljnjem tekstu: nadležne institucije Bosne i Hercegovine), da svojim djelovanjem omoguće zaštitu, promovisanje i stvaranje uslova za jednako postupanje.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Član 2.</w:t>
      </w: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(Diskriminacija)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(1) Diskriminacijom, u smislu ovog zakona, smatraće se svako različito postupanje, uključujući svako isključivanje, ograničavanje ili davanje prednosti utemeljeno na stvarnim ili pretpostavljenim osnovama prema bilo kojem licu ili grupi lica na osnovu njihove rase, boje kože, jezika, vjere, etničke pripadnosti, nacionalnog ili socijalnog porijekla, veze s nacionalnom manjinom, političkog ili drugog uvjerenja, imovnog stanja, članstva u sindikatu ili drugom udruženju, obrazovanja, društvenog položaja i pola, polnog izražavanja ili orijentacije, kao i svaka druga okolnost koja ima za svrhu ili posljedicu da bilo kojem licu onemogući ili ugrožava priznavanje, uživanje ili ostvarivanje na ravnopravnoj osnovi prava i sloboda u svim oblastima javnog života.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(2) Zabrana diskriminacije primjenjuje se na sve javne organe kao i na sva fizička ili pravna lica, kako u javnom tako i u privatnom sektoru, u svim oblastima, a naročito: zaposlenja, članstva u profesionalnim organizacijama, obrazovanja, obuke, stanovanja, zdravstva, socijalne zaštite, dobara i usluga namijenjenih javnosti i javnim mjestima, te obavljanja privrednih aktivnosti i javnih usluga.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p>
    <w:p w:rsidR="00CF5DEE" w:rsidRPr="00CF5DEE" w:rsidRDefault="00CF5DEE" w:rsidP="00CF5DEE">
      <w:pPr>
        <w:pBdr>
          <w:bottom w:val="single" w:sz="6" w:space="0" w:color="AAAAAA"/>
        </w:pBdr>
        <w:shd w:val="clear" w:color="auto" w:fill="FFFFFF"/>
        <w:spacing w:after="60"/>
        <w:jc w:val="left"/>
        <w:outlineLvl w:val="0"/>
        <w:rPr>
          <w:rFonts w:ascii="Georgia" w:eastAsia="Times New Roman" w:hAnsi="Georgia" w:cs="Times New Roman"/>
          <w:color w:val="000000"/>
          <w:kern w:val="36"/>
          <w:sz w:val="43"/>
          <w:szCs w:val="43"/>
        </w:rPr>
      </w:pPr>
      <w:r w:rsidRPr="00CF5DEE">
        <w:rPr>
          <w:rFonts w:ascii="Georgia" w:eastAsia="Times New Roman" w:hAnsi="Georgia" w:cs="Times New Roman"/>
          <w:color w:val="000000"/>
          <w:kern w:val="36"/>
          <w:sz w:val="43"/>
          <w:szCs w:val="43"/>
        </w:rPr>
        <w:t>GLAVA II - OBLICI DISKRIMINACIJE</w:t>
      </w: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Član 3.</w:t>
      </w: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(Oblici diskriminacije)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(1) Neposredna diskriminacija je svako različito postupanje po osnovama određenim u članu 2. ovog zakona, odnosno svako djelovanje ili propuštanje djelovanja kada je neko lice ili grupa lica dovedena ili je bila ili bi mogla da bude dovedena u nepovoljniji položaj za razliku od nekog drugog lica ili grupe lica u sličnim situacijama.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(2) Posredna diskriminacija podrazumijeva svaku situaciju u kojoj, naizgled neutralna odredba, kriterijum ili praksa, ima ili bi imala efekat dovođenja nekog lica ili grupe lica u nepovoljan ili manje povoljan položaj u odnosu na druga lica.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Član 4.</w:t>
      </w: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(Ostali oblici diskriminacije)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(1) Uznemiravanje se smatra diskriminacijom u svakoj situaciji u kojoj ponašanje vezano uz jedan od navedenih osnova iz člana 2. ovog zakona ima za svrhu ili čiji je efekat povreda dostojanstva lica i stvaranje zastrašujućeg, neprijateljskog, degradirajućeg, ponižavajućeg ili uvredljivog ambijenta.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(2) Polno uznemiravanje je svaki oblik neželjenog verbalnog, neverbalnog ili fizičkog ponašanja polne prirode čiji je cilj ili efekat povreda dostojanstva lica, posebno kada će se njime stvoriti zastrašujući, neprijateljski, degradirajući, ponižavajući ili uvredljiv ambijent.</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(3) Mobing je oblik nefizičkog uznemiravanja na radnom mjestu koji podrazumijeva ponavljanje radnji koje imaju ponižavajući efekat na žrtvu čija je svrha ili posljedica degradacija radnih uslova ili profesionalnog statusa zaposlenog.</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(4) Segregacija je djelo kojim (fizičko ili pravno) lice odvaja druga lica na osnovu jedne od nabrojanih osnova iz člana 2. ovog zakona, u skladu s definicijom diskriminacije sadržanom u članu 2. ovog zakona.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(5) Izdavanje naloga drugima za vršenje diskriminacije i pomaganje drugima prilikom diskriminacije smatra se oblikom diskriminacije.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(6) Podsticanje na diskriminaciju je svako zagovaranje nacionalne, rasne ili vjerske mržnje i zabranjeno je.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Član 5.</w:t>
      </w: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(Izuzeci od principa jednakog postupanja)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Zakonske mjere i radnje neće se smatrati diskriminacijskim kada se svode na nepovoljno razlikovanje ili različito postupanje ako su zasnovane na objektivnoj i razumnoj opravdanosti. Sljedeće mjere neće se smatrati diskriminacijskim kada se njima ostvaruje legitiman cilj i ako postoji razuman odnos proporcionalnosti između sredstava koja se koriste i cilja koji se nastoji realizovati i kada: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a) proizlaze iz sprovođenja ili donošenja privremenih posebnih mjera osmišljenih bilo da se spriječe ili nadoknade štete koje lica trpe, a koje su određene osnovima navedenim u članu 2 ovog zakona, i to naročito za pripadnike ugroženih grupa poput lica sa invaliditetom, pripadnika nacionalnih manjina, žena, trudnica, djece, omladine, starijih lica i drugih društveno isključenih lica, civilnih žrtava rata, žrtava u krivičnim postupcima, raseljenih lica, izbjeglica i azilanata; odnosno da se omogući njihovo puno učešće u svim oblastima života;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b) su zasnovane na obilježju koje se odnosi na bilo koji od osnova navedenih u članu 2. ovog zakona kada, u ograničenim okolnostima, zbog prirode konkretnih profesionalnih aktivnosti koje su u pitanju ili konteksta u kojem se izvršavaju, takvo obilježje predstavlja stvarni i određujući uslov u pogledu odabira zvanja. Ovaj izuzetak će biti predmet povremenih preispitivanja;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c) su zasnovane na razlikovanju, isključivanju ili davanju prednosti u vezi sa zapošljavanjem kao člana osoblja institucije koje se obavlja u skladu sa doktrinama, osnovnim postavkama, dogmama, vjerovanjima ili učenjima konkretne vjeroispovijesti ili vjere, s obzirom da je razlikovanje, isključenje ili davanje prednosti izvršeno savjesno kako ne bi došlo do povrede vjerskih osjećanja pripadnika te vjeroispovijesti ili te vjere;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d) određuju maksimalnu starosnu dob najprimjereniju za prekid radnog odnosa i određuju starosnu dob kao uslov za penzionisanje;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e) su zasnovane na državljanstvu na način predviđen zakonom;</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 xml:space="preserve">f) su zasnovane na realizaciji razumnih prilagođavanja s ciljem da se obezbijedi princip jednakog postupanja u odnosu na lica s invaliditetom. Poslodavci su stoga prema potrebi u konkretnom slučaju dužni da preduzmu odgovarajuće mjere, radi omogućavanja da lice sa invaliditetom </w:t>
      </w:r>
      <w:r w:rsidRPr="00CF5DEE">
        <w:rPr>
          <w:rFonts w:ascii="Arial" w:eastAsia="Times New Roman" w:hAnsi="Arial" w:cs="Arial"/>
          <w:color w:val="252525"/>
          <w:sz w:val="21"/>
          <w:szCs w:val="21"/>
        </w:rPr>
        <w:lastRenderedPageBreak/>
        <w:t>ostvari pristup, učestvuje, ili napreduje u zaposlenju, odnosno da učestvuje u obuci, ako takve mjere ne nameću nesrazmjeran teret poslodavcu;</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g) stavljanje u nepovoljniji položaj pri uređivanju prava i obaveza iz porodičnog odnosa kada je to određeno zakonom, a posebno s ciljem zaštite prava i interesa djece, što mora biti opravdano legitimnom svrhom, zaštitom javnog morala, kao i pogodovanju braka u skladu s odredbama porodičnih zakona;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h) prilikom zasnivanja radnog odnosa, uključuju u članstvo, te u djelovanju koje je u skladu s naukom i poslovanjem registrovanih crkava i vjerskih zajednica u BiH, kao i druge javne ili privatne organizacije koja djeluje u skladu s ustavom i zakonima, ako to zahtijevaju vjerske doktrine, uvjerenja ili ciljevi.</w:t>
      </w:r>
    </w:p>
    <w:p w:rsidR="00CF5DEE" w:rsidRPr="00CF5DEE" w:rsidRDefault="00CF5DEE" w:rsidP="00CF5DEE">
      <w:pPr>
        <w:pBdr>
          <w:bottom w:val="single" w:sz="6" w:space="0" w:color="AAAAAA"/>
        </w:pBdr>
        <w:shd w:val="clear" w:color="auto" w:fill="FFFFFF"/>
        <w:spacing w:after="60"/>
        <w:jc w:val="left"/>
        <w:outlineLvl w:val="0"/>
        <w:rPr>
          <w:rFonts w:ascii="Georgia" w:eastAsia="Times New Roman" w:hAnsi="Georgia" w:cs="Times New Roman"/>
          <w:color w:val="000000"/>
          <w:kern w:val="36"/>
          <w:sz w:val="43"/>
          <w:szCs w:val="43"/>
        </w:rPr>
      </w:pPr>
      <w:r w:rsidRPr="00CF5DEE">
        <w:rPr>
          <w:rFonts w:ascii="Georgia" w:eastAsia="Times New Roman" w:hAnsi="Georgia" w:cs="Times New Roman"/>
          <w:color w:val="000000"/>
          <w:kern w:val="36"/>
          <w:sz w:val="43"/>
          <w:szCs w:val="43"/>
        </w:rPr>
        <w:t>GLAVA III - ZAŠTIĆENA PRAVA</w:t>
      </w: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Član 6.</w:t>
      </w: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(Oblast primjene)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(1) Ovaj zakon primjenjuje se na postupanje svih javnih tijela na nivou države, entiteta, kantona i Brčko Distrikta Bosne i Hercegovine, opštinskih institucija i tijela, te pravnih lica s javnim ovlašćenjima, kao i na postupanje svih pravnih i fizičkih lica, u svim a posebno u sljedećim oblastima života: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a) zapošljavanja, rada i radnih uslova, uključujući pristup zaposlenju, zanimanju i samozapošljavanju kao i radne uslove, naknade, napredovanja u službi i otpuštanja sa posla;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b) obrazovanja, nauke i sporta. Dostupnost obrazovanja ne bi trebalo da zavisi od useljeničkog statusa djece ili njihovih roditelja;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c) socijalne zaštite, uključujući socijalno osiguranje, socijalne nadoknade, socijalnu pomoć (nadoknade za stanovanje, nadoknade za mlade, itd.) i način postupanja prema korisnicima socijalne zaštite;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d) zdravstvene zaštite, uključujući dostupnost zaštite i liječenja, i u odnosu na način na koji se pruža zaštita i liječe pacijenti;</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e) obuke, uključujući početno osposobljavanje i stalno stručno usavršavanje, sve vrste i sve nivoe profesionalnog usmjeravanja, naprednog stručnog usavršavanja, dokvalifikacije i prekvalifikacije, uključujući i sticanje praktičnog radnog iskustva;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f) pravosuđa i uprave uključujući aktivnosti policije i drugih službenika za sprovođenje zakona, službenika pogranične kontrole, vojno i zatvorsko osoblje. Konkretno, sva lica će da budu jednaka pred sudovima i tribunalima;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g) stanovanja, uključujući pristup stanovanju, uslove stanovanja i raskid ugovora o najmu;</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h) javnog informisanja i medija;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i) članstva u profesionalnim organizacijama, uključujući članstvo u organizaciji radnika ili poslodavaca ili u bilo kojoj organizaciji čiji članovi obavljaju neko određeno zanimanje; uključenost u takve organizacije i povoljnosti koje pružaju takve organizacije;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j) robe i usluga namijenjenih javnosti i javnim mjestima, uključujući, na primjer, prilikom kupovine robe u trgovini, prilikom podnošenja molbe za kredit u banci i u odnosu na pristup diskotekama, kafićima i restoranima;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k) obavljanja privredne djelatnosti, uključujući pravo o tržnoj konkurenciji, odnose između preduzeća i odnose između preduzeća i države;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l) učešća u kulturnom i umjetničkom stvaralaštvu;</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m) jednakom učešću u javnom životu svih građana;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n) porodice, pri čemu će bračni drugovi uživati potpunu jednakost prava kao i odgovornosti u pogledu bračne zajednice, tokom trajanja bračne zajednice i njene rastave uključujući i prava i odgovornosti u pogledu podizanja djece, u skladu s odredbama porodičnog zakona;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lastRenderedPageBreak/>
        <w:t>o) prava djeteta, uključujući one mjere zaštite koje su potrebne shodno njihovom statusu maloljetnika, od strane njihove porodice, društva i države.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p>
    <w:p w:rsidR="00CF5DEE" w:rsidRPr="00CF5DEE" w:rsidRDefault="00CF5DEE" w:rsidP="00CF5DEE">
      <w:pPr>
        <w:pBdr>
          <w:bottom w:val="single" w:sz="6" w:space="0" w:color="AAAAAA"/>
        </w:pBdr>
        <w:shd w:val="clear" w:color="auto" w:fill="FFFFFF"/>
        <w:spacing w:after="60"/>
        <w:jc w:val="left"/>
        <w:outlineLvl w:val="0"/>
        <w:rPr>
          <w:rFonts w:ascii="Georgia" w:eastAsia="Times New Roman" w:hAnsi="Georgia" w:cs="Times New Roman"/>
          <w:color w:val="000000"/>
          <w:kern w:val="36"/>
          <w:sz w:val="43"/>
          <w:szCs w:val="43"/>
        </w:rPr>
      </w:pPr>
      <w:r w:rsidRPr="00CF5DEE">
        <w:rPr>
          <w:rFonts w:ascii="Georgia" w:eastAsia="Times New Roman" w:hAnsi="Georgia" w:cs="Times New Roman"/>
          <w:color w:val="000000"/>
          <w:kern w:val="36"/>
          <w:sz w:val="43"/>
          <w:szCs w:val="43"/>
        </w:rPr>
        <w:t>GLAVA IV - INSTITUCIJE NADLEŽNE ZA ZAŠTITU OD DISKRIMINACIJE</w:t>
      </w: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Član 7.</w:t>
      </w: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(Centralna institucija za zaštitu od diskriminacije)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(1) Centralna institucija nadležna za zaštitu od diskriminacije je Ombudsmen za ljudska prava Bosne i Hercegovine (u daljnjem tekstu: Ombudsmen Bosne i Hercegovine).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(2) Ombudsmen Bosne i Hercegovine u okviru svoje nadležnosti:</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a) zaprima pojedinačne i grupne žalbe u vezi sa diskriminacijom;</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b) fizičkim i pravnim licima koje su podnijele žalbu zbog diskriminacije pruža potrebna obavještenja o njihovim pravima i obavezama, te mogućnostima sudske i druge zaštite;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c) povodom žalbe Ombudsmen Bosne i Hercegovine može da odluči da ne prihvati žalbu ili da pokrene postupak istraživanja;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d) predlaže pokretanje postupka medijacije u skladu s odredbama Zakona o medijaciji;</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e) prikuplja i analizira statističke podatke o slučajevima diskriminacije;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f) podnosi godišnji, a prema potrebi i vanredne izvještaje o pojavama diskriminacije Parlamentarnoj skupštini Bosne i Hercegovine, Parlamentu Federacije Bosne i Hercegovine, Narodnoj skupštini Republike Srpske i Skupštini Brčko Distrikta Bosne i Hercegovine;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g) informiše javnost o pojavama diskriminacije;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h) na sopstvenu inicijativu sprovodi istraživanja u oblasti diskriminacije;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i) daje mišljenja i preporuke s ciljem sprečavanja i suzbijanja diskriminacije, te predlaže odgovarajuća zakonska i druga rješenja nadležnim institucijama Bosne i Hercegovine;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j) ima pravo da pokreće i učestvuje u postupku za zaštitu od diskriminacije za prekršaje propisane ovim zakonom;</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k) prati zakonodavstvo i daje savjete zakonodavnim i izvršnim organima;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l) podiže svijest o pitanjima vezanim za rasizam i rasnu diskriminaciju u društvu;</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m) unapređuje politike i prakse koje imaju za cilj da osiguraju jednako postupanje.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(3) Ombudsmen Bosne i Hercegovine pri izradi redovnih izvještaja, mišljenja i preporuka o pojavama diskriminacije sarađuje sa organizacijama civilnog društva koje se bave zaštitom i promovisanjem ljudskih prava i organizacijama koje se bave zaštitom prava grupa izloženih visokom riziku diskriminacije.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(4) Ombudsmen Bosne i Hercegovine pruža pomoć licima ili grupama lica koje se obraćaju međunarodnim tijelima za zaštitu od diskriminacije u davanju uputa, savjeta, konsultacija u toku postupka, predloga i preporuka.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(5) Institucija ombudsmena za ljudska prava Bosne i Hercegovine će u svrhu ostvarivanja svoje nadležnosti uspostaviti poseban odjel koji bi isključivo razmatrao predmete navodne diskriminacije u pogledu postupanja javnih tijela na nivou države, entiteta, kantona i Brčko Distrikta Bosne i Hercegovine, opštinskih institucija i tijela, te pravnih lica s javnim ovlašćenjima, kao i postupanje svih pravnih i fizičkih lica, u svim oblastima života.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U budžet Institucije ombudsmena za ljudska prava Bosne i Hercegovine uvrstiće se posebna budžetska stavka neophodna za funkcionisanje specijalnog odjela/specijalnih odjela za borbu protiv diskriminacije.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lastRenderedPageBreak/>
        <w:t>(6) Sve državne institucije, entitetske, kantonalne i tijela Brčko Distrikta Bosne i Hercegovine, opštinska, institucije i pravna lica s javnim ovlašćenjima, te ostala pravna i fizička lica dužna su, na zatjev Ombudsmena Bosne i Hercegovine, najkasnije u roku od 30 dana od dana zaprimanja zahtjeva dostaviti tražene podatke i dokumente.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(7) Nadležne institucije u Bosni i Hercegovini obavezne su da sarađuju sa Ombudsmenom Bosne i Hercegovine i daju pismeno odgovore i obavještenja u roku koji je Ombudsmen Bosne i Hercegovine odredio i o efektu preporuka datih s ciljem otklanjanja diskriminacije.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Član 8.</w:t>
      </w: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(Vođenje evidencije i koordinacija nadležnih institucija)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(1) Nadležne institucije u Bosni i Hercegovine dužne su da vode redovnu evidenciju svih slučajeva prijavljene diskriminacije, a prikupljene podatke obavezno da dostave Ministarstvu za ljudska prava i izbjeglice Bosne i Hercegovine.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(2) Ministarstvo za ljudska prava i izbjeglice Bosne i Hercegovine, u okviru zakonom utvrđenih nadležnosti, ima obavezu, na osnovu prikupljenih podataka o pojavama i obimu diskriminacije, najmanje jednom godišnje da pripremi Savjetu ministara Bosne i Hercegovine izvještaj, a prema potrebi i posebne izvještaje koji sadrže predlog mjera za sprečavanje i suzbijanje pojava diskriminacije u Bosni i Hercegovini.</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(3) Ministarstvo za ljudska prava i izbjeglice Bosne i Hercegovine dužno je da jednom godišnje, preko Savjeta ministara Bosne i Hercegovine, izvještava i Parlamentarnu skupštinu Bosne i Hercegovine o pojavama diskriminacije i u vezi s tim predlaže konkretne zakonodavne ili druge mjere.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(4) U skladu s odredbama ovog člana, ustanoviće se posebne evidencije u zakonodavnim, izvršnim i sudskim organima radi evidencije slučajeva diskriminacije utvrđene u krivičnim, parničnim, vanparničnim i izvršnim postupcima.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(5) Centralna baza podataka za počinjena djela diskriminacije biće uspostavljena u Ministarstvu za ljudska prava i izbjeglice Bosne i Hercegovine.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(6) Ministarstvo za ljudska prava i izbjeglice Bosne i Hercegovine, u roku od 90 dana od dana stupanja na snagu ovog zakona, donijeće Pravilnik o načinu prikupljanja podataka o predmetima diskriminacije u Bosni i Hercegovini kojim se definiše sadržaj i izgled upitnika za prikupljanje podataka o predmetima diskriminacije i ostala pitanja vezana za postupak prukupljanja potrebnih podataka.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Član 9.</w:t>
      </w: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(Praćenje sprovođenja Zakona)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Ministarstvo za ljudska prava i izbjeglice Bosne i Hercegovine prati sprovođenje ovog zakona.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Član 10.</w:t>
      </w: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(Saradnja sa organizacijama civilnog društva)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U izradi izvještaja, prilikom pripreme zakona, strategija i drugih planova koji se odnose na stanje ljudskih prava i pitanja diskriminacije, sve nadležne institucije obavezne su da sarađuju s organizacijama civilnog društva koje se bave zaštitom i promovisanjem ljudskih prava i organizacijama koje se bave zaštitom prava lica i grupa lica izloženih visokom riziku od diskriminacije.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p>
    <w:p w:rsidR="00CF5DEE" w:rsidRPr="00CF5DEE" w:rsidRDefault="00CF5DEE" w:rsidP="00CF5DEE">
      <w:pPr>
        <w:pBdr>
          <w:bottom w:val="single" w:sz="6" w:space="0" w:color="AAAAAA"/>
        </w:pBdr>
        <w:shd w:val="clear" w:color="auto" w:fill="FFFFFF"/>
        <w:spacing w:after="60"/>
        <w:jc w:val="left"/>
        <w:outlineLvl w:val="0"/>
        <w:rPr>
          <w:rFonts w:ascii="Georgia" w:eastAsia="Times New Roman" w:hAnsi="Georgia" w:cs="Times New Roman"/>
          <w:color w:val="000000"/>
          <w:kern w:val="36"/>
          <w:sz w:val="43"/>
          <w:szCs w:val="43"/>
        </w:rPr>
      </w:pPr>
      <w:r w:rsidRPr="00CF5DEE">
        <w:rPr>
          <w:rFonts w:ascii="Georgia" w:eastAsia="Times New Roman" w:hAnsi="Georgia" w:cs="Times New Roman"/>
          <w:color w:val="000000"/>
          <w:kern w:val="36"/>
          <w:sz w:val="43"/>
          <w:szCs w:val="43"/>
        </w:rPr>
        <w:t>GLAVA V - POSTUPCI ZA ZAŠTITU OD DISKRIMINACIJE</w:t>
      </w: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lastRenderedPageBreak/>
        <w:t>Član 11.</w:t>
      </w: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(Zaštita u postojećim postupcima)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(1) Svako lice ili grupa lica koja smatra da je diskriminisana može tražiti zaštitu svojih prava putem postojećih sudskih i upravnih postupaka.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(2) U slučajevima u kojima povreda prava na jednako postupanje proizlazi iz upravnog akta, žalba u upravnom postupku i eventualno pokretanje upravnog spora na osnovu zaštite od diskriminacije, a kojom se zahtijeva poništenje takvog upravnog akta, neće spriječiti lice iz stava (1) ovog člana da pokrene sudski postupak za zaštitu od diskriminacije.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(3) Svi konkretni zahtjevi navedeni u članu 12. ovog zakona, kao pojedinačni ili zajednički, mogu se tražiti u svrhu podnošenja tužbe u parničnom postupku.</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Član 12.</w:t>
      </w: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(Posebne tužbe za zaštitu od diskriminacije)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(1) Lice ili grupa lica koja su izložena bilo kojem obliku diskriminacije, prema odredbama ovog zakona, ovlašćeni su da podnesu tužbu i da traže: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a) utvrđivanje da je tuženik povrijedio tužiočevo pravo na jednako postupanje, odnosno da radnja koju je preduzeo ili propustio može neposredno dovesti do povrede prava na jednako postupanje (tužba za utvrđivanje diskriminacije);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b) zabranu preduzimanja radnji kojima se krši ili se može prekršiti tužiočevo pravo na jednako postupanje, odnosno da se izvrše radnje kojima se uklanja diskriminacija ili njene posljedice (tužba za zabranu ili otklanjanje diskriminacije);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c) da se nadoknadi materijalna i nematerijalna šteta uzrokovana povredom prava zaštićenih ovim zakonom (tužba za nadoknadu štete);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d) da se presuda kojom je utvrđena povreda prava na jednako postupanje na trošak tuženika objavi u medijima, u slučaju kada je diskriminacija počinjena kroz medije (štampane, printane i elektronske), odnosno bilo koje vrste.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(2) Sud i druga tijela koja sprovode postupak dužna su da radnje u postupku preduzimaju hitno, obezbjeđujući da sve tvrdnje o diskriminaciji budu što prije ispitane.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(3) Kada se svi zahtjevi zasnivaju na istom činjeničnom i pravnom osnovu, zahtjevi se mogu istaknuti zajedno (kumulativno) u jednoj tužbi o kojoj se odlučuje u parničnom postupku, ako su svi zahtjevi u međusobnoj vezi i ako je isti sud stvarno nadležan za svaki od tih zahtjeva.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(4) O tužbama iz stava (1) ovog člana odlučuje nadležni sud primjenjujući odredbe zakona o parničnom postupku koji se primjenjuju u Bosni i Hercegovini, ako ovim zakonom nije drugačije određeno.</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Član 13.</w:t>
      </w: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(Nadležnost, rokovi i izvršenje)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(1) Ako ovim zakonom nije drugačije propisano, a u skladu sa zakonima o sudovima u oba entiteta i Brčko Distrikta Bosne i Hercegovine, za sporove po tužbi iz člana 12. ovog zakona nadležni su u prvom i drugom stepenu sudovi opšte mjesne nadležnosti.</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(2) U postupcima propisanim u članu 12. ovog zakona uvijek je dozvoljena revizija.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(3) Po osnovu tužbenog zahtjeva iz člana 12. tač. b) i d) ovog zakona, nadležni sud može da odluči da žalba ne zadržava izvršenje ili da određuje kraći rok za ispunjenje radnje koja je naložena tuženiku.</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(4) Rok za podnošenje tužbe na osnovu člana 12. ovog zakona iznosi tri mjeseca od dana saznanja o učinjenoj povredi prava, a najdalje jednu godinu od dana učinjenja povrede. Rok za podnošenje zahtjeva za reviziju iznosi tri mjeseca od dana uručenja drugostepene presude.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lastRenderedPageBreak/>
        <w:t>Član 14.</w:t>
      </w: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(Privremene mjere zaštite)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Sud može u postupcima iz čl. 11. i 12. ovog zakona odrediti privremenu mjeru shodno pravilima zakona o parničnom postupku koji se primjenjuju u Bosni i Hercegovini.</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Član 15.</w:t>
      </w: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(Teret dokazivanja)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(1) U slučajevima kada lice ili grupa lica navode činjenice u postupku iz člana 12. ovog zakona, potkrepljujući navode o tome da je zabrana diskriminacije prekršena, navodni prekršilac dužan je da dokaže da nije prekršio princip jednakog postupanja ili zabrane diskriminacije u predmetu rasprave.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(2) U slučajevima u kojima lice smatra da je snosilo posljedice diskriminacije, kao dokazno sredstvo za ostvarenje prava iz stava (1) ovog člana mogu se koristiti i statistički podaci ili baze podataka.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(3) U slučajevima kada lice smatra da je snosilo posljedice diskriminacije zbog propuštanja razumnog prilagođavanja, teret dokazivanja leži na protivnoj strani.</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Član 16.</w:t>
      </w: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(Učestvovanje trećih lica)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(1) U postupku koji se pokreće u skladu sa članom 12. ovog zakona, može se kao treća strana na strani lica ili grupe lica koja tvrde da su žrtve diskriminacije pridružiti tijelo, organizacija, ustanova, udruženje ili drugo lice koje se u okviru svoje djelatnosti bavi zaštitom od diskriminacije lica ili grupe lica o čijim se pravima odlučuje u postupku.</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(2) Sud će dopustiti učestvovanje treće strane samo uz pristanak lica na čijoj strani se treća strana želi umiješati.</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(3) Bez obzira na ishod parnice, treća strana sama će snositi troškove svog učestvovanja u parnici.</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Član 17.</w:t>
      </w: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(Kolektivna tužba za zaštitu od diskriminacije)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Udruženja, tijela, ustanove ili druge organizacije koje su registrovane u skladu sa propisima koji regulišu udruživanje građana u Bosni i Hercegovini, a imaju opravdan interes za zaštitu interesa određene grupe ili se u okviru svoje djelatnosti bave zaštitom od diskriminacije određene grupe lica, mogu da podnesu tužbu protiv lica koje je povrijedilo pravo na jednako postupanje, ako učine vjerovatnim da je postupanjem tuženog povrijeđeno pravo na jednako postupanje većeg broja lica koja pretežno pripadaju grupi čija prava tužilac štiti.</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Član 18.</w:t>
      </w: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(Zaštita lica koje prijavljuje diskriminaciju ili učestvuju u postupku)</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Nijedno lice koje je prijavilo diskriminaciju ili učestvovalo u pravnom postupku za zaštitu od diskriminacije neće trpjeti nikakve posljedice zbog takvog prijavljivanja ili učestvovanja.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p>
    <w:p w:rsidR="00CF5DEE" w:rsidRPr="00CF5DEE" w:rsidRDefault="00CF5DEE" w:rsidP="00CF5DEE">
      <w:pPr>
        <w:pBdr>
          <w:bottom w:val="single" w:sz="6" w:space="0" w:color="AAAAAA"/>
        </w:pBdr>
        <w:shd w:val="clear" w:color="auto" w:fill="FFFFFF"/>
        <w:spacing w:after="60"/>
        <w:jc w:val="left"/>
        <w:outlineLvl w:val="0"/>
        <w:rPr>
          <w:rFonts w:ascii="Georgia" w:eastAsia="Times New Roman" w:hAnsi="Georgia" w:cs="Times New Roman"/>
          <w:color w:val="000000"/>
          <w:kern w:val="36"/>
          <w:sz w:val="43"/>
          <w:szCs w:val="43"/>
        </w:rPr>
      </w:pPr>
      <w:r w:rsidRPr="00CF5DEE">
        <w:rPr>
          <w:rFonts w:ascii="Georgia" w:eastAsia="Times New Roman" w:hAnsi="Georgia" w:cs="Times New Roman"/>
          <w:color w:val="000000"/>
          <w:kern w:val="36"/>
          <w:sz w:val="43"/>
          <w:szCs w:val="43"/>
        </w:rPr>
        <w:t>GLAVA VI - KAZNENE (PREKRŠAJNE) ODREDBE</w:t>
      </w: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Član 19.</w:t>
      </w: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(Povreda člana 2. stav (2) ovog zakona)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lastRenderedPageBreak/>
        <w:t>(1) Novčanom kaznom u iznosu od 1.500 KM do 5.000 KM kazniće se za prekršaj pravno lice koje dovede neko lice ili grupu lica u nepovoljan položaj na osnovima nabrojanim u članu 2. (Diskriminacija), stav (1), na način opisan u čl. 3. (Oblici diskriminacije) i 4. (Ostali oblici diskriminacije) ovog zakona.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(2) Novčanom kaznom u iznosu od 700 KM do 1.500 KM kazniće se za prekršaj iz stava (1) ovog člana i odgovorno lice u državnoj, entitetskoj i kantonalnoj instituciji, instituciji Brčko Distrikta Bosne i Hercegovine, opštinskoj instituciji, u pravnom licu s javnim ovlašćenjima i u drugom pravnom licu.</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(3) Za prekršaj iz stava (1) ovog člana takođe će se kazniti i fizičko lice, i to novčanom kaznom u iznosu od 550 KM do 1.500 KM.</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(4) Ako se prekršaj iz stava (1) ovog člana učini propuštanjem da se postupi po preporuci Ombudsmena Bosne i Hercegovine, kazniće se pravno lice novčanom kaznom u iznosu od 2.500 KM do 6.500 KM, a odgovorno lice u pravnom licu ili fizičko lice kazniće se novčanom kaznom u iznosu od 1.000 KM do 3.000 KM.</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(5) Ako se prekršaj iz stava (1) ovog člana učini propuštanjem da se postupi po nalogu suda, novčanom kaznom u iznosu od 3.500 KM do 10.000 KM kazniće se pravno lice, a novčanom kaznom u iznosu od 2.000 KM do 5.000 KM kazniće se odgovorno lice u pravnom licu ili fizičko lice.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Član 20.</w:t>
      </w: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(Povreda člana 7. st. (6) i (7) ovog zakona)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(1) Novčanom kaznom u iznosu od 1.000 do 5.000 KM kazniće se pravno lice za prekršaj ako:</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a) ne dostavi podatke ili dokumente na zahtjev Ombudsmena Bosne i Hercegovine, odnosno ako ih ne dostavi u propisanom vremenskom roku, i ne dozvoli uvid u njih, u suprotnosti sa članom 7. (Centralna institucija za zaštitu od diskriminacije), stav (6) ovog zakona;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b) ne sarađuje s Ombudsmenom Bosne i Hercegovine i ne daje pismeno odgovore ili obavještenja, odnosno ne obvijesti o efektu preporuka datih s ciljem otklanjanja diskriminacije, u suprotnosti sa članom 7. stav (7) ovog zakona.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(2) Za prekršaje iz stava (1) ovog člana takođe će se kazniti i odgovorno lice u državnoj, entitetskoj i kantonalnoj instituciji, instituciji Brčko Distrikta Bosne i Hercegovine, opštinskoj instituciji, u pravnom licu s javnim ovlašćenjima i u drugom pravnom licu, i to novčanom kaznom u iznosu od 500 do 1.500 KM.</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(3) Za prekršaj iz stava (1) ovog člana kazniće se i fizičko lice, i to novčanom kaznom u iznosu od 450 KM do 1.000 KM.</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Član 21.</w:t>
      </w: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(Povreda člana 18. ovog zakona)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(1) Pravno lice koje lice koje je prijavilo diskriminaciju u dobroj vjeri, ili lice koje je na bilo koji način učestvovalo u postupku zaštite od diskriminacije dovede u nepovoljan položaj na osnovu toga što je to lice prijavilo diskriminaciju ili učestvovalo u postupku, u suprotnosti sa članom 18. (Zaštita lica koje prijavi diskriminaciju ili učestvuju u postupku) ovog zakona, kazniće se za prekršaj novčanom kaznom u iznosu od 1.000 KM do 10.000 KM.</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(2) Za prekršaje iz stava (1) ovog člana takođe će se kazniti i odgovorno lice u državnoj, entitetskoj i kantonalnoj instituciji, instituciji Brčko Distrikta Bosne i Hercegovine, opštinskoj instituciji, u pravnom licu s javnim ovlašćenjima i u drugom pravnom licu, i to novčanom kaznom u iznosu od 1.000 KM do 3.500 KM.</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(3) Za prekršaj iz stava (1) ovog člana takođe će se kazniti i fizičko lice, i to novčanom kaznom u iznosu od 700 KM do 2.000 KM.</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lastRenderedPageBreak/>
        <w:t>(4) Ako prekršaj iz stava (1) ovog člana učini s namjerom odgovorno lice u pravnom licu, odgovorno lice u pravnom licu će se kazniti novčanom kaznom u iznosu od 2.000 KM do 7.000 KM, i ako je učini sa namjerom fizičko lice, fizičko lice će se kazniti novčanom kaznom u iznosu od 1.500 do 4.000 KM.</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Član 22.</w:t>
      </w: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(Zaštitne mjere)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(1) Za prekršaje propisane ovim zakonom mogu se izreći zaštitne mjere oduzimanja predmeta i zabrane obavljanja određene profesionalne djelatnosti, poslovne aktivnosti ili dužnosti.</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(2) Zaštitne mjere oduzimanja predmeta obavezno se izriču svaki put kada je prekršaj izvršen korišćenjem tih predmeta, odnosno kada su predmeti bili namijenjeni izvršenju prekršaja ili su predmeti nastali zbog izvršenja prekršaja.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Član 23.</w:t>
      </w: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(Objavljivanje rješenja o prekršaju)</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Rješenje o prekršaju propisano ovim zakonom objavljuje se u javnim medijima dostupnim na cijeloj teritoriji Bosne i Hercegovine.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p>
    <w:p w:rsidR="00CF5DEE" w:rsidRPr="00CF5DEE" w:rsidRDefault="00CF5DEE" w:rsidP="00CF5DEE">
      <w:pPr>
        <w:pBdr>
          <w:bottom w:val="single" w:sz="6" w:space="0" w:color="AAAAAA"/>
        </w:pBdr>
        <w:shd w:val="clear" w:color="auto" w:fill="FFFFFF"/>
        <w:spacing w:after="60"/>
        <w:jc w:val="left"/>
        <w:outlineLvl w:val="0"/>
        <w:rPr>
          <w:rFonts w:ascii="Georgia" w:eastAsia="Times New Roman" w:hAnsi="Georgia" w:cs="Times New Roman"/>
          <w:color w:val="000000"/>
          <w:kern w:val="36"/>
          <w:sz w:val="43"/>
          <w:szCs w:val="43"/>
        </w:rPr>
      </w:pPr>
      <w:r w:rsidRPr="00CF5DEE">
        <w:rPr>
          <w:rFonts w:ascii="Georgia" w:eastAsia="Times New Roman" w:hAnsi="Georgia" w:cs="Times New Roman"/>
          <w:color w:val="000000"/>
          <w:kern w:val="36"/>
          <w:sz w:val="43"/>
          <w:szCs w:val="43"/>
        </w:rPr>
        <w:t>GLAVA VII - PRELAZNE I ZAVRŠNE ODREDBE</w:t>
      </w: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Član 24.</w:t>
      </w: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(Usaglašavanje ostalih propisa s ovim zakonom)</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(1) U slučaju neusaglašenosti drugih zakona s ovim zakonom u postupcima po ovom zakonu, primjenjivaće se ovaj zakon.</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(2) Svi zakoni i opšti propisi biće usaglašeni s odredbama ovog zakona u roku od godinu dana od dana njegovog stupanja na snagu.</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(3) Ovaj zakon ne prejudicira odredbe i uslove koji su utvrđeni u međunarodnim ugovorima i sporazumima s vjerskim zajednicama, čime se ne dira u njihovu djelatnu, normativnu i organizacionu autonomiju i princip punog uživanja prava vjerskih sloboda i izražavanja.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Član 25.</w:t>
      </w:r>
    </w:p>
    <w:p w:rsidR="00CF5DEE" w:rsidRPr="00CF5DEE" w:rsidRDefault="00CF5DEE" w:rsidP="00CF5DEE">
      <w:pPr>
        <w:shd w:val="clear" w:color="auto" w:fill="FFFFFF"/>
        <w:jc w:val="center"/>
        <w:rPr>
          <w:rFonts w:ascii="Arial" w:eastAsia="Times New Roman" w:hAnsi="Arial" w:cs="Arial"/>
          <w:color w:val="252525"/>
          <w:sz w:val="21"/>
          <w:szCs w:val="21"/>
        </w:rPr>
      </w:pPr>
      <w:r w:rsidRPr="00CF5DEE">
        <w:rPr>
          <w:rFonts w:ascii="Arial" w:eastAsia="Times New Roman" w:hAnsi="Arial" w:cs="Arial"/>
          <w:b/>
          <w:bCs/>
          <w:color w:val="252525"/>
          <w:sz w:val="21"/>
          <w:szCs w:val="21"/>
        </w:rPr>
        <w:t>(Stupanje na snagu)</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Ovaj zakon stupa na snagu osmog dana od dana objavljivanja u "Službenom glasniku BiH".</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PSBiH, broj 405/09 23. jula 2009. godine</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Sarajevo</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Predsjedavajući Predstavničkog doma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Parlamentarne skupštine BiH</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Beriz Belkić, s. r.</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Predsjedavajući Doma naroda</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Parlamentarne skupštine BiH</w:t>
      </w:r>
    </w:p>
    <w:p w:rsidR="00CF5DEE" w:rsidRPr="00CF5DEE" w:rsidRDefault="00CF5DEE" w:rsidP="00CF5DEE">
      <w:pPr>
        <w:shd w:val="clear" w:color="auto" w:fill="FFFFFF"/>
        <w:spacing w:before="120" w:after="120"/>
        <w:jc w:val="left"/>
        <w:rPr>
          <w:rFonts w:ascii="Arial" w:eastAsia="Times New Roman" w:hAnsi="Arial" w:cs="Arial"/>
          <w:color w:val="252525"/>
          <w:sz w:val="21"/>
          <w:szCs w:val="21"/>
        </w:rPr>
      </w:pPr>
      <w:r w:rsidRPr="00CF5DEE">
        <w:rPr>
          <w:rFonts w:ascii="Arial" w:eastAsia="Times New Roman" w:hAnsi="Arial" w:cs="Arial"/>
          <w:color w:val="252525"/>
          <w:sz w:val="21"/>
          <w:szCs w:val="21"/>
        </w:rPr>
        <w:t>Ilija Filipović, s. r.</w:t>
      </w:r>
    </w:p>
    <w:p w:rsidR="005647DA" w:rsidRDefault="005647DA">
      <w:bookmarkStart w:id="0" w:name="_GoBack"/>
      <w:bookmarkEnd w:id="0"/>
    </w:p>
    <w:sectPr w:rsidR="005647DA"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3C2"/>
    <w:rsid w:val="001B232D"/>
    <w:rsid w:val="002E78F7"/>
    <w:rsid w:val="005647DA"/>
    <w:rsid w:val="00CF5DEE"/>
    <w:rsid w:val="00E823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28CB55-AD67-4256-B787-A82670F90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5647DA"/>
    <w:pPr>
      <w:spacing w:before="100" w:beforeAutospacing="1" w:after="100" w:afterAutospacing="1"/>
      <w:jc w:val="left"/>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47DA"/>
    <w:rPr>
      <w:rFonts w:eastAsia="Times New Roman" w:cs="Times New Roman"/>
      <w:b/>
      <w:bCs/>
      <w:kern w:val="36"/>
      <w:sz w:val="48"/>
      <w:szCs w:val="48"/>
    </w:rPr>
  </w:style>
  <w:style w:type="character" w:customStyle="1" w:styleId="mw-headline">
    <w:name w:val="mw-headline"/>
    <w:basedOn w:val="DefaultParagraphFont"/>
    <w:rsid w:val="00CF5DEE"/>
  </w:style>
  <w:style w:type="paragraph" w:styleId="NormalWeb">
    <w:name w:val="Normal (Web)"/>
    <w:basedOn w:val="Normal"/>
    <w:uiPriority w:val="99"/>
    <w:semiHidden/>
    <w:unhideWhenUsed/>
    <w:rsid w:val="00CF5DEE"/>
    <w:pPr>
      <w:spacing w:before="100" w:beforeAutospacing="1" w:after="100" w:afterAutospacing="1"/>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002986">
      <w:bodyDiv w:val="1"/>
      <w:marLeft w:val="0"/>
      <w:marRight w:val="0"/>
      <w:marTop w:val="0"/>
      <w:marBottom w:val="0"/>
      <w:divBdr>
        <w:top w:val="none" w:sz="0" w:space="0" w:color="auto"/>
        <w:left w:val="none" w:sz="0" w:space="0" w:color="auto"/>
        <w:bottom w:val="none" w:sz="0" w:space="0" w:color="auto"/>
        <w:right w:val="none" w:sz="0" w:space="0" w:color="auto"/>
      </w:divBdr>
    </w:div>
    <w:div w:id="1365402135">
      <w:bodyDiv w:val="1"/>
      <w:marLeft w:val="0"/>
      <w:marRight w:val="0"/>
      <w:marTop w:val="0"/>
      <w:marBottom w:val="0"/>
      <w:divBdr>
        <w:top w:val="none" w:sz="0" w:space="0" w:color="auto"/>
        <w:left w:val="none" w:sz="0" w:space="0" w:color="auto"/>
        <w:bottom w:val="none" w:sz="0" w:space="0" w:color="auto"/>
        <w:right w:val="none" w:sz="0" w:space="0" w:color="auto"/>
      </w:divBdr>
    </w:div>
    <w:div w:id="202593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3945</Words>
  <Characters>22491</Characters>
  <Application>Microsoft Office Word</Application>
  <DocSecurity>0</DocSecurity>
  <Lines>187</Lines>
  <Paragraphs>52</Paragraphs>
  <ScaleCrop>false</ScaleCrop>
  <Company/>
  <LinksUpToDate>false</LinksUpToDate>
  <CharactersWithSpaces>26384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Ljubisa Motika</dc:creator>
  <cp:keywords/>
  <dc:description/>
  <cp:lastModifiedBy>Ljubisa Motika</cp:lastModifiedBy>
  <cp:revision>4</cp:revision>
  <dcterms:created xsi:type="dcterms:W3CDTF">2026-06-09T08:31:00Z</dcterms:created>
  <dcterms:modified xsi:type="dcterms:W3CDTF">2026-06-09T08:33:00Z</dcterms:modified>
</cp:coreProperties>
</file>