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numPr>
          <w:ilvl w:val="0"/>
          <w:numId w:val="0"/>
        </w:numPr>
        <w:spacing w:before="71" w:after="0"/>
        <w:ind w:left="0" w:hanging="0"/>
        <w:jc w:val="center"/>
        <w:outlineLvl w:val="1"/>
        <w:rPr/>
      </w:pPr>
      <w:r>
        <w:rPr/>
      </w:r>
      <w:bookmarkStart w:id="0" w:name="_GoBack"/>
      <w:bookmarkStart w:id="1" w:name="_Toc39666945"/>
      <w:bookmarkStart w:id="2" w:name="_Toc29479783"/>
      <w:bookmarkStart w:id="3" w:name="_GoBack"/>
      <w:bookmarkStart w:id="4" w:name="_Toc39666945"/>
      <w:bookmarkStart w:id="5" w:name="_Toc29479783"/>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3540" w:hanging="0"/>
        <w:jc w:val="right"/>
        <w:outlineLvl w:val="1"/>
        <w:rPr>
          <w:rFonts w:ascii="Arial" w:hAnsi="Arial" w:eastAsia="Verdana" w:cs="Arial"/>
          <w:b/>
          <w:b/>
          <w:bCs/>
          <w:w w:val="95"/>
          <w:sz w:val="24"/>
          <w:szCs w:val="24"/>
          <w:highlight w:val="yellow"/>
          <w:lang w:val="hr-BA"/>
        </w:rPr>
      </w:pPr>
      <w:bookmarkStart w:id="6" w:name="_Toc39666945"/>
      <w:bookmarkStart w:id="7" w:name="_Toc29479783"/>
      <w:bookmarkStart w:id="8" w:name="_Toc67566929"/>
      <w:bookmarkStart w:id="9" w:name="_Toc64459476"/>
      <w:r>
        <w:rPr>
          <w:rFonts w:eastAsia="Verdana" w:cs="Arial" w:ascii="Arial" w:hAnsi="Arial"/>
          <w:b/>
          <w:bCs/>
          <w:w w:val="95"/>
          <w:sz w:val="24"/>
          <w:szCs w:val="24"/>
          <w:highlight w:val="yellow"/>
          <w:lang w:val="hr-BA"/>
        </w:rPr>
        <w:t>Godišnji program rada</w:t>
      </w:r>
      <w:bookmarkEnd w:id="6"/>
      <w:bookmarkEnd w:id="7"/>
      <w:bookmarkEnd w:id="8"/>
      <w:bookmarkEnd w:id="9"/>
      <w:r>
        <w:rPr>
          <w:rFonts w:eastAsia="Verdana" w:cs="Arial" w:ascii="Arial" w:hAnsi="Arial"/>
          <w:b/>
          <w:bCs/>
          <w:w w:val="95"/>
          <w:sz w:val="24"/>
          <w:szCs w:val="24"/>
          <w:highlight w:val="yellow"/>
          <w:lang w:val="hr-BA"/>
        </w:rPr>
        <w:t xml:space="preserve"> </w:t>
      </w:r>
    </w:p>
    <w:p>
      <w:pPr>
        <w:pStyle w:val="Normal"/>
        <w:widowControl w:val="false"/>
        <w:numPr>
          <w:ilvl w:val="0"/>
          <w:numId w:val="0"/>
        </w:numPr>
        <w:spacing w:before="71" w:after="0"/>
        <w:ind w:left="3540" w:hanging="0"/>
        <w:jc w:val="right"/>
        <w:outlineLvl w:val="1"/>
        <w:rPr>
          <w:rFonts w:ascii="Arial" w:hAnsi="Arial" w:eastAsia="Verdana" w:cs="Arial"/>
          <w:b/>
          <w:b/>
          <w:bCs/>
          <w:w w:val="95"/>
          <w:sz w:val="24"/>
          <w:szCs w:val="24"/>
          <w:highlight w:val="yellow"/>
          <w:lang w:val="hr-BA"/>
        </w:rPr>
      </w:pPr>
      <w:bookmarkStart w:id="10" w:name="_Toc67566930"/>
      <w:r>
        <w:rPr>
          <w:rFonts w:eastAsia="Verdana" w:cs="Arial" w:ascii="Arial" w:hAnsi="Arial"/>
          <w:b/>
          <w:bCs/>
          <w:w w:val="95"/>
          <w:sz w:val="24"/>
          <w:szCs w:val="24"/>
          <w:highlight w:val="yellow"/>
          <w:lang w:val="hr-BA"/>
        </w:rPr>
        <w:t>OPĆINSKOG SUDA U ČAPLJINI</w:t>
      </w:r>
      <w:bookmarkEnd w:id="10"/>
      <w:r>
        <w:rPr>
          <w:rFonts w:eastAsia="Verdana" w:cs="Arial" w:ascii="Arial" w:hAnsi="Arial"/>
          <w:b/>
          <w:bCs/>
          <w:w w:val="95"/>
          <w:sz w:val="24"/>
          <w:szCs w:val="24"/>
          <w:highlight w:val="yellow"/>
          <w:lang w:val="hr-BA"/>
        </w:rPr>
        <w:t xml:space="preserve"> </w:t>
      </w:r>
    </w:p>
    <w:p>
      <w:pPr>
        <w:pStyle w:val="Normal"/>
        <w:widowControl w:val="false"/>
        <w:numPr>
          <w:ilvl w:val="0"/>
          <w:numId w:val="0"/>
        </w:numPr>
        <w:spacing w:before="71" w:after="0"/>
        <w:ind w:left="3540" w:hanging="0"/>
        <w:jc w:val="right"/>
        <w:outlineLvl w:val="1"/>
        <w:rPr>
          <w:rFonts w:ascii="Arial" w:hAnsi="Arial" w:eastAsia="Verdana" w:cs="Arial"/>
          <w:b/>
          <w:b/>
          <w:bCs/>
          <w:w w:val="95"/>
          <w:sz w:val="24"/>
          <w:szCs w:val="24"/>
          <w:lang w:val="hr-BA"/>
        </w:rPr>
      </w:pPr>
      <w:bookmarkStart w:id="11" w:name="_Toc67566931"/>
      <w:r>
        <w:rPr>
          <w:rFonts w:eastAsia="Verdana" w:cs="Arial" w:ascii="Arial" w:hAnsi="Arial"/>
          <w:b/>
          <w:bCs/>
          <w:w w:val="95"/>
          <w:sz w:val="24"/>
          <w:szCs w:val="24"/>
          <w:highlight w:val="yellow"/>
          <w:lang w:val="hr-BA"/>
        </w:rPr>
        <w:t>2021 –</w:t>
      </w:r>
      <w:bookmarkEnd w:id="11"/>
      <w:r>
        <w:rPr>
          <w:rFonts w:eastAsia="Verdana" w:cs="Arial" w:ascii="Arial" w:hAnsi="Arial"/>
          <w:b/>
          <w:bCs/>
          <w:w w:val="95"/>
          <w:sz w:val="24"/>
          <w:szCs w:val="24"/>
          <w:highlight w:val="yellow"/>
          <w:lang w:val="hr-BA"/>
        </w:rPr>
        <w:t xml:space="preserve">2023 </w:t>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bookmarkStart w:id="12" w:name="_Toc67566932"/>
      <w:r>
        <w:rPr>
          <w:rFonts w:eastAsia="Verdana" w:cs="Arial" w:ascii="Arial" w:hAnsi="Arial"/>
          <w:b/>
          <w:bCs/>
          <w:w w:val="95"/>
          <w:sz w:val="24"/>
          <w:szCs w:val="24"/>
          <w:highlight w:val="yellow"/>
          <w:lang w:val="hr-BA"/>
        </w:rPr>
        <w:t>Općinski sud u Čapljini, mart/ožujak 2021. godine</w:t>
      </w:r>
      <w:bookmarkEnd w:id="12"/>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jc w:val="center"/>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sdt>
      <w:sdtPr>
        <w:docPartObj>
          <w:docPartGallery w:val="Table of Contents"/>
          <w:docPartUnique w:val="true"/>
        </w:docPartObj>
      </w:sdtPr>
      <w:sdtContent>
        <w:p>
          <w:pPr>
            <w:pStyle w:val="TOCHeading"/>
            <w:rPr>
              <w:rFonts w:ascii="Arial" w:hAnsi="Arial" w:cs="Arial"/>
              <w:color w:val="auto"/>
              <w:sz w:val="24"/>
              <w:szCs w:val="24"/>
              <w:lang w:val="hr-BA"/>
            </w:rPr>
          </w:pPr>
          <w:r>
            <w:rPr>
              <w:rFonts w:cs="Arial" w:ascii="Arial" w:hAnsi="Arial"/>
              <w:color w:val="auto"/>
              <w:sz w:val="24"/>
              <w:szCs w:val="24"/>
              <w:lang w:val="hr-BA"/>
            </w:rPr>
            <w:t>SADRAŽAJ</w:t>
          </w:r>
        </w:p>
        <w:p>
          <w:pPr>
            <w:pStyle w:val="Normal"/>
            <w:rPr>
              <w:rFonts w:ascii="Arial" w:hAnsi="Arial" w:cs="Arial"/>
              <w:sz w:val="24"/>
              <w:szCs w:val="24"/>
              <w:lang w:val="hr-BA"/>
            </w:rPr>
          </w:pPr>
          <w:r>
            <w:rPr>
              <w:rFonts w:cs="Arial" w:ascii="Arial" w:hAnsi="Arial"/>
              <w:sz w:val="24"/>
              <w:szCs w:val="24"/>
              <w:lang w:val="hr-BA"/>
            </w:rPr>
          </w:r>
        </w:p>
        <w:p>
          <w:pPr>
            <w:pStyle w:val="Normal"/>
            <w:rPr>
              <w:rFonts w:ascii="Arial" w:hAnsi="Arial" w:cs="Arial"/>
              <w:sz w:val="24"/>
              <w:szCs w:val="24"/>
              <w:lang w:val="hr-BA"/>
            </w:rPr>
          </w:pPr>
          <w:r>
            <w:rPr>
              <w:rFonts w:cs="Arial" w:ascii="Arial" w:hAnsi="Arial"/>
              <w:sz w:val="24"/>
              <w:szCs w:val="24"/>
              <w:lang w:val="hr-BA"/>
            </w:rPr>
          </w:r>
        </w:p>
        <w:p>
          <w:pPr>
            <w:pStyle w:val="Normal"/>
            <w:rPr>
              <w:rFonts w:ascii="Arial" w:hAnsi="Arial" w:cs="Arial"/>
              <w:sz w:val="24"/>
              <w:szCs w:val="24"/>
              <w:lang w:val="hr-BA"/>
            </w:rPr>
          </w:pPr>
          <w:r>
            <w:rPr>
              <w:rFonts w:cs="Arial" w:ascii="Arial" w:hAnsi="Arial"/>
              <w:sz w:val="24"/>
              <w:szCs w:val="24"/>
              <w:lang w:val="hr-BA"/>
            </w:rPr>
            <w:t>A. Uvod ………………………………………………………...3</w:t>
          </w:r>
        </w:p>
        <w:p>
          <w:pPr>
            <w:pStyle w:val="Normal"/>
            <w:rPr>
              <w:rFonts w:ascii="Arial" w:hAnsi="Arial" w:cs="Arial"/>
              <w:sz w:val="24"/>
              <w:szCs w:val="24"/>
              <w:lang w:val="hr-BA"/>
            </w:rPr>
          </w:pPr>
          <w:r>
            <w:rPr>
              <w:rFonts w:cs="Arial" w:ascii="Arial" w:hAnsi="Arial"/>
              <w:sz w:val="24"/>
              <w:szCs w:val="24"/>
              <w:lang w:val="hr-BA"/>
            </w:rPr>
          </w:r>
        </w:p>
        <w:p>
          <w:pPr>
            <w:pStyle w:val="Normal"/>
            <w:rPr>
              <w:rFonts w:ascii="Arial" w:hAnsi="Arial" w:cs="Arial"/>
              <w:sz w:val="24"/>
              <w:szCs w:val="24"/>
              <w:lang w:val="hr-BA"/>
            </w:rPr>
          </w:pPr>
          <w:r>
            <w:rPr>
              <w:rFonts w:cs="Arial" w:ascii="Arial" w:hAnsi="Arial"/>
              <w:sz w:val="24"/>
              <w:szCs w:val="24"/>
              <w:lang w:val="hr-BA"/>
            </w:rPr>
            <w:t>1) Mandat, misija i vizija rada suda.....................................4</w:t>
          </w:r>
        </w:p>
        <w:p>
          <w:pPr>
            <w:pStyle w:val="Normal"/>
            <w:rPr>
              <w:rFonts w:ascii="Arial" w:hAnsi="Arial" w:cs="Arial"/>
              <w:sz w:val="24"/>
              <w:szCs w:val="24"/>
              <w:lang w:val="hr-BA"/>
            </w:rPr>
          </w:pPr>
          <w:r>
            <w:rPr>
              <w:rFonts w:cs="Arial" w:ascii="Arial" w:hAnsi="Arial"/>
              <w:sz w:val="24"/>
              <w:szCs w:val="24"/>
              <w:lang w:val="hr-BA"/>
            </w:rPr>
          </w:r>
        </w:p>
        <w:p>
          <w:pPr>
            <w:pStyle w:val="Normal"/>
            <w:rPr>
              <w:rFonts w:ascii="Arial" w:hAnsi="Arial" w:cs="Arial"/>
              <w:sz w:val="24"/>
              <w:szCs w:val="24"/>
              <w:lang w:val="hr-BA"/>
            </w:rPr>
          </w:pPr>
          <w:r>
            <w:rPr>
              <w:rFonts w:cs="Arial" w:ascii="Arial" w:hAnsi="Arial"/>
              <w:sz w:val="24"/>
              <w:szCs w:val="24"/>
              <w:lang w:val="hr-BA"/>
            </w:rPr>
            <w:t>2) Sažetak analize strateškog okvira ............................................................................................6</w:t>
          </w:r>
        </w:p>
        <w:p>
          <w:pPr>
            <w:pStyle w:val="Normal"/>
            <w:rPr>
              <w:rFonts w:ascii="Arial" w:hAnsi="Arial" w:cs="Arial"/>
              <w:sz w:val="24"/>
              <w:szCs w:val="24"/>
              <w:lang w:val="hr-BA"/>
            </w:rPr>
          </w:pPr>
          <w:r>
            <w:rPr>
              <w:rFonts w:cs="Arial" w:ascii="Arial" w:hAnsi="Arial"/>
              <w:sz w:val="24"/>
              <w:szCs w:val="24"/>
              <w:lang w:val="hr-BA"/>
            </w:rPr>
          </w:r>
        </w:p>
        <w:p>
          <w:pPr>
            <w:pStyle w:val="Normal"/>
            <w:rPr>
              <w:rFonts w:ascii="Arial" w:hAnsi="Arial" w:cs="Arial"/>
              <w:sz w:val="24"/>
              <w:szCs w:val="24"/>
              <w:lang w:val="hr-BA"/>
            </w:rPr>
          </w:pPr>
          <w:r>
            <w:rPr>
              <w:rFonts w:cs="Arial" w:ascii="Arial" w:hAnsi="Arial"/>
              <w:sz w:val="24"/>
              <w:szCs w:val="24"/>
              <w:lang w:val="hr-BA"/>
            </w:rPr>
            <w:t xml:space="preserve">3) Sažetak prioriteta za plansku godinu, kao i procjene mogućih problema i rizika </w:t>
          </w:r>
        </w:p>
        <w:p>
          <w:pPr>
            <w:pStyle w:val="Normal"/>
            <w:rPr>
              <w:rFonts w:ascii="Arial" w:hAnsi="Arial" w:cs="Arial"/>
              <w:sz w:val="24"/>
              <w:szCs w:val="24"/>
              <w:lang w:val="hr-BA"/>
            </w:rPr>
          </w:pPr>
          <w:r>
            <w:rPr>
              <w:rFonts w:cs="Arial" w:ascii="Arial" w:hAnsi="Arial"/>
              <w:sz w:val="24"/>
              <w:szCs w:val="24"/>
              <w:lang w:val="hr-BA"/>
            </w:rPr>
            <w:t xml:space="preserve">    </w:t>
          </w:r>
          <w:r>
            <w:rPr>
              <w:rFonts w:cs="Arial" w:ascii="Arial" w:hAnsi="Arial"/>
              <w:sz w:val="24"/>
              <w:szCs w:val="24"/>
              <w:lang w:val="hr-BA"/>
            </w:rPr>
            <w:t xml:space="preserve">u realizaciji......................................................................7 </w:t>
          </w:r>
        </w:p>
        <w:p>
          <w:pPr>
            <w:pStyle w:val="Contents2"/>
            <w:tabs>
              <w:tab w:val="clear" w:pos="708"/>
              <w:tab w:val="right" w:pos="9062" w:leader="dot"/>
            </w:tabs>
            <w:rPr>
              <w:rFonts w:ascii="Arial" w:hAnsi="Arial" w:eastAsia="" w:cs="Arial" w:eastAsiaTheme="minorEastAsia"/>
              <w:sz w:val="24"/>
              <w:szCs w:val="24"/>
              <w:lang w:val="hr-BA" w:eastAsia="bs-BA"/>
            </w:rPr>
          </w:pPr>
          <w:r>
            <w:fldChar w:fldCharType="begin"/>
          </w:r>
          <w:r>
            <w:rPr>
              <w:sz w:val="24"/>
              <w:szCs w:val="24"/>
              <w:rFonts w:eastAsia="" w:cs="Arial" w:ascii="Arial" w:hAnsi="Arial"/>
            </w:rPr>
            <w:instrText> TOC \z \o "1-3" \u \h</w:instrText>
          </w:r>
          <w:r>
            <w:rPr>
              <w:sz w:val="24"/>
              <w:szCs w:val="24"/>
              <w:rFonts w:eastAsia="" w:cs="Arial" w:ascii="Arial" w:hAnsi="Arial"/>
            </w:rPr>
            <w:fldChar w:fldCharType="separate"/>
          </w:r>
          <w:r>
            <w:rPr>
              <w:rFonts w:eastAsia="" w:cs="Arial" w:eastAsiaTheme="minorEastAsia" w:ascii="Arial" w:hAnsi="Arial"/>
              <w:sz w:val="24"/>
              <w:szCs w:val="24"/>
              <w:lang w:val="hr-BA" w:eastAsia="bs-BA"/>
            </w:rPr>
          </w:r>
          <w:r>
            <w:rPr>
              <w:sz w:val="24"/>
              <w:szCs w:val="24"/>
              <w:rFonts w:eastAsia="" w:cs="Arial" w:ascii="Arial" w:hAnsi="Arial"/>
            </w:rPr>
            <w:fldChar w:fldCharType="end"/>
          </w:r>
        </w:p>
      </w:sdtContent>
    </w:sdt>
    <w:p>
      <w:pPr>
        <w:pStyle w:val="Contents3"/>
        <w:tabs>
          <w:tab w:val="clear" w:pos="708"/>
          <w:tab w:val="left" w:pos="880" w:leader="none"/>
          <w:tab w:val="right" w:pos="9062" w:leader="dot"/>
        </w:tabs>
        <w:rPr>
          <w:rFonts w:ascii="Arial" w:hAnsi="Arial" w:eastAsia="" w:cs="Arial" w:eastAsiaTheme="minorEastAsia"/>
          <w:sz w:val="24"/>
          <w:szCs w:val="24"/>
          <w:lang w:val="hr-BA" w:eastAsia="bs-BA"/>
        </w:rPr>
      </w:pPr>
      <w:hyperlink w:anchor="_Toc67566978">
        <w:r>
          <w:rPr>
            <w:rStyle w:val="IndexLink"/>
            <w:rFonts w:eastAsia="Times New Roman" w:cs="Arial" w:ascii="Arial" w:hAnsi="Arial"/>
            <w:color w:val="auto"/>
            <w:w w:val="95"/>
            <w:sz w:val="24"/>
            <w:szCs w:val="24"/>
            <w:lang w:val="hr-BA"/>
          </w:rPr>
          <w:t>B. Pregled strateških ciljeva suda............................................</w:t>
        </w:r>
      </w:hyperlink>
      <w:r>
        <w:rPr>
          <w:rFonts w:cs="Arial" w:ascii="Arial" w:hAnsi="Arial"/>
          <w:sz w:val="24"/>
          <w:szCs w:val="24"/>
          <w:lang w:val="hr-BA"/>
        </w:rPr>
        <w:t>........................................</w:t>
      </w:r>
      <w:r>
        <w:rPr>
          <w:rFonts w:eastAsia="" w:cs="Arial" w:ascii="Arial" w:hAnsi="Arial" w:eastAsiaTheme="minorEastAsia"/>
          <w:sz w:val="24"/>
          <w:szCs w:val="24"/>
          <w:lang w:val="hr-BA" w:eastAsia="bs-BA"/>
        </w:rPr>
        <w:t>11</w:t>
      </w:r>
    </w:p>
    <w:p>
      <w:pPr>
        <w:pStyle w:val="Contents3"/>
        <w:tabs>
          <w:tab w:val="clear" w:pos="708"/>
          <w:tab w:val="left" w:pos="880" w:leader="none"/>
          <w:tab w:val="right" w:pos="9062" w:leader="dot"/>
        </w:tabs>
        <w:rPr>
          <w:rFonts w:ascii="Arial" w:hAnsi="Arial" w:cs="Arial"/>
          <w:sz w:val="24"/>
          <w:szCs w:val="24"/>
          <w:lang w:val="hr-BA"/>
        </w:rPr>
      </w:pPr>
      <w:hyperlink w:anchor="_Toc67566979">
        <w:r>
          <w:rPr>
            <w:rStyle w:val="IndexLink"/>
            <w:rFonts w:eastAsia="Times New Roman" w:cs="Arial" w:ascii="Arial" w:hAnsi="Arial"/>
            <w:color w:val="auto"/>
            <w:w w:val="95"/>
            <w:sz w:val="24"/>
            <w:szCs w:val="24"/>
            <w:lang w:val="hr-BA"/>
          </w:rPr>
          <w:t>C. Trogodišnji ciljevi i aktivnosti po strateškim ciljevima......</w:t>
        </w:r>
      </w:hyperlink>
      <w:r>
        <w:rPr>
          <w:rFonts w:cs="Arial" w:ascii="Arial" w:hAnsi="Arial"/>
          <w:sz w:val="24"/>
          <w:szCs w:val="24"/>
          <w:lang w:val="hr-BA"/>
        </w:rPr>
        <w:t xml:space="preserve">................................................ ………………12 </w:t>
      </w:r>
    </w:p>
    <w:p>
      <w:pPr>
        <w:pStyle w:val="Contents3"/>
        <w:tabs>
          <w:tab w:val="clear" w:pos="708"/>
          <w:tab w:val="left" w:pos="880" w:leader="none"/>
          <w:tab w:val="right" w:pos="9062" w:leader="dot"/>
        </w:tabs>
        <w:rPr>
          <w:rFonts w:ascii="Arial" w:hAnsi="Arial" w:eastAsia="" w:cs="Arial" w:eastAsiaTheme="minorEastAsia"/>
          <w:sz w:val="24"/>
          <w:szCs w:val="24"/>
          <w:lang w:val="hr-BA" w:eastAsia="bs-BA"/>
        </w:rPr>
      </w:pPr>
      <w:hyperlink w:anchor="_Toc67566981">
        <w:r>
          <w:rPr>
            <w:rStyle w:val="IndexLink"/>
            <w:rFonts w:eastAsia="Times New Roman" w:cs="Arial" w:ascii="Arial" w:hAnsi="Arial"/>
            <w:color w:val="auto"/>
            <w:w w:val="95"/>
            <w:sz w:val="24"/>
            <w:szCs w:val="24"/>
            <w:lang w:val="hr-BA"/>
          </w:rPr>
          <w:t>D. Godišnji plan rješavanja sudskih predmeta...........................................................</w:t>
        </w:r>
      </w:hyperlink>
      <w:r>
        <w:rPr>
          <w:rFonts w:cs="Arial" w:ascii="Arial" w:hAnsi="Arial"/>
          <w:sz w:val="24"/>
          <w:szCs w:val="24"/>
          <w:lang w:val="hr-BA"/>
        </w:rPr>
        <w:t>...................18</w:t>
      </w:r>
      <w:r>
        <w:rPr>
          <w:rFonts w:eastAsia="" w:cs="Arial" w:ascii="Arial" w:hAnsi="Arial" w:eastAsiaTheme="minorEastAsia"/>
          <w:sz w:val="24"/>
          <w:szCs w:val="24"/>
          <w:lang w:val="hr-BA" w:eastAsia="bs-BA"/>
        </w:rPr>
        <w:t xml:space="preserve"> </w:t>
      </w:r>
    </w:p>
    <w:p>
      <w:pPr>
        <w:pStyle w:val="Normal"/>
        <w:rPr>
          <w:rFonts w:ascii="Arial" w:hAnsi="Arial" w:cs="Arial"/>
          <w:sz w:val="24"/>
          <w:szCs w:val="24"/>
          <w:lang w:val="hr-BA"/>
        </w:rPr>
      </w:pPr>
      <w:r>
        <w:rPr>
          <w:rFonts w:cs="Arial" w:ascii="Arial" w:hAnsi="Arial"/>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rPr/>
      </w:pPr>
      <w:r>
        <w:rPr/>
      </w:r>
      <w:bookmarkStart w:id="13" w:name="_Toc39666946"/>
      <w:bookmarkStart w:id="14" w:name="_Toc29479784"/>
      <w:bookmarkStart w:id="15" w:name="_Toc39666946"/>
      <w:bookmarkStart w:id="16" w:name="_Toc29479784"/>
      <w:r>
        <w:br w:type="page"/>
      </w:r>
    </w:p>
    <w:p>
      <w:pPr>
        <w:pStyle w:val="ListParagraph"/>
        <w:keepNext w:val="true"/>
        <w:keepLines/>
        <w:numPr>
          <w:ilvl w:val="0"/>
          <w:numId w:val="3"/>
        </w:numPr>
        <w:spacing w:before="40" w:after="0"/>
        <w:contextualSpacing/>
        <w:outlineLvl w:val="2"/>
        <w:rPr>
          <w:rFonts w:ascii="Arial" w:hAnsi="Arial" w:eastAsia="Times New Roman" w:cs="Arial"/>
          <w:b/>
          <w:b/>
          <w:bCs/>
          <w:w w:val="95"/>
          <w:sz w:val="28"/>
          <w:szCs w:val="28"/>
          <w:lang w:val="hr-HR"/>
        </w:rPr>
      </w:pPr>
      <w:bookmarkStart w:id="17" w:name="_Toc39666946"/>
      <w:bookmarkStart w:id="18" w:name="_Toc29479784"/>
      <w:bookmarkStart w:id="19" w:name="_Toc67566933"/>
      <w:r>
        <w:rPr>
          <w:rFonts w:eastAsia="Times New Roman" w:cs="Arial" w:ascii="Arial" w:hAnsi="Arial"/>
          <w:b/>
          <w:bCs/>
          <w:w w:val="95"/>
          <w:sz w:val="28"/>
          <w:szCs w:val="28"/>
          <w:lang w:val="hr-HR"/>
        </w:rPr>
        <w:t>Uvod</w:t>
      </w:r>
      <w:bookmarkEnd w:id="17"/>
      <w:bookmarkEnd w:id="18"/>
      <w:bookmarkEnd w:id="19"/>
    </w:p>
    <w:p>
      <w:pPr>
        <w:pStyle w:val="Normal"/>
        <w:keepNext w:val="true"/>
        <w:keepLines/>
        <w:numPr>
          <w:ilvl w:val="0"/>
          <w:numId w:val="0"/>
        </w:numPr>
        <w:spacing w:before="40" w:after="0"/>
        <w:ind w:left="284"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284" w:hanging="0"/>
        <w:jc w:val="both"/>
        <w:outlineLvl w:val="2"/>
        <w:rPr>
          <w:rFonts w:ascii="Arial" w:hAnsi="Arial" w:eastAsia="Times New Roman" w:cs="Arial"/>
          <w:w w:val="95"/>
          <w:sz w:val="24"/>
          <w:szCs w:val="24"/>
          <w:lang w:val="hr-BA"/>
        </w:rPr>
      </w:pPr>
      <w:bookmarkStart w:id="20" w:name="_Toc67566934"/>
      <w:r>
        <w:rPr>
          <w:rFonts w:eastAsia="Times New Roman" w:cs="Arial" w:ascii="Arial" w:hAnsi="Arial"/>
          <w:w w:val="95"/>
          <w:sz w:val="24"/>
          <w:szCs w:val="24"/>
          <w:lang w:val="hr-BA"/>
        </w:rPr>
        <w:t>Na temelju Uputstva za strateško planiranje i izvještavanje u sudovima u Bosni i Hercegovini, a koje je Visoko sudsko i tužiteljsko vijeće usvojilo na sjednici održanoj dana 12.05.2020.godine, Općinski sud u Čapljini pristupio je izradi strateškog plana kao jednog dokumenta koji će poslužiti kao mehanizam koji će omogućiti kvalitetno i kontinuirano  funkcioniranje rada suda. Ključni okvir za izradu strateškog programa je analiza trenutačne situacije u sudu pregledom ljudskih, tehničkih i materijalnih resursa, te načina praćenja i ostvarenje provođenja programa i postignutih rezultata.</w:t>
      </w:r>
      <w:bookmarkEnd w:id="20"/>
    </w:p>
    <w:p>
      <w:pPr>
        <w:pStyle w:val="Normal"/>
        <w:keepNext w:val="true"/>
        <w:keepLines/>
        <w:numPr>
          <w:ilvl w:val="0"/>
          <w:numId w:val="0"/>
        </w:numPr>
        <w:spacing w:before="40" w:after="0"/>
        <w:ind w:left="284" w:hanging="0"/>
        <w:jc w:val="both"/>
        <w:outlineLvl w:val="2"/>
        <w:rPr>
          <w:rFonts w:ascii="Arial" w:hAnsi="Arial" w:eastAsia="Times New Roman" w:cs="Arial"/>
          <w:w w:val="95"/>
          <w:sz w:val="24"/>
          <w:szCs w:val="24"/>
          <w:lang w:val="hr-BA"/>
        </w:rPr>
      </w:pPr>
      <w:bookmarkStart w:id="21" w:name="_Toc67566935"/>
      <w:r>
        <w:rPr>
          <w:rFonts w:eastAsia="Times New Roman" w:cs="Arial" w:ascii="Arial" w:hAnsi="Arial"/>
          <w:w w:val="95"/>
          <w:sz w:val="24"/>
          <w:szCs w:val="24"/>
          <w:lang w:val="hr-BA"/>
        </w:rPr>
        <w:t>Svrha ovog plana je da se sagleda realno stanje suda, na temelju čega će se identificirati  prioritetni zadaci za čiju realizaciju će se utvrditi slijed aktivnosti koje će doprinijeti ostvarenju zadataka u planiranim rokovima.</w:t>
      </w:r>
      <w:bookmarkEnd w:id="21"/>
    </w:p>
    <w:p>
      <w:pPr>
        <w:pStyle w:val="Normal"/>
        <w:keepNext w:val="true"/>
        <w:keepLines/>
        <w:numPr>
          <w:ilvl w:val="0"/>
          <w:numId w:val="0"/>
        </w:numPr>
        <w:spacing w:before="40" w:after="0"/>
        <w:ind w:left="284" w:hanging="0"/>
        <w:jc w:val="both"/>
        <w:outlineLvl w:val="2"/>
        <w:rPr>
          <w:rFonts w:ascii="Arial" w:hAnsi="Arial" w:eastAsia="Times New Roman" w:cs="Arial"/>
          <w:w w:val="95"/>
          <w:sz w:val="24"/>
          <w:szCs w:val="24"/>
          <w:lang w:val="hr-BA"/>
        </w:rPr>
      </w:pPr>
      <w:bookmarkStart w:id="22" w:name="_Toc67566936"/>
      <w:r>
        <w:rPr>
          <w:rFonts w:eastAsia="Times New Roman" w:cs="Arial" w:ascii="Arial" w:hAnsi="Arial"/>
          <w:w w:val="95"/>
          <w:sz w:val="24"/>
          <w:szCs w:val="24"/>
          <w:lang w:val="hr-BA"/>
        </w:rPr>
        <w:t>Kako bi se pristupilo izradi Strateškog plana predsjednica suda je donijela Odluka broj 53-0-Su-21-000234 od 04.03.2021.godine, kojom je imenovana radna grupa koja će sudjelovati u izradi Strateškog plana, a koja će identificirati probleme, utvrditi prioritete i značajne ciljeve radi ostvarenja strateškog programa na godišnjem i trogodišnjem periodu.</w:t>
      </w:r>
      <w:bookmarkEnd w:id="22"/>
    </w:p>
    <w:p>
      <w:pPr>
        <w:pStyle w:val="Normal"/>
        <w:keepNext w:val="true"/>
        <w:keepLines/>
        <w:numPr>
          <w:ilvl w:val="0"/>
          <w:numId w:val="0"/>
        </w:numPr>
        <w:spacing w:before="40" w:after="0"/>
        <w:ind w:left="284" w:hanging="0"/>
        <w:jc w:val="both"/>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284" w:hanging="0"/>
        <w:jc w:val="both"/>
        <w:outlineLvl w:val="2"/>
        <w:rPr>
          <w:rFonts w:ascii="Arial" w:hAnsi="Arial" w:eastAsia="Times New Roman" w:cs="Arial"/>
          <w:w w:val="95"/>
          <w:sz w:val="24"/>
          <w:szCs w:val="24"/>
          <w:lang w:val="hr-BA"/>
        </w:rPr>
      </w:pPr>
      <w:bookmarkStart w:id="23" w:name="_Toc67566937"/>
      <w:r>
        <w:rPr>
          <w:rFonts w:eastAsia="Times New Roman" w:cs="Arial" w:ascii="Arial" w:hAnsi="Arial"/>
          <w:w w:val="95"/>
          <w:sz w:val="24"/>
          <w:szCs w:val="24"/>
          <w:lang w:val="hr-BA"/>
        </w:rPr>
        <w:t>Na ovaj način svi ljudski resursi usmjerit će se na zajednički utvrđene prioritete, čime će se unaprijediti timski rad i radni proces svih zaposlenih na ostvarivanju utvrđenih ciljeva, što će u konačnici rezultirati većom efikasnošću pravosudnih tijela, sa ciljem boljeg pružanja usluga i zadovoljenja potreba građana što će doprinijeti povjerenju te pravovremenom i jednakom pristupu pravdi.</w:t>
      </w:r>
      <w:bookmarkEnd w:id="23"/>
      <w:r>
        <w:rPr>
          <w:rFonts w:eastAsia="Times New Roman" w:cs="Arial" w:ascii="Arial" w:hAnsi="Arial"/>
          <w:w w:val="95"/>
          <w:sz w:val="24"/>
          <w:szCs w:val="24"/>
          <w:lang w:val="hr-BA"/>
        </w:rPr>
        <w:t xml:space="preserve"> </w:t>
      </w:r>
    </w:p>
    <w:p>
      <w:pPr>
        <w:pStyle w:val="Normal"/>
        <w:keepNext w:val="true"/>
        <w:keepLines/>
        <w:numPr>
          <w:ilvl w:val="0"/>
          <w:numId w:val="0"/>
        </w:numPr>
        <w:spacing w:before="40" w:after="0"/>
        <w:ind w:left="360" w:hanging="0"/>
        <w:jc w:val="both"/>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jc w:val="both"/>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jc w:val="both"/>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jc w:val="both"/>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keepNext w:val="true"/>
        <w:keepLines/>
        <w:numPr>
          <w:ilvl w:val="0"/>
          <w:numId w:val="0"/>
        </w:numPr>
        <w:spacing w:before="40" w:after="0"/>
        <w:ind w:left="720" w:hanging="0"/>
        <w:outlineLvl w:val="2"/>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Heading1"/>
        <w:rPr>
          <w:rFonts w:eastAsia="Verdana"/>
          <w:color w:val="auto"/>
          <w:w w:val="95"/>
          <w:sz w:val="24"/>
          <w:szCs w:val="24"/>
          <w:lang w:val="hr-BA"/>
        </w:rPr>
      </w:pPr>
      <w:bookmarkStart w:id="24" w:name="_Toc67566938"/>
      <w:r>
        <w:rPr>
          <w:rFonts w:eastAsia="Calibri" w:cs="Arial" w:ascii="Arial" w:hAnsi="Arial"/>
          <w:color w:val="auto"/>
          <w:w w:val="95"/>
          <w:lang w:val="hr-HR"/>
        </w:rPr>
        <w:t>1) Opis nadležnosti suda, s vizijom i izjavom o misiji. Mandat, misija i vizija</w:t>
      </w:r>
      <w:r>
        <w:rPr>
          <w:rFonts w:eastAsia="Times New Roman" w:cs="Arial" w:ascii="Arial" w:hAnsi="Arial"/>
          <w:color w:val="auto"/>
          <w:w w:val="95"/>
          <w:sz w:val="22"/>
          <w:szCs w:val="22"/>
          <w:lang w:val="hr-BA"/>
        </w:rPr>
        <w:t xml:space="preserve"> </w:t>
      </w:r>
      <w:bookmarkEnd w:id="24"/>
    </w:p>
    <w:p>
      <w:pPr>
        <w:pStyle w:val="Normal"/>
        <w:numPr>
          <w:ilvl w:val="0"/>
          <w:numId w:val="0"/>
        </w:numPr>
        <w:shd w:val="clear" w:color="auto" w:fill="FFFFFF"/>
        <w:spacing w:lineRule="auto" w:line="276"/>
        <w:ind w:left="284" w:right="146" w:hanging="0"/>
        <w:jc w:val="both"/>
        <w:outlineLvl w:val="1"/>
        <w:rPr/>
      </w:pPr>
      <w:r>
        <w:rPr/>
      </w:r>
      <w:bookmarkStart w:id="25" w:name="_Toc67566939"/>
      <w:bookmarkStart w:id="26" w:name="_Toc67566939"/>
    </w:p>
    <w:p>
      <w:pPr>
        <w:pStyle w:val="Normal"/>
        <w:numPr>
          <w:ilvl w:val="0"/>
          <w:numId w:val="0"/>
        </w:numPr>
        <w:shd w:val="clear" w:color="auto" w:fill="FFFFFF"/>
        <w:spacing w:lineRule="auto" w:line="276"/>
        <w:ind w:left="284" w:right="146" w:hanging="0"/>
        <w:jc w:val="both"/>
        <w:outlineLvl w:val="1"/>
        <w:rPr>
          <w:rFonts w:ascii="Arial" w:hAnsi="Arial" w:eastAsia="Calibri" w:cs="Arial"/>
          <w:b/>
          <w:b/>
          <w:w w:val="95"/>
          <w:sz w:val="24"/>
          <w:szCs w:val="24"/>
          <w:lang w:val="hr-BA"/>
        </w:rPr>
      </w:pPr>
      <w:bookmarkStart w:id="27" w:name="_Toc67566939"/>
      <w:r>
        <w:rPr>
          <w:rFonts w:eastAsia="Calibri" w:cs="Arial" w:ascii="Arial" w:hAnsi="Arial"/>
          <w:b/>
          <w:w w:val="95"/>
          <w:sz w:val="24"/>
          <w:szCs w:val="24"/>
          <w:lang w:val="hr-BA"/>
        </w:rPr>
        <w:t>MANDAT SUDA</w:t>
      </w:r>
      <w:bookmarkEnd w:id="27"/>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28" w:name="_Toc67566940"/>
      <w:r>
        <w:rPr>
          <w:rFonts w:eastAsia="Calibri" w:cs="Arial" w:ascii="Arial" w:hAnsi="Arial"/>
          <w:w w:val="95"/>
          <w:sz w:val="24"/>
          <w:szCs w:val="24"/>
          <w:lang w:val="hr-BA"/>
        </w:rPr>
        <w:t>Općinski sud u Čapljini osnovan je Zakonom o sudovima FBiH  godine za područja općina Čapljina, Stolac, Neum i Ravno. Sud je  počeo  sa radom 01.03.2004.godine. Sjedište suda je u Čapljini.</w:t>
      </w:r>
      <w:bookmarkEnd w:id="28"/>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29" w:name="_Toc67566941"/>
      <w:r>
        <w:rPr>
          <w:rFonts w:eastAsia="Calibri" w:cs="Arial" w:ascii="Arial" w:hAnsi="Arial"/>
          <w:w w:val="95"/>
          <w:sz w:val="24"/>
          <w:szCs w:val="24"/>
          <w:lang w:val="hr-BA"/>
        </w:rPr>
        <w:t>Sud je nadležan:</w:t>
      </w:r>
      <w:bookmarkEnd w:id="29"/>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0" w:name="_Toc67566942"/>
      <w:r>
        <w:rPr>
          <w:rFonts w:eastAsia="Calibri" w:cs="Arial" w:ascii="Arial" w:hAnsi="Arial"/>
          <w:w w:val="95"/>
          <w:sz w:val="24"/>
          <w:szCs w:val="24"/>
          <w:lang w:val="hr-BA"/>
        </w:rPr>
        <w:t>U kaznenim predmetima:</w:t>
      </w:r>
      <w:bookmarkEnd w:id="30"/>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1" w:name="_Toc67566943"/>
      <w:r>
        <w:rPr>
          <w:rFonts w:eastAsia="Calibri" w:cs="Arial" w:ascii="Arial" w:hAnsi="Arial"/>
          <w:w w:val="95"/>
          <w:sz w:val="24"/>
          <w:szCs w:val="24"/>
          <w:lang w:val="hr-BA"/>
        </w:rPr>
        <w:t>a) da u prvom stupnju sudi:- za kaznena djela za koja je zakonom propisana kao glavna kazna novčana kazna ili kazna zatvora do 10 godina, ako posebnim zakonom nije određena nadležnost drugog suda</w:t>
      </w:r>
      <w:bookmarkEnd w:id="31"/>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2" w:name="_Toc67566944"/>
      <w:r>
        <w:rPr>
          <w:rFonts w:eastAsia="Calibri" w:cs="Arial" w:ascii="Arial" w:hAnsi="Arial"/>
          <w:w w:val="95"/>
          <w:sz w:val="24"/>
          <w:szCs w:val="24"/>
          <w:lang w:val="hr-BA"/>
        </w:rPr>
        <w:t>-za kaznena djela za koja je posebnim zakonom određena nadležnost općinskog suda,</w:t>
      </w:r>
      <w:bookmarkEnd w:id="32"/>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3" w:name="_Toc67566945"/>
      <w:r>
        <w:rPr>
          <w:rFonts w:eastAsia="Calibri" w:cs="Arial" w:ascii="Arial" w:hAnsi="Arial"/>
          <w:w w:val="95"/>
          <w:sz w:val="24"/>
          <w:szCs w:val="24"/>
          <w:lang w:val="hr-BA"/>
        </w:rPr>
        <w:t>-za kaznena djela za koja je sud Bosne i Hercegovine prenio nadležnost na općinski sud,</w:t>
      </w:r>
      <w:bookmarkEnd w:id="33"/>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4" w:name="_Toc67566946"/>
      <w:r>
        <w:rPr>
          <w:rFonts w:eastAsia="Calibri" w:cs="Arial" w:ascii="Arial" w:hAnsi="Arial"/>
          <w:w w:val="95"/>
          <w:sz w:val="24"/>
          <w:szCs w:val="24"/>
          <w:lang w:val="hr-BA"/>
        </w:rPr>
        <w:t>-u svim kaznenim postupcima protiv malodobnika,</w:t>
      </w:r>
      <w:bookmarkEnd w:id="34"/>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5" w:name="_Toc67566947"/>
      <w:r>
        <w:rPr>
          <w:rFonts w:eastAsia="Calibri" w:cs="Arial" w:ascii="Arial" w:hAnsi="Arial"/>
          <w:w w:val="95"/>
          <w:sz w:val="24"/>
          <w:szCs w:val="24"/>
          <w:lang w:val="hr-BA"/>
        </w:rPr>
        <w:t>b) da postupa tijekom istrage i nakon podizanja optužnice u skladu sa zakonom;</w:t>
      </w:r>
      <w:bookmarkEnd w:id="35"/>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6" w:name="_Toc67566948"/>
      <w:r>
        <w:rPr>
          <w:rFonts w:eastAsia="Calibri" w:cs="Arial" w:ascii="Arial" w:hAnsi="Arial"/>
          <w:w w:val="95"/>
          <w:sz w:val="24"/>
          <w:szCs w:val="24"/>
          <w:lang w:val="hr-BA"/>
        </w:rPr>
        <w:t>c) da odlučuje o vanrednim pravnim lijekovima kad je to zakonom predviđeno;</w:t>
      </w:r>
      <w:bookmarkEnd w:id="36"/>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7" w:name="_Toc67566949"/>
      <w:r>
        <w:rPr>
          <w:rFonts w:eastAsia="Calibri" w:cs="Arial" w:ascii="Arial" w:hAnsi="Arial"/>
          <w:w w:val="95"/>
          <w:sz w:val="24"/>
          <w:szCs w:val="24"/>
          <w:lang w:val="hr-BA"/>
        </w:rPr>
        <w:t>d) da odlučuje o brisanju osude i prestanku mjera sigurnosti i pravnih posljedica osude, na temelju sudske odluke i</w:t>
      </w:r>
      <w:bookmarkEnd w:id="37"/>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8" w:name="_Toc67566950"/>
      <w:r>
        <w:rPr>
          <w:rFonts w:eastAsia="Calibri" w:cs="Arial" w:ascii="Arial" w:hAnsi="Arial"/>
          <w:w w:val="95"/>
          <w:sz w:val="24"/>
          <w:szCs w:val="24"/>
          <w:lang w:val="hr-BA"/>
        </w:rPr>
        <w:t>e) da postupa po molbama za pomilovanje u skladu sa zakonom.</w:t>
      </w:r>
      <w:bookmarkEnd w:id="38"/>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39" w:name="_Toc67566951"/>
      <w:r>
        <w:rPr>
          <w:rFonts w:eastAsia="Calibri" w:cs="Arial" w:ascii="Arial" w:hAnsi="Arial"/>
          <w:w w:val="95"/>
          <w:sz w:val="24"/>
          <w:szCs w:val="24"/>
          <w:lang w:val="hr-BA"/>
        </w:rPr>
        <w:t>U građanskim predmetima da u prvom stupnju sudi:</w:t>
      </w:r>
      <w:bookmarkEnd w:id="39"/>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0" w:name="_Toc67566952"/>
      <w:r>
        <w:rPr>
          <w:rFonts w:eastAsia="Calibri" w:cs="Arial" w:ascii="Arial" w:hAnsi="Arial"/>
          <w:w w:val="95"/>
          <w:sz w:val="24"/>
          <w:szCs w:val="24"/>
          <w:lang w:val="hr-BA"/>
        </w:rPr>
        <w:t>a) u svim građanskim sporovima i</w:t>
      </w:r>
      <w:bookmarkEnd w:id="40"/>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1" w:name="_Toc67566953"/>
      <w:r>
        <w:rPr>
          <w:rFonts w:eastAsia="Calibri" w:cs="Arial" w:ascii="Arial" w:hAnsi="Arial"/>
          <w:w w:val="95"/>
          <w:sz w:val="24"/>
          <w:szCs w:val="24"/>
          <w:lang w:val="hr-BA"/>
        </w:rPr>
        <w:t>b) u vanparničnom postupku.</w:t>
      </w:r>
      <w:bookmarkEnd w:id="41"/>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2" w:name="_Toc67566954"/>
      <w:r>
        <w:rPr>
          <w:rFonts w:eastAsia="Calibri" w:cs="Arial" w:ascii="Arial" w:hAnsi="Arial"/>
          <w:w w:val="95"/>
          <w:sz w:val="24"/>
          <w:szCs w:val="24"/>
          <w:lang w:val="hr-BA"/>
        </w:rPr>
        <w:t>U prekršajnim predmetima da u prvom stupnju sudi:</w:t>
      </w:r>
      <w:bookmarkEnd w:id="42"/>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3" w:name="_Toc67566955"/>
      <w:r>
        <w:rPr>
          <w:rFonts w:eastAsia="Calibri" w:cs="Arial" w:ascii="Arial" w:hAnsi="Arial"/>
          <w:w w:val="95"/>
          <w:sz w:val="24"/>
          <w:szCs w:val="24"/>
          <w:lang w:val="hr-BA"/>
        </w:rPr>
        <w:t>a) u svim prekršajnim predmetima  i</w:t>
      </w:r>
      <w:bookmarkEnd w:id="43"/>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4" w:name="_Toc67566956"/>
      <w:r>
        <w:rPr>
          <w:rFonts w:eastAsia="Calibri" w:cs="Arial" w:ascii="Arial" w:hAnsi="Arial"/>
          <w:w w:val="95"/>
          <w:sz w:val="24"/>
          <w:szCs w:val="24"/>
          <w:lang w:val="hr-BA"/>
        </w:rPr>
        <w:t>b) odlučuje o zahtjevima za ponavljanje prekršajnog postupka</w:t>
      </w:r>
      <w:bookmarkEnd w:id="44"/>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5" w:name="_Toc67566957"/>
      <w:r>
        <w:rPr>
          <w:rFonts w:eastAsia="Calibri" w:cs="Arial" w:ascii="Arial" w:hAnsi="Arial"/>
          <w:w w:val="95"/>
          <w:sz w:val="24"/>
          <w:szCs w:val="24"/>
          <w:lang w:val="hr-BA"/>
        </w:rPr>
        <w:t>U drugim predmetima:</w:t>
      </w:r>
      <w:bookmarkEnd w:id="45"/>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6" w:name="_Toc67566958"/>
      <w:r>
        <w:rPr>
          <w:rFonts w:eastAsia="Calibri" w:cs="Arial" w:ascii="Arial" w:hAnsi="Arial"/>
          <w:w w:val="95"/>
          <w:sz w:val="24"/>
          <w:szCs w:val="24"/>
          <w:lang w:val="hr-BA"/>
        </w:rPr>
        <w:t>a) da vodi izvršni postupak, ako zakonom nije drugačije određeno;</w:t>
      </w:r>
      <w:bookmarkEnd w:id="46"/>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7" w:name="_Toc67566959"/>
      <w:r>
        <w:rPr>
          <w:rFonts w:eastAsia="Calibri" w:cs="Arial" w:ascii="Arial" w:hAnsi="Arial"/>
          <w:w w:val="95"/>
          <w:sz w:val="24"/>
          <w:szCs w:val="24"/>
          <w:lang w:val="hr-BA"/>
        </w:rPr>
        <w:t>b) da određuje mjere osiguranja, ako zakonom nije drugačije određeno;</w:t>
      </w:r>
      <w:bookmarkEnd w:id="47"/>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8" w:name="_Toc67566960"/>
      <w:r>
        <w:rPr>
          <w:rFonts w:eastAsia="Calibri" w:cs="Arial" w:ascii="Arial" w:hAnsi="Arial"/>
          <w:w w:val="95"/>
          <w:sz w:val="24"/>
          <w:szCs w:val="24"/>
          <w:lang w:val="hr-BA"/>
        </w:rPr>
        <w:t>c) da rješava u posebnim postupcima, ako zakonom nije drugačije određeno;</w:t>
      </w:r>
      <w:bookmarkEnd w:id="48"/>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49" w:name="_Toc67566961"/>
      <w:r>
        <w:rPr>
          <w:rFonts w:eastAsia="Calibri" w:cs="Arial" w:ascii="Arial" w:hAnsi="Arial"/>
          <w:w w:val="95"/>
          <w:sz w:val="24"/>
          <w:szCs w:val="24"/>
          <w:lang w:val="hr-BA"/>
        </w:rPr>
        <w:t>d) da obavlja zemljišno knjižne poslove u skladu sa zakonom;</w:t>
      </w:r>
      <w:bookmarkEnd w:id="49"/>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50" w:name="_Toc67566962"/>
      <w:r>
        <w:rPr>
          <w:rFonts w:eastAsia="Calibri" w:cs="Arial" w:ascii="Arial" w:hAnsi="Arial"/>
          <w:w w:val="95"/>
          <w:sz w:val="24"/>
          <w:szCs w:val="24"/>
          <w:lang w:val="hr-BA"/>
        </w:rPr>
        <w:t>e) da pruža pravnu pomoć sudovima u BiH;</w:t>
      </w:r>
      <w:bookmarkEnd w:id="50"/>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51" w:name="_Toc67566963"/>
      <w:r>
        <w:rPr>
          <w:rFonts w:eastAsia="Calibri" w:cs="Arial" w:ascii="Arial" w:hAnsi="Arial"/>
          <w:w w:val="95"/>
          <w:sz w:val="24"/>
          <w:szCs w:val="24"/>
          <w:lang w:val="hr-BA"/>
        </w:rPr>
        <w:t>f) da vrši poslove međunarodne pravne pomoći, ako zakonom nije određeno da neke od tih poslova vrši županijski sud</w:t>
      </w:r>
      <w:bookmarkEnd w:id="51"/>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52" w:name="_Toc67566964"/>
      <w:r>
        <w:rPr>
          <w:rFonts w:eastAsia="Calibri" w:cs="Arial" w:ascii="Arial" w:hAnsi="Arial"/>
          <w:w w:val="95"/>
          <w:sz w:val="24"/>
          <w:szCs w:val="24"/>
          <w:lang w:val="hr-BA"/>
        </w:rPr>
        <w:t>g) da vrši druge poslove određene zakonom</w:t>
      </w:r>
      <w:bookmarkEnd w:id="52"/>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b/>
          <w:b/>
          <w:w w:val="95"/>
          <w:sz w:val="24"/>
          <w:szCs w:val="24"/>
          <w:lang w:val="hr-BA"/>
        </w:rPr>
      </w:pPr>
      <w:bookmarkStart w:id="53" w:name="_Toc67566965"/>
      <w:r>
        <w:rPr>
          <w:rFonts w:eastAsia="Calibri" w:cs="Arial" w:ascii="Arial" w:hAnsi="Arial"/>
          <w:b/>
          <w:w w:val="95"/>
          <w:sz w:val="24"/>
          <w:szCs w:val="24"/>
          <w:lang w:val="hr-BA"/>
        </w:rPr>
        <w:t>MISIJA  SUDA</w:t>
      </w:r>
      <w:bookmarkEnd w:id="53"/>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54" w:name="_Toc67566966"/>
      <w:r>
        <w:rPr>
          <w:rFonts w:eastAsia="Calibri" w:cs="Arial" w:ascii="Arial" w:hAnsi="Arial"/>
          <w:w w:val="95"/>
          <w:sz w:val="24"/>
          <w:szCs w:val="24"/>
          <w:lang w:val="hr-BA"/>
        </w:rPr>
        <w:t>Općinski sud u Čapljini u okviru svoje nadležnosti služi građanima sa područja općina za koje je osnovan, kao  i javnosti, omogućava jednak pristup svih građana u sud, kao i jednakost svih građana pred sudom te da kroz stručnost, efikasnost, pravičnost i nezavisnost u radu osigurava transparentnost rada po svim referatima, poštujući dignitet stranaka i njihova prava</w:t>
      </w:r>
      <w:bookmarkEnd w:id="54"/>
      <w:r>
        <w:rPr>
          <w:rFonts w:eastAsia="Calibri" w:cs="Arial" w:ascii="Arial" w:hAnsi="Arial"/>
          <w:w w:val="95"/>
          <w:sz w:val="24"/>
          <w:szCs w:val="24"/>
          <w:lang w:val="hr-BA"/>
        </w:rPr>
        <w:t>.</w:t>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pPr>
      <w:r>
        <w:rPr/>
      </w:r>
      <w:bookmarkStart w:id="55" w:name="_Toc67566967"/>
      <w:bookmarkStart w:id="56" w:name="_Toc67566967"/>
    </w:p>
    <w:p>
      <w:pPr>
        <w:pStyle w:val="Normal"/>
        <w:numPr>
          <w:ilvl w:val="0"/>
          <w:numId w:val="0"/>
        </w:numPr>
        <w:shd w:val="clear" w:color="auto" w:fill="FFFFFF"/>
        <w:spacing w:lineRule="auto" w:line="276"/>
        <w:ind w:left="284" w:right="146" w:hanging="0"/>
        <w:jc w:val="both"/>
        <w:outlineLvl w:val="1"/>
        <w:rPr>
          <w:rFonts w:ascii="Arial" w:hAnsi="Arial" w:eastAsia="Calibri" w:cs="Arial"/>
          <w:b/>
          <w:b/>
          <w:w w:val="95"/>
          <w:sz w:val="24"/>
          <w:szCs w:val="24"/>
          <w:lang w:val="hr-BA"/>
        </w:rPr>
      </w:pPr>
      <w:bookmarkStart w:id="57" w:name="_Toc67566967"/>
      <w:r>
        <w:rPr>
          <w:rFonts w:eastAsia="Calibri" w:cs="Arial" w:ascii="Arial" w:hAnsi="Arial"/>
          <w:b/>
          <w:w w:val="95"/>
          <w:sz w:val="24"/>
          <w:szCs w:val="24"/>
          <w:lang w:val="hr-BA"/>
        </w:rPr>
        <w:t>VIZIJA SUDA</w:t>
      </w:r>
      <w:bookmarkEnd w:id="57"/>
      <w:r>
        <w:rPr>
          <w:rFonts w:eastAsia="Calibri" w:cs="Arial" w:ascii="Arial" w:hAnsi="Arial"/>
          <w:b/>
          <w:w w:val="95"/>
          <w:sz w:val="24"/>
          <w:szCs w:val="24"/>
          <w:lang w:val="hr-BA"/>
        </w:rPr>
        <w:t xml:space="preserve"> </w:t>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bookmarkStart w:id="58" w:name="_Toc67566968"/>
      <w:r>
        <w:rPr>
          <w:rFonts w:eastAsia="Calibri" w:cs="Arial" w:ascii="Arial" w:hAnsi="Arial"/>
          <w:w w:val="95"/>
          <w:sz w:val="24"/>
          <w:szCs w:val="24"/>
          <w:lang w:val="hr-BA"/>
        </w:rPr>
        <w:t>Općinski suda u Čapljini će kao nezavisna i samostalna institucija da nastavi svojim zakonitim i transparentnim radom uz stalno doprinošenje učvršćivanju vladavine prava i povjerenja građana, kao i ostvarenju veće sigurnosti  građana u javnost rada sud</w:t>
      </w:r>
      <w:bookmarkEnd w:id="58"/>
      <w:r>
        <w:rPr>
          <w:rFonts w:eastAsia="Calibri" w:cs="Arial" w:ascii="Arial" w:hAnsi="Arial"/>
          <w:w w:val="95"/>
          <w:sz w:val="24"/>
          <w:szCs w:val="24"/>
          <w:lang w:val="hr-BA"/>
        </w:rPr>
        <w:t>.</w:t>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Normal"/>
        <w:numPr>
          <w:ilvl w:val="0"/>
          <w:numId w:val="0"/>
        </w:numPr>
        <w:shd w:val="clear" w:color="auto" w:fill="FFFFFF"/>
        <w:spacing w:lineRule="auto" w:line="276"/>
        <w:ind w:left="284"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1095"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142" w:right="146" w:hanging="0"/>
        <w:jc w:val="both"/>
        <w:rPr>
          <w:rFonts w:ascii="Arial" w:hAnsi="Arial" w:eastAsia="Calibri" w:cs="Arial"/>
          <w:b/>
          <w:b/>
          <w:bCs/>
          <w:w w:val="95"/>
          <w:sz w:val="28"/>
          <w:szCs w:val="28"/>
          <w:lang w:val="hr-HR"/>
        </w:rPr>
      </w:pPr>
      <w:r>
        <w:rPr>
          <w:rFonts w:eastAsia="Calibri" w:cs="Arial" w:ascii="Arial" w:hAnsi="Arial"/>
          <w:b/>
          <w:bCs/>
          <w:w w:val="95"/>
          <w:sz w:val="28"/>
          <w:szCs w:val="28"/>
          <w:lang w:val="hr-HR"/>
        </w:rPr>
        <w:t xml:space="preserve">2) Sažetak analize strateškog okvira </w:t>
      </w:r>
    </w:p>
    <w:p>
      <w:pPr>
        <w:pStyle w:val="ListParagraph"/>
        <w:shd w:val="clear" w:color="auto" w:fill="FFFFFF"/>
        <w:spacing w:lineRule="auto" w:line="276"/>
        <w:ind w:left="142" w:right="146" w:hanging="0"/>
        <w:rPr>
          <w:rFonts w:ascii="Arial" w:hAnsi="Arial" w:eastAsia="Calibri" w:cs="Arial"/>
          <w:w w:val="95"/>
          <w:sz w:val="24"/>
          <w:szCs w:val="24"/>
          <w:lang w:val="hr-BA"/>
        </w:rPr>
      </w:pPr>
      <w:r>
        <w:rPr>
          <w:rFonts w:eastAsia="Calibri" w:cs="Arial" w:ascii="Arial" w:hAnsi="Arial"/>
          <w:w w:val="95"/>
          <w:sz w:val="24"/>
          <w:szCs w:val="24"/>
          <w:lang w:val="hr-BA"/>
        </w:rPr>
        <w:t>Pored postojećeg ustavnog i zakonskog okvira i nadležnosti propisanih za općinske sudove u FBiH, u okviru reformskih procesa pred Općinski sud u Čapljini su se postavili zadaci i obveze čije ispunjenje ima bitnu ulogu u učvršćivanju vladavine prava.</w:t>
      </w:r>
    </w:p>
    <w:p>
      <w:pPr>
        <w:pStyle w:val="ListParagraph"/>
        <w:shd w:val="clear" w:color="auto" w:fill="FFFFFF"/>
        <w:spacing w:lineRule="auto" w:line="276"/>
        <w:ind w:left="142" w:right="146" w:hanging="0"/>
        <w:rPr>
          <w:rFonts w:ascii="Arial" w:hAnsi="Arial" w:eastAsia="Calibri" w:cs="Arial"/>
          <w:w w:val="95"/>
          <w:sz w:val="24"/>
          <w:szCs w:val="24"/>
          <w:lang w:val="hr-BA"/>
        </w:rPr>
      </w:pPr>
      <w:r>
        <w:rPr>
          <w:rFonts w:eastAsia="Calibri" w:cs="Arial" w:ascii="Arial" w:hAnsi="Arial"/>
          <w:w w:val="95"/>
          <w:sz w:val="24"/>
          <w:szCs w:val="24"/>
          <w:lang w:val="hr-BA"/>
        </w:rPr>
        <w:t>Radi se o važnim razvojnim i strateškim dokumentima koji sadrže strategije određenih sektora u BiH i FBiH i međunarodni sporazumi. Navedeni dokumenti su:</w:t>
      </w:r>
    </w:p>
    <w:p>
      <w:pPr>
        <w:pStyle w:val="ListParagraph"/>
        <w:shd w:val="clear" w:color="auto" w:fill="FFFFFF"/>
        <w:spacing w:lineRule="auto" w:line="276"/>
        <w:ind w:left="1095"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5"/>
        </w:numPr>
        <w:shd w:val="clear" w:color="auto" w:fill="FFFFFF"/>
        <w:spacing w:lineRule="auto" w:line="276"/>
        <w:ind w:left="869" w:right="146" w:hanging="360"/>
        <w:jc w:val="both"/>
        <w:outlineLvl w:val="1"/>
        <w:rPr>
          <w:rFonts w:ascii="Arial" w:hAnsi="Arial" w:eastAsia="Calibri" w:cs="Arial"/>
          <w:w w:val="95"/>
          <w:sz w:val="24"/>
          <w:szCs w:val="24"/>
          <w:lang w:val="hr-BA"/>
        </w:rPr>
      </w:pPr>
      <w:bookmarkStart w:id="59" w:name="_Toc67566969"/>
      <w:r>
        <w:rPr>
          <w:rFonts w:eastAsia="Calibri" w:cs="Arial" w:ascii="Arial" w:hAnsi="Arial"/>
          <w:w w:val="95"/>
          <w:sz w:val="24"/>
          <w:szCs w:val="24"/>
          <w:lang w:val="hr-BA"/>
        </w:rPr>
        <w:t>Ustav Bosne i Hercegovine</w:t>
      </w:r>
      <w:bookmarkEnd w:id="59"/>
    </w:p>
    <w:p>
      <w:pPr>
        <w:pStyle w:val="ListParagraph"/>
        <w:numPr>
          <w:ilvl w:val="0"/>
          <w:numId w:val="0"/>
        </w:numPr>
        <w:shd w:val="clear" w:color="auto" w:fill="FFFFFF"/>
        <w:spacing w:lineRule="auto" w:line="276"/>
        <w:ind w:left="869"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5"/>
        </w:numPr>
        <w:shd w:val="clear" w:color="auto" w:fill="FFFFFF"/>
        <w:spacing w:lineRule="auto" w:line="276"/>
        <w:ind w:left="869" w:right="146" w:hanging="360"/>
        <w:jc w:val="both"/>
        <w:outlineLvl w:val="1"/>
        <w:rPr>
          <w:rFonts w:ascii="Arial" w:hAnsi="Arial" w:eastAsia="Calibri" w:cs="Arial"/>
          <w:w w:val="95"/>
          <w:sz w:val="24"/>
          <w:szCs w:val="24"/>
          <w:lang w:val="hr-BA"/>
        </w:rPr>
      </w:pPr>
      <w:bookmarkStart w:id="60" w:name="_Toc67566970"/>
      <w:r>
        <w:rPr>
          <w:rFonts w:eastAsia="Calibri" w:cs="Arial" w:ascii="Arial" w:hAnsi="Arial"/>
          <w:w w:val="95"/>
          <w:sz w:val="24"/>
          <w:szCs w:val="24"/>
          <w:lang w:val="hr-BA"/>
        </w:rPr>
        <w:t>Ustav Federacije Bosne i Hercegovine</w:t>
      </w:r>
      <w:bookmarkEnd w:id="60"/>
    </w:p>
    <w:p>
      <w:pPr>
        <w:pStyle w:val="ListParagraph"/>
        <w:numPr>
          <w:ilvl w:val="0"/>
          <w:numId w:val="0"/>
        </w:numPr>
        <w:shd w:val="clear" w:color="auto" w:fill="FFFFFF"/>
        <w:spacing w:lineRule="auto" w:line="276"/>
        <w:ind w:left="869"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5"/>
        </w:numPr>
        <w:shd w:val="clear" w:color="auto" w:fill="FFFFFF"/>
        <w:spacing w:lineRule="auto" w:line="276"/>
        <w:ind w:left="869" w:right="146" w:hanging="360"/>
        <w:jc w:val="both"/>
        <w:outlineLvl w:val="1"/>
        <w:rPr>
          <w:rFonts w:ascii="Arial" w:hAnsi="Arial" w:eastAsia="Calibri" w:cs="Arial"/>
          <w:w w:val="95"/>
          <w:sz w:val="24"/>
          <w:szCs w:val="24"/>
          <w:lang w:val="hr-BA"/>
        </w:rPr>
      </w:pPr>
      <w:bookmarkStart w:id="61" w:name="_Toc67566971"/>
      <w:r>
        <w:rPr>
          <w:rFonts w:eastAsia="Calibri" w:cs="Arial" w:ascii="Arial" w:hAnsi="Arial"/>
          <w:w w:val="95"/>
          <w:sz w:val="24"/>
          <w:szCs w:val="24"/>
          <w:lang w:val="hr-BA"/>
        </w:rPr>
        <w:t>Zakon o Visokom sudskom i tužiteljskom vijeću Bosne i Hercegovine</w:t>
      </w:r>
      <w:bookmarkEnd w:id="61"/>
    </w:p>
    <w:p>
      <w:pPr>
        <w:pStyle w:val="ListParagrap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5"/>
        </w:numPr>
        <w:shd w:val="clear" w:color="auto" w:fill="FFFFFF"/>
        <w:spacing w:lineRule="auto" w:line="276"/>
        <w:ind w:left="869" w:right="146" w:hanging="360"/>
        <w:jc w:val="both"/>
        <w:outlineLvl w:val="1"/>
        <w:rPr>
          <w:rFonts w:ascii="Arial" w:hAnsi="Arial" w:eastAsia="Calibri" w:cs="Arial"/>
          <w:w w:val="95"/>
          <w:sz w:val="24"/>
          <w:szCs w:val="24"/>
          <w:lang w:val="hr-BA"/>
        </w:rPr>
      </w:pPr>
      <w:bookmarkStart w:id="62" w:name="_Toc67566972"/>
      <w:r>
        <w:rPr>
          <w:rFonts w:eastAsia="Calibri" w:cs="Arial" w:ascii="Arial" w:hAnsi="Arial"/>
          <w:w w:val="95"/>
          <w:sz w:val="24"/>
          <w:szCs w:val="24"/>
          <w:lang w:val="hr-BA"/>
        </w:rPr>
        <w:t>Zakon o sudovima Federacije BiH</w:t>
      </w:r>
      <w:bookmarkEnd w:id="62"/>
    </w:p>
    <w:p>
      <w:pPr>
        <w:pStyle w:val="ListParagraph"/>
        <w:numPr>
          <w:ilvl w:val="0"/>
          <w:numId w:val="0"/>
        </w:numPr>
        <w:shd w:val="clear" w:color="auto" w:fill="FFFFFF"/>
        <w:spacing w:lineRule="auto" w:line="276"/>
        <w:ind w:left="869"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5"/>
        </w:numPr>
        <w:shd w:val="clear" w:color="auto" w:fill="FFFFFF"/>
        <w:spacing w:lineRule="auto" w:line="276"/>
        <w:ind w:left="869" w:right="146" w:hanging="360"/>
        <w:jc w:val="both"/>
        <w:outlineLvl w:val="1"/>
        <w:rPr>
          <w:rFonts w:ascii="Arial" w:hAnsi="Arial" w:eastAsia="Calibri" w:cs="Arial"/>
          <w:w w:val="95"/>
          <w:sz w:val="24"/>
          <w:szCs w:val="24"/>
          <w:lang w:val="hr-BA"/>
        </w:rPr>
      </w:pPr>
      <w:bookmarkStart w:id="63" w:name="_Toc67566973"/>
      <w:r>
        <w:rPr>
          <w:rFonts w:eastAsia="Calibri" w:cs="Arial" w:ascii="Arial" w:hAnsi="Arial"/>
          <w:w w:val="95"/>
          <w:sz w:val="24"/>
          <w:szCs w:val="24"/>
          <w:lang w:val="hr-BA"/>
        </w:rPr>
        <w:t>Zakon o plaćama sudaca i tužitelja FBiH</w:t>
      </w:r>
      <w:bookmarkEnd w:id="63"/>
    </w:p>
    <w:p>
      <w:pPr>
        <w:pStyle w:val="ListParagraph"/>
        <w:numPr>
          <w:ilvl w:val="0"/>
          <w:numId w:val="0"/>
        </w:numPr>
        <w:shd w:val="clear" w:color="auto" w:fill="FFFFFF"/>
        <w:spacing w:lineRule="auto" w:line="276"/>
        <w:ind w:left="869"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5"/>
        </w:numPr>
        <w:shd w:val="clear" w:color="auto" w:fill="FFFFFF"/>
        <w:spacing w:lineRule="auto" w:line="276"/>
        <w:ind w:left="869" w:right="146" w:hanging="360"/>
        <w:jc w:val="both"/>
        <w:outlineLvl w:val="1"/>
        <w:rPr>
          <w:rFonts w:ascii="Arial" w:hAnsi="Arial" w:eastAsia="Calibri" w:cs="Arial"/>
          <w:w w:val="95"/>
          <w:sz w:val="24"/>
          <w:szCs w:val="24"/>
          <w:lang w:val="hr-BA"/>
        </w:rPr>
      </w:pPr>
      <w:bookmarkStart w:id="64" w:name="_Toc67566974"/>
      <w:r>
        <w:rPr>
          <w:rFonts w:eastAsia="Calibri" w:cs="Arial" w:ascii="Arial" w:hAnsi="Arial"/>
          <w:w w:val="95"/>
          <w:sz w:val="24"/>
          <w:szCs w:val="24"/>
          <w:lang w:val="hr-BA"/>
        </w:rPr>
        <w:t>Pravilnik o unutarnjem sudskom poslovanju VSTV-a</w:t>
      </w:r>
      <w:bookmarkEnd w:id="64"/>
    </w:p>
    <w:p>
      <w:pPr>
        <w:pStyle w:val="ListParagraph"/>
        <w:numPr>
          <w:ilvl w:val="0"/>
          <w:numId w:val="0"/>
        </w:numPr>
        <w:shd w:val="clear" w:color="auto" w:fill="FFFFFF"/>
        <w:spacing w:lineRule="auto" w:line="276"/>
        <w:ind w:left="869"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5"/>
        </w:numPr>
        <w:shd w:val="clear" w:color="auto" w:fill="FFFFFF"/>
        <w:spacing w:lineRule="auto" w:line="276"/>
        <w:ind w:left="869" w:right="146" w:hanging="360"/>
        <w:jc w:val="both"/>
        <w:outlineLvl w:val="1"/>
        <w:rPr>
          <w:rFonts w:ascii="Arial" w:hAnsi="Arial" w:eastAsia="Calibri" w:cs="Arial"/>
          <w:w w:val="95"/>
          <w:sz w:val="24"/>
          <w:szCs w:val="24"/>
          <w:lang w:val="hr-BA"/>
        </w:rPr>
      </w:pPr>
      <w:bookmarkStart w:id="65" w:name="_Toc67566975"/>
      <w:r>
        <w:rPr>
          <w:rFonts w:eastAsia="Calibri" w:cs="Arial" w:ascii="Arial" w:hAnsi="Arial"/>
          <w:w w:val="95"/>
          <w:sz w:val="24"/>
          <w:szCs w:val="24"/>
          <w:lang w:val="hr-BA"/>
        </w:rPr>
        <w:t>Pravilnik o sistemu za automatsko upravljanje predmetima</w:t>
      </w:r>
      <w:bookmarkEnd w:id="65"/>
    </w:p>
    <w:p>
      <w:pPr>
        <w:pStyle w:val="ListParagraph"/>
        <w:numPr>
          <w:ilvl w:val="0"/>
          <w:numId w:val="0"/>
        </w:numPr>
        <w:shd w:val="clear" w:color="auto" w:fill="FFFFFF"/>
        <w:spacing w:lineRule="auto" w:line="276"/>
        <w:ind w:left="869" w:right="146" w:hanging="0"/>
        <w:jc w:val="both"/>
        <w:outlineLvl w:val="1"/>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5"/>
        </w:numPr>
        <w:shd w:val="clear" w:color="auto" w:fill="FFFFFF"/>
        <w:spacing w:lineRule="auto" w:line="276"/>
        <w:ind w:left="869" w:right="146" w:hanging="360"/>
        <w:jc w:val="both"/>
        <w:outlineLvl w:val="1"/>
        <w:rPr>
          <w:rFonts w:ascii="Arial" w:hAnsi="Arial" w:eastAsia="Calibri" w:cs="Arial"/>
          <w:w w:val="95"/>
          <w:sz w:val="24"/>
          <w:szCs w:val="24"/>
          <w:lang w:val="hr-BA"/>
        </w:rPr>
      </w:pPr>
      <w:bookmarkStart w:id="66" w:name="_Toc67566976"/>
      <w:r>
        <w:rPr>
          <w:rFonts w:eastAsia="Calibri" w:cs="Arial" w:ascii="Arial" w:hAnsi="Arial"/>
          <w:w w:val="95"/>
          <w:sz w:val="24"/>
          <w:szCs w:val="24"/>
          <w:lang w:val="hr-BA"/>
        </w:rPr>
        <w:t>Strateški plan Visokog sudskog i tužiteljskog vijeća kao prvi hijerarhijski dokument u oblasti pravosuđa kojim su utvrđene prioritetne aktivnosti koje su usmjerene na povećanje efikasnosti, nepristrasnosti, samostalnosti i produktivnosti rada, zbog čega strateški planovi sudova moraju biti usklađeni sa Strateškim planom VSTV-a.</w:t>
      </w:r>
      <w:bookmarkEnd w:id="66"/>
      <w:r>
        <w:rPr>
          <w:rFonts w:eastAsia="Calibri" w:cs="Arial" w:ascii="Arial" w:hAnsi="Arial"/>
          <w:w w:val="95"/>
          <w:sz w:val="24"/>
          <w:szCs w:val="24"/>
          <w:lang w:val="hr-BA"/>
        </w:rPr>
        <w:t xml:space="preserve"> </w:t>
      </w:r>
    </w:p>
    <w:p>
      <w:pPr>
        <w:pStyle w:val="ListParagraph"/>
        <w:shd w:val="clear" w:color="auto" w:fill="FFFFFF"/>
        <w:spacing w:lineRule="auto" w:line="276"/>
        <w:ind w:left="64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5"/>
        </w:numPr>
        <w:shd w:val="clear" w:color="auto" w:fill="FFFFFF"/>
        <w:spacing w:lineRule="auto" w:line="276"/>
        <w:ind w:left="869" w:right="146" w:hanging="360"/>
        <w:jc w:val="both"/>
        <w:rPr>
          <w:rFonts w:ascii="Arial" w:hAnsi="Arial" w:eastAsia="Calibri" w:cs="Arial"/>
          <w:w w:val="95"/>
          <w:sz w:val="24"/>
          <w:szCs w:val="24"/>
          <w:lang w:val="hr-BA"/>
        </w:rPr>
      </w:pPr>
      <w:r>
        <w:rPr>
          <w:rFonts w:eastAsia="Calibri" w:cs="Arial" w:ascii="Arial" w:hAnsi="Arial"/>
          <w:w w:val="95"/>
          <w:sz w:val="24"/>
          <w:szCs w:val="24"/>
          <w:lang w:val="hr-BA"/>
        </w:rPr>
        <w:t xml:space="preserve">Strategija za reformu sektora pravde (SRSP) za period od 2014. do 2018.godine koja predviđa da svaka institucija uključujući i sudove u BiH, revidira svoje postojeće  strateške planove ili izradi nove čiji je cilj stvoriti zajednički reformski okvir za sektor pravde.    </w:t>
      </w:r>
    </w:p>
    <w:p>
      <w:pPr>
        <w:pStyle w:val="ListParagraph"/>
        <w:shd w:val="clear" w:color="auto" w:fill="FFFFFF"/>
        <w:spacing w:lineRule="auto" w:line="276"/>
        <w:ind w:left="644"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     </w:t>
      </w:r>
      <w:r>
        <w:rPr>
          <w:rFonts w:eastAsia="Calibri" w:cs="Arial" w:ascii="Arial" w:hAnsi="Arial"/>
          <w:w w:val="95"/>
          <w:sz w:val="24"/>
          <w:szCs w:val="24"/>
          <w:lang w:val="hr-BA"/>
        </w:rPr>
        <w:t>Sud će svoje ciljeve usuglašavati u skladu sa  Strategijom ukoliko se bude mijenjala.</w:t>
      </w:r>
    </w:p>
    <w:p>
      <w:pPr>
        <w:pStyle w:val="ListParagrap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numPr>
          <w:ilvl w:val="0"/>
          <w:numId w:val="4"/>
        </w:numPr>
        <w:shd w:val="clear" w:color="auto" w:fill="FFFFFF"/>
        <w:spacing w:lineRule="auto" w:line="276"/>
        <w:ind w:left="644" w:right="146" w:hanging="360"/>
        <w:jc w:val="both"/>
        <w:rPr>
          <w:rFonts w:ascii="Arial" w:hAnsi="Arial" w:eastAsia="Calibri" w:cs="Arial"/>
          <w:w w:val="95"/>
          <w:sz w:val="24"/>
          <w:szCs w:val="24"/>
          <w:lang w:val="hr-BA"/>
        </w:rPr>
      </w:pPr>
      <w:r>
        <w:rPr>
          <w:rFonts w:eastAsia="Calibri" w:cs="Arial" w:ascii="Arial" w:hAnsi="Arial"/>
          <w:w w:val="95"/>
          <w:sz w:val="24"/>
          <w:szCs w:val="24"/>
          <w:lang w:val="hr-BA"/>
        </w:rPr>
        <w:t xml:space="preserve">Izvješća stručnjaka o pitanjima vladavine prava u BiH ( Priebe izvješće).Izvješće potencira  vladavinu prava kao osnovnu pretpostavka koja omogućava građanima da uživaju svoja prava i slobode. </w:t>
      </w:r>
    </w:p>
    <w:p>
      <w:pPr>
        <w:pStyle w:val="ListParagraph"/>
        <w:shd w:val="clear" w:color="auto" w:fill="FFFFFF"/>
        <w:spacing w:lineRule="auto" w:line="276"/>
        <w:ind w:left="644" w:right="146" w:hanging="0"/>
        <w:jc w:val="both"/>
        <w:rPr>
          <w:rFonts w:ascii="Arial" w:hAnsi="Arial" w:eastAsia="Calibri" w:cs="Arial"/>
          <w:w w:val="95"/>
          <w:sz w:val="24"/>
          <w:szCs w:val="24"/>
          <w:lang w:val="hr-BA"/>
        </w:rPr>
      </w:pPr>
      <w:r>
        <w:rPr>
          <w:rFonts w:eastAsia="Calibri" w:cs="Arial" w:ascii="Arial" w:hAnsi="Arial"/>
          <w:w w:val="95"/>
          <w:sz w:val="24"/>
          <w:szCs w:val="24"/>
          <w:lang w:val="hr-BA"/>
        </w:rPr>
        <w:t>Temeljni naglasak Priebe izvješća je oblast vladavine prava, odnosno  rad pravosudnog sistema i prava građana na nezavisno, nepristrasno i odgovorno pravosuđe.</w:t>
      </w:r>
    </w:p>
    <w:p>
      <w:pPr>
        <w:pStyle w:val="ListParagraph"/>
        <w:numPr>
          <w:ilvl w:val="0"/>
          <w:numId w:val="6"/>
        </w:numPr>
        <w:shd w:val="clear" w:color="auto" w:fill="FFFFFF"/>
        <w:spacing w:lineRule="auto" w:line="276"/>
        <w:ind w:left="709" w:right="146" w:hanging="425"/>
        <w:jc w:val="both"/>
        <w:rPr>
          <w:rFonts w:ascii="Arial" w:hAnsi="Arial" w:eastAsia="Calibri" w:cs="Arial"/>
          <w:w w:val="95"/>
          <w:sz w:val="24"/>
          <w:szCs w:val="24"/>
          <w:lang w:val="hr-BA"/>
        </w:rPr>
      </w:pPr>
      <w:r>
        <w:rPr>
          <w:rFonts w:eastAsia="Calibri" w:cs="Arial" w:ascii="Arial" w:hAnsi="Arial"/>
          <w:w w:val="95"/>
          <w:sz w:val="24"/>
          <w:szCs w:val="24"/>
          <w:lang w:val="hr-BA"/>
        </w:rPr>
        <w:t>Strategija razvoja BiH kao niz utvrđenih ciljeva omogućava održivi razvoj BiH, a posebno ciljeve utvrđene u oblasti pravosuđa.</w:t>
      </w:r>
    </w:p>
    <w:p>
      <w:pPr>
        <w:pStyle w:val="ListParagraph"/>
        <w:numPr>
          <w:ilvl w:val="0"/>
          <w:numId w:val="6"/>
        </w:numPr>
        <w:shd w:val="clear" w:color="auto" w:fill="FFFFFF"/>
        <w:spacing w:lineRule="auto" w:line="276"/>
        <w:ind w:left="709" w:right="146" w:hanging="425"/>
        <w:jc w:val="both"/>
        <w:rPr>
          <w:rFonts w:ascii="Arial" w:hAnsi="Arial" w:eastAsia="Calibri" w:cs="Arial"/>
          <w:w w:val="95"/>
          <w:sz w:val="24"/>
          <w:szCs w:val="24"/>
          <w:lang w:val="hr-BA"/>
        </w:rPr>
      </w:pPr>
      <w:r>
        <w:rPr>
          <w:rFonts w:eastAsia="Calibri" w:cs="Arial" w:ascii="Arial" w:hAnsi="Arial"/>
          <w:w w:val="95"/>
          <w:sz w:val="24"/>
          <w:szCs w:val="24"/>
          <w:lang w:val="hr-BA"/>
        </w:rPr>
        <w:t>Strategija borbe protiv malodobničke delikvencije</w:t>
      </w:r>
    </w:p>
    <w:p>
      <w:pPr>
        <w:pStyle w:val="ListParagraph"/>
        <w:shd w:val="clear" w:color="auto" w:fill="FFFFFF"/>
        <w:spacing w:lineRule="auto" w:line="276"/>
        <w:ind w:left="64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b/>
          <w:bCs/>
          <w:w w:val="95"/>
          <w:sz w:val="28"/>
          <w:szCs w:val="28"/>
          <w:lang w:val="hr-HR"/>
        </w:rPr>
        <w:t>3) Sažetak prioriteta za plansku godinu, kao i procjene mogućih problema i rizika u realizaciji</w:t>
      </w:r>
      <w:r>
        <w:rPr>
          <w:rFonts w:eastAsia="Calibri"/>
        </w:rPr>
        <w:t xml:space="preserve"> </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      </w:t>
      </w:r>
      <w:r>
        <w:rPr>
          <w:rFonts w:eastAsia="Calibri" w:cs="Arial" w:ascii="Arial" w:hAnsi="Arial"/>
          <w:w w:val="95"/>
          <w:sz w:val="24"/>
          <w:szCs w:val="24"/>
          <w:lang w:val="hr-BA"/>
        </w:rPr>
        <w:t>1.POBOLJŠANJE  EFIKASNOST RADA SUDA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 </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       </w:t>
      </w:r>
      <w:r>
        <w:rPr>
          <w:rFonts w:eastAsia="Calibri" w:cs="Arial" w:ascii="Arial" w:hAnsi="Arial"/>
          <w:w w:val="95"/>
          <w:sz w:val="24"/>
          <w:szCs w:val="24"/>
          <w:lang w:val="hr-BA"/>
        </w:rPr>
        <w:t>2. POVEĆANJE TRANSPARENTNOSTI RADA SUDA</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       </w:t>
      </w:r>
      <w:r>
        <w:rPr>
          <w:rFonts w:eastAsia="Calibri" w:cs="Arial" w:ascii="Arial" w:hAnsi="Arial"/>
          <w:w w:val="95"/>
          <w:sz w:val="24"/>
          <w:szCs w:val="24"/>
          <w:lang w:val="hr-BA"/>
        </w:rPr>
        <w:t>3. KVALITET I EKONOMIČNOST RADA SUDA</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center"/>
        <w:rPr>
          <w:rFonts w:ascii="Arial" w:hAnsi="Arial" w:eastAsia="Calibri" w:cs="Arial"/>
          <w:i/>
          <w:i/>
          <w:w w:val="95"/>
          <w:sz w:val="24"/>
          <w:szCs w:val="24"/>
          <w:lang w:val="hr-BA"/>
        </w:rPr>
      </w:pPr>
      <w:r>
        <w:rPr>
          <w:rFonts w:eastAsia="Calibri" w:cs="Arial" w:ascii="Arial" w:hAnsi="Arial"/>
          <w:i/>
          <w:w w:val="95"/>
          <w:sz w:val="24"/>
          <w:szCs w:val="24"/>
          <w:lang w:val="hr-BA"/>
        </w:rPr>
        <w:t>Strateški cilj 1</w:t>
      </w:r>
    </w:p>
    <w:p>
      <w:pPr>
        <w:pStyle w:val="Normal"/>
        <w:shd w:val="clear" w:color="auto" w:fill="FFFFFF"/>
        <w:spacing w:lineRule="auto" w:line="276"/>
        <w:ind w:left="0" w:right="146" w:hanging="0"/>
        <w:jc w:val="center"/>
        <w:rPr>
          <w:rFonts w:ascii="Arial" w:hAnsi="Arial" w:eastAsia="Calibri" w:cs="Arial"/>
          <w:w w:val="95"/>
          <w:sz w:val="24"/>
          <w:szCs w:val="24"/>
          <w:lang w:val="hr-BA"/>
        </w:rPr>
      </w:pPr>
      <w:r>
        <w:rPr>
          <w:rFonts w:eastAsia="Calibri" w:cs="Arial" w:ascii="Arial" w:hAnsi="Arial"/>
          <w:w w:val="95"/>
          <w:sz w:val="24"/>
          <w:szCs w:val="24"/>
          <w:lang w:val="hr-BA"/>
        </w:rPr>
        <w:t>Efikasnost i efektivnost pravosudnih institucija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Navedeni cilj je predviđen Strategijom za reformu sektora pravde u BiH. </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Navedenim ciljem sud će nastojati da za period 2021-2023 godine smanji broj predmeta na referatima parničnog i izvršnog postupka.</w:t>
      </w:r>
    </w:p>
    <w:p>
      <w:pPr>
        <w:pStyle w:val="ListParagraph"/>
        <w:shd w:val="clear" w:color="auto" w:fill="FFFFFF"/>
        <w:spacing w:lineRule="auto" w:line="276"/>
        <w:ind w:left="0" w:right="146" w:hanging="0"/>
        <w:jc w:val="both"/>
        <w:rPr>
          <w:rFonts w:ascii="Arial" w:hAnsi="Arial" w:eastAsia="Calibri" w:cs="Arial"/>
          <w:i/>
          <w:i/>
          <w:w w:val="95"/>
          <w:sz w:val="24"/>
          <w:szCs w:val="24"/>
          <w:lang w:val="hr-BA"/>
        </w:rPr>
      </w:pPr>
      <w:r>
        <w:rPr>
          <w:rFonts w:eastAsia="Calibri" w:cs="Arial" w:ascii="Arial" w:hAnsi="Arial"/>
          <w:i/>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i/>
          <w:w w:val="95"/>
          <w:sz w:val="24"/>
          <w:szCs w:val="24"/>
          <w:lang w:val="hr-BA"/>
        </w:rPr>
        <w:t xml:space="preserve">Trogodišnji cilj: </w:t>
      </w:r>
      <w:r>
        <w:rPr>
          <w:rFonts w:eastAsia="Calibri" w:cs="Arial" w:ascii="Arial" w:hAnsi="Arial"/>
          <w:w w:val="95"/>
          <w:sz w:val="24"/>
          <w:szCs w:val="24"/>
          <w:lang w:val="hr-BA"/>
        </w:rPr>
        <w:t>1.1. POBOLJŠANJE  EFIKASNOST RADA SUDA  U RJEŠAVANJU IZVRŠNIH I PARNIČNIH PREDMETA</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Aktivnosti na postizanju trogodišnjeg strateškog cilja broj 1.</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  </w:t>
      </w:r>
      <w:r>
        <w:rPr>
          <w:rFonts w:eastAsia="Calibri" w:cs="Arial" w:ascii="Arial" w:hAnsi="Arial"/>
          <w:b/>
          <w:w w:val="95"/>
          <w:sz w:val="24"/>
          <w:szCs w:val="24"/>
          <w:lang w:val="hr-BA"/>
        </w:rPr>
        <w:t>1.1.1</w:t>
      </w:r>
      <w:r>
        <w:rPr>
          <w:rFonts w:eastAsia="Calibri" w:cs="Arial" w:ascii="Arial" w:hAnsi="Arial"/>
          <w:w w:val="95"/>
          <w:sz w:val="24"/>
          <w:szCs w:val="24"/>
          <w:lang w:val="hr-BA"/>
        </w:rPr>
        <w:t xml:space="preserve"> Unapređenje efikasnosti rješavanja izvršnih predmeta. Sud će poduzeti aktivnosti u cilju smanjenja nezavršenih izvršnih predmeta. Navedeni cilj će se ostvariti na način što će se izvršiti preraspodjela predmeta između sudaca koji će se više specijalizirati za rad po toj vrsti predmeta.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tabs>
          <w:tab w:val="clear" w:pos="708"/>
          <w:tab w:val="left" w:pos="284" w:leader="none"/>
        </w:tabs>
        <w:spacing w:lineRule="auto" w:line="276"/>
        <w:ind w:left="0" w:right="146" w:hanging="0"/>
        <w:jc w:val="both"/>
        <w:rPr>
          <w:rFonts w:ascii="Arial" w:hAnsi="Arial" w:eastAsia="Calibri" w:cs="Arial"/>
          <w:w w:val="95"/>
          <w:sz w:val="24"/>
          <w:szCs w:val="24"/>
          <w:lang w:val="hr-BA"/>
        </w:rPr>
      </w:pPr>
      <w:r>
        <w:rPr>
          <w:rFonts w:eastAsia="Calibri" w:cs="Arial" w:ascii="Arial" w:hAnsi="Arial"/>
          <w:b/>
          <w:w w:val="95"/>
          <w:sz w:val="24"/>
          <w:szCs w:val="24"/>
          <w:lang w:val="hr-BA"/>
        </w:rPr>
        <w:t>1.1.2</w:t>
      </w:r>
      <w:r>
        <w:rPr>
          <w:rFonts w:eastAsia="Calibri" w:cs="Arial" w:ascii="Arial" w:hAnsi="Arial"/>
          <w:w w:val="95"/>
          <w:sz w:val="24"/>
          <w:szCs w:val="24"/>
          <w:lang w:val="hr-BA"/>
        </w:rPr>
        <w:t xml:space="preserve">  Poboljšati efikasnost rješavanja parničnih predmeta. Navedeni cilj sud će  ostvariti  pojačanom kontrolom  rada postupajućih sudaca od strane predsjednika suda u smislu poduzimanja procesnih radnji u rokovima propisanim Zakonom o parničnom postupku.</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b/>
          <w:w w:val="95"/>
          <w:sz w:val="24"/>
          <w:szCs w:val="24"/>
          <w:lang w:val="hr-BA"/>
        </w:rPr>
        <w:t xml:space="preserve"> </w:t>
      </w:r>
      <w:r>
        <w:rPr>
          <w:rFonts w:eastAsia="Calibri" w:cs="Arial" w:ascii="Arial" w:hAnsi="Arial"/>
          <w:b/>
          <w:w w:val="95"/>
          <w:sz w:val="24"/>
          <w:szCs w:val="24"/>
          <w:lang w:val="hr-BA"/>
        </w:rPr>
        <w:t>1.1.3</w:t>
      </w:r>
      <w:r>
        <w:rPr>
          <w:rFonts w:eastAsia="Calibri" w:cs="Arial" w:ascii="Arial" w:hAnsi="Arial"/>
          <w:w w:val="95"/>
          <w:sz w:val="24"/>
          <w:szCs w:val="24"/>
          <w:lang w:val="hr-BA"/>
        </w:rPr>
        <w:t xml:space="preserve">  Unaprijediti kontrolu zakazivanja i odlaganja rasprava. Navedeni cilj će se ostvariti kontinuiranom kontrolom rada od strane predsjednice suda.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b/>
          <w:w w:val="95"/>
          <w:sz w:val="24"/>
          <w:szCs w:val="24"/>
          <w:lang w:val="hr-BA"/>
        </w:rPr>
        <w:t>1.1.4</w:t>
      </w:r>
      <w:r>
        <w:rPr>
          <w:rFonts w:eastAsia="Calibri" w:cs="Arial" w:ascii="Arial" w:hAnsi="Arial"/>
          <w:w w:val="95"/>
          <w:sz w:val="24"/>
          <w:szCs w:val="24"/>
          <w:lang w:val="hr-BA"/>
        </w:rPr>
        <w:t>.Osigurati da se predmeti uzimaju u rad prema starosti inicijalnog akta. Navedeni cilj će se postići kontrolom predsjednika suda i predsjednika odjela temeljem mjesečnih izvješća.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center"/>
        <w:rPr>
          <w:rFonts w:ascii="Arial" w:hAnsi="Arial" w:eastAsia="Calibri" w:cs="Arial"/>
          <w:i/>
          <w:i/>
          <w:w w:val="95"/>
          <w:sz w:val="24"/>
          <w:szCs w:val="24"/>
          <w:lang w:val="hr-BA"/>
        </w:rPr>
      </w:pPr>
      <w:r>
        <w:rPr>
          <w:rFonts w:eastAsia="Calibri" w:cs="Arial" w:ascii="Arial" w:hAnsi="Arial"/>
          <w:i/>
          <w:w w:val="95"/>
          <w:sz w:val="24"/>
          <w:szCs w:val="24"/>
          <w:lang w:val="hr-BA"/>
        </w:rPr>
        <w:t>Strateški cilj 2</w:t>
      </w:r>
    </w:p>
    <w:p>
      <w:pPr>
        <w:pStyle w:val="Normal"/>
        <w:shd w:val="clear" w:color="auto" w:fill="FFFFFF"/>
        <w:spacing w:lineRule="auto" w:line="276"/>
        <w:ind w:left="0" w:right="146" w:hanging="0"/>
        <w:jc w:val="center"/>
        <w:rPr>
          <w:rFonts w:ascii="Arial" w:hAnsi="Arial" w:eastAsia="Calibri" w:cs="Arial"/>
          <w:w w:val="95"/>
          <w:sz w:val="24"/>
          <w:szCs w:val="24"/>
          <w:lang w:val="hr-BA"/>
        </w:rPr>
      </w:pPr>
      <w:r>
        <w:rPr>
          <w:rFonts w:eastAsia="Calibri" w:cs="Arial" w:ascii="Arial" w:hAnsi="Arial"/>
          <w:w w:val="95"/>
          <w:sz w:val="24"/>
          <w:szCs w:val="24"/>
          <w:lang w:val="hr-BA"/>
        </w:rPr>
        <w:t>Otvorenost u radu pravosudnih institucija</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Navedeni cilj je predviđen je Strategijom za reformu sektora pravde u BiH. </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Navedenim ciljem će se omogućiti široj javnosti i zainteresiranim osobama ne sposredno saznanje o radu i rezultatima rada suda.</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center"/>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i/>
          <w:w w:val="95"/>
          <w:sz w:val="24"/>
          <w:szCs w:val="24"/>
          <w:lang w:val="hr-BA"/>
        </w:rPr>
        <w:t xml:space="preserve">Trogodišnji cilj: </w:t>
      </w:r>
      <w:r>
        <w:rPr>
          <w:rFonts w:eastAsia="Calibri" w:cs="Arial" w:ascii="Arial" w:hAnsi="Arial"/>
          <w:w w:val="95"/>
          <w:sz w:val="24"/>
          <w:szCs w:val="24"/>
          <w:lang w:val="hr-BA"/>
        </w:rPr>
        <w:t xml:space="preserve"> 2.1.. POVEĆANJE TRANSPARENTNOSTI RADA SUDA</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Aktivnosti na postizanju trogodišnjeg strateškog cilja broj 1.</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b/>
          <w:w w:val="95"/>
          <w:sz w:val="24"/>
          <w:szCs w:val="24"/>
          <w:lang w:val="hr-BA"/>
        </w:rPr>
        <w:t xml:space="preserve"> </w:t>
      </w:r>
      <w:r>
        <w:rPr>
          <w:rFonts w:eastAsia="Calibri" w:cs="Arial" w:ascii="Arial" w:hAnsi="Arial"/>
          <w:b/>
          <w:w w:val="95"/>
          <w:sz w:val="24"/>
          <w:szCs w:val="24"/>
          <w:lang w:val="hr-BA"/>
        </w:rPr>
        <w:t>2.2.1</w:t>
      </w:r>
      <w:r>
        <w:rPr>
          <w:rFonts w:eastAsia="Calibri" w:cs="Arial" w:ascii="Arial" w:hAnsi="Arial"/>
          <w:w w:val="95"/>
          <w:sz w:val="24"/>
          <w:szCs w:val="24"/>
          <w:lang w:val="hr-BA"/>
        </w:rPr>
        <w:t xml:space="preserve">  Mijenjanje percepcije javnosti o radu suda. Navedeni cilj sud će ostvariti ažuriranjem podataka na WEB stranici, objavljivanjem sadržaja koji su interesantni javnosti, objavljivanje aktivnosti vezanih za zemljišnoknjižno odjeljenje u postupku uspostave zemljišnih knjiga, obuka sudskog osoblja.</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 </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b/>
          <w:w w:val="95"/>
          <w:sz w:val="24"/>
          <w:szCs w:val="24"/>
          <w:lang w:val="hr-BA"/>
        </w:rPr>
        <w:t xml:space="preserve"> </w:t>
      </w:r>
      <w:r>
        <w:rPr>
          <w:rFonts w:eastAsia="Calibri" w:cs="Arial" w:ascii="Arial" w:hAnsi="Arial"/>
          <w:b/>
          <w:w w:val="95"/>
          <w:sz w:val="24"/>
          <w:szCs w:val="24"/>
          <w:lang w:val="hr-BA"/>
        </w:rPr>
        <w:t>2.2.2</w:t>
      </w:r>
      <w:r>
        <w:rPr>
          <w:rFonts w:eastAsia="Calibri" w:cs="Arial" w:ascii="Arial" w:hAnsi="Arial"/>
          <w:w w:val="95"/>
          <w:sz w:val="24"/>
          <w:szCs w:val="24"/>
          <w:lang w:val="hr-BA"/>
        </w:rPr>
        <w:t xml:space="preserve">  Kontinuirano jačati suradnju sa relevantnim institucijama iz oblasti pravosuđa    Pravovremeno i točno informiranje relevantnih pravosudnih institucija kao i institucija koje su povezane sa sektorom pravosuđa od bitnih pitanja koja su aktuelna za javnost.</w:t>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b/>
          <w:w w:val="95"/>
          <w:sz w:val="24"/>
          <w:szCs w:val="24"/>
          <w:lang w:val="hr-BA"/>
        </w:rPr>
        <w:t xml:space="preserve"> </w:t>
      </w:r>
      <w:r>
        <w:rPr>
          <w:rFonts w:eastAsia="Calibri" w:cs="Arial" w:ascii="Arial" w:hAnsi="Arial"/>
          <w:b/>
          <w:w w:val="95"/>
          <w:sz w:val="24"/>
          <w:szCs w:val="24"/>
          <w:lang w:val="hr-BA"/>
        </w:rPr>
        <w:t>2.2.3</w:t>
      </w:r>
      <w:r>
        <w:rPr>
          <w:rFonts w:eastAsia="Calibri" w:cs="Arial" w:ascii="Arial" w:hAnsi="Arial"/>
          <w:w w:val="95"/>
          <w:sz w:val="24"/>
          <w:szCs w:val="24"/>
          <w:lang w:val="hr-BA"/>
        </w:rPr>
        <w:t xml:space="preserve">  Informiranje javnosti o rezultatima rada suda. Izvješće o radu suda kao i strateški plan suda učiniti dostupnim na WEB stranici, aktivnosti dani otvorenih vrata te sastancima sa predstavnicima institucija sa kojima sud ima kontinuiranu suradnju (tužiteljstvo, Policija, pravobraniteljstva, centri za socijalni rad i dr.) </w:t>
      </w:r>
    </w:p>
    <w:p>
      <w:pPr>
        <w:pStyle w:val="ListParagrap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center"/>
        <w:rPr>
          <w:rFonts w:ascii="Arial" w:hAnsi="Arial" w:eastAsia="Calibri" w:cs="Arial"/>
          <w:i/>
          <w:i/>
          <w:w w:val="95"/>
          <w:sz w:val="24"/>
          <w:szCs w:val="24"/>
          <w:lang w:val="hr-BA"/>
        </w:rPr>
      </w:pPr>
      <w:r>
        <w:rPr>
          <w:rFonts w:eastAsia="Calibri" w:cs="Arial" w:ascii="Arial" w:hAnsi="Arial"/>
          <w:i/>
          <w:w w:val="95"/>
          <w:sz w:val="24"/>
          <w:szCs w:val="24"/>
          <w:lang w:val="hr-BA"/>
        </w:rPr>
        <w:t xml:space="preserve">Strateški cilj 3 </w:t>
      </w:r>
    </w:p>
    <w:p>
      <w:pPr>
        <w:pStyle w:val="Normal"/>
        <w:shd w:val="clear" w:color="auto" w:fill="FFFFFF"/>
        <w:spacing w:lineRule="auto" w:line="276"/>
        <w:ind w:left="284" w:right="146" w:hanging="0"/>
        <w:jc w:val="center"/>
        <w:rPr>
          <w:rFonts w:ascii="Arial" w:hAnsi="Arial" w:eastAsia="Calibri" w:cs="Arial"/>
          <w:i/>
          <w:i/>
          <w:w w:val="95"/>
          <w:sz w:val="24"/>
          <w:szCs w:val="24"/>
          <w:lang w:val="hr-BA"/>
        </w:rPr>
      </w:pPr>
      <w:r>
        <w:rPr>
          <w:rFonts w:eastAsia="Calibri" w:cs="Arial" w:ascii="Arial" w:hAnsi="Arial"/>
          <w:i/>
          <w:w w:val="95"/>
          <w:sz w:val="24"/>
          <w:szCs w:val="24"/>
          <w:lang w:val="hr-BA"/>
        </w:rPr>
        <w:t>Unapređenje odgovornosti, nezavisnosti, učinkovitosti i kvalitete u sektoru pravde BiH</w:t>
      </w:r>
    </w:p>
    <w:p>
      <w:pPr>
        <w:pStyle w:val="Normal"/>
        <w:shd w:val="clear" w:color="auto" w:fill="FFFFFF"/>
        <w:spacing w:lineRule="auto" w:line="276"/>
        <w:ind w:left="284" w:right="146" w:hanging="0"/>
        <w:jc w:val="center"/>
        <w:rPr>
          <w:rFonts w:ascii="Arial" w:hAnsi="Arial" w:eastAsia="Calibri" w:cs="Arial"/>
          <w:i/>
          <w:i/>
          <w:w w:val="95"/>
          <w:sz w:val="24"/>
          <w:szCs w:val="24"/>
          <w:lang w:val="hr-BA"/>
        </w:rPr>
      </w:pPr>
      <w:r>
        <w:rPr>
          <w:rFonts w:eastAsia="Calibri" w:cs="Arial" w:ascii="Arial" w:hAnsi="Arial"/>
          <w:i/>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Navedeni cilj predviđen je Srednjoročnim planom VSTV-a BiH za period 2021-2023 godine kao i Izvješćem stručnjaka o pitanjima vladavine prava u Bosni i Hercegovini (Pribeovo izvješće). Navedenim ciljem će se doprinijeti kvalitetnijem i učinkovitijem radu suda.</w:t>
      </w:r>
    </w:p>
    <w:p>
      <w:pPr>
        <w:pStyle w:val="ListParagraph"/>
        <w:shd w:val="clear" w:color="auto" w:fill="FFFFFF"/>
        <w:spacing w:lineRule="auto" w:line="276"/>
        <w:ind w:left="0" w:right="146" w:hanging="0"/>
        <w:jc w:val="both"/>
        <w:rPr>
          <w:rFonts w:ascii="Arial" w:hAnsi="Arial" w:eastAsia="Calibri" w:cs="Arial"/>
          <w:i/>
          <w:i/>
          <w:w w:val="95"/>
          <w:sz w:val="24"/>
          <w:szCs w:val="24"/>
          <w:lang w:val="hr-BA"/>
        </w:rPr>
      </w:pPr>
      <w:r>
        <w:rPr>
          <w:rFonts w:eastAsia="Calibri" w:cs="Arial" w:ascii="Arial" w:hAnsi="Arial"/>
          <w:i/>
          <w:w w:val="95"/>
          <w:sz w:val="24"/>
          <w:szCs w:val="24"/>
          <w:lang w:val="hr-BA"/>
        </w:rPr>
      </w:r>
    </w:p>
    <w:p>
      <w:pPr>
        <w:pStyle w:val="ListParagraph"/>
        <w:shd w:val="clear" w:color="auto" w:fill="FFFFFF"/>
        <w:spacing w:lineRule="auto" w:line="276"/>
        <w:ind w:left="0" w:right="146" w:hanging="0"/>
        <w:jc w:val="both"/>
        <w:rPr>
          <w:rFonts w:ascii="Arial" w:hAnsi="Arial" w:eastAsia="Calibri" w:cs="Arial"/>
          <w:b/>
          <w:b/>
          <w:w w:val="95"/>
          <w:sz w:val="24"/>
          <w:szCs w:val="24"/>
          <w:lang w:val="hr-BA"/>
        </w:rPr>
      </w:pPr>
      <w:r>
        <w:rPr>
          <w:rFonts w:eastAsia="Calibri" w:cs="Arial" w:ascii="Arial" w:hAnsi="Arial"/>
          <w:i/>
          <w:w w:val="95"/>
          <w:sz w:val="24"/>
          <w:szCs w:val="24"/>
          <w:lang w:val="hr-BA"/>
        </w:rPr>
        <w:t>Trogodišnji cilj: 3.</w:t>
      </w:r>
      <w:r>
        <w:rPr>
          <w:rFonts w:eastAsia="Calibri" w:cs="Arial" w:ascii="Arial" w:hAnsi="Arial"/>
          <w:w w:val="95"/>
          <w:sz w:val="24"/>
          <w:szCs w:val="24"/>
          <w:lang w:val="hr-BA"/>
        </w:rPr>
        <w:t>1.</w:t>
      </w:r>
      <w:r>
        <w:rPr>
          <w:rFonts w:eastAsia="Calibri" w:cs="Arial" w:ascii="Arial" w:hAnsi="Arial"/>
          <w:b/>
          <w:w w:val="95"/>
          <w:sz w:val="24"/>
          <w:szCs w:val="24"/>
          <w:lang w:val="hr-BA"/>
        </w:rPr>
        <w:t xml:space="preserve"> </w:t>
      </w:r>
      <w:r>
        <w:rPr>
          <w:rFonts w:eastAsia="Calibri" w:cs="Arial" w:ascii="Arial" w:hAnsi="Arial"/>
          <w:w w:val="95"/>
          <w:sz w:val="24"/>
          <w:szCs w:val="24"/>
          <w:lang w:val="hr-BA"/>
        </w:rPr>
        <w:t>POVEĆANJE</w:t>
      </w:r>
      <w:r>
        <w:rPr>
          <w:rFonts w:eastAsia="Calibri" w:cs="Arial" w:ascii="Arial" w:hAnsi="Arial"/>
          <w:b/>
          <w:w w:val="95"/>
          <w:sz w:val="24"/>
          <w:szCs w:val="24"/>
          <w:lang w:val="hr-BA"/>
        </w:rPr>
        <w:t xml:space="preserve"> </w:t>
      </w:r>
      <w:r>
        <w:rPr>
          <w:rFonts w:eastAsia="Calibri" w:cs="Arial" w:ascii="Arial" w:hAnsi="Arial"/>
          <w:w w:val="95"/>
          <w:sz w:val="24"/>
          <w:szCs w:val="24"/>
          <w:lang w:val="hr-BA"/>
        </w:rPr>
        <w:t>KVALITETE I EKONOMIČNOSTI RADA SUDA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 xml:space="preserve"> </w:t>
      </w:r>
      <w:r>
        <w:rPr>
          <w:rFonts w:eastAsia="Calibri" w:cs="Arial" w:ascii="Arial" w:hAnsi="Arial"/>
          <w:w w:val="95"/>
          <w:sz w:val="24"/>
          <w:szCs w:val="24"/>
          <w:lang w:val="hr-BA"/>
        </w:rPr>
        <w:t>Aktivnosti na postizanju trogodišnjeg strateškog cilja br.1</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b/>
          <w:w w:val="95"/>
          <w:sz w:val="24"/>
          <w:szCs w:val="24"/>
          <w:lang w:val="hr-BA"/>
        </w:rPr>
        <w:t xml:space="preserve"> </w:t>
      </w:r>
      <w:r>
        <w:rPr>
          <w:rFonts w:eastAsia="Calibri" w:cs="Arial" w:ascii="Arial" w:hAnsi="Arial"/>
          <w:b/>
          <w:w w:val="95"/>
          <w:sz w:val="24"/>
          <w:szCs w:val="24"/>
          <w:lang w:val="hr-BA"/>
        </w:rPr>
        <w:t>3.1.1.</w:t>
      </w:r>
      <w:r>
        <w:rPr>
          <w:rFonts w:eastAsia="Calibri" w:cs="Arial" w:ascii="Arial" w:hAnsi="Arial"/>
          <w:w w:val="95"/>
          <w:sz w:val="24"/>
          <w:szCs w:val="24"/>
          <w:lang w:val="hr-BA"/>
        </w:rPr>
        <w:t xml:space="preserve">  Unaprijediti alternativno rješavanje sporova radi smanjenja troškova postupka. navedeni cilj će se ostvariti edukacijom sudaca i tužitelja na temu alternativnog rješavanja sporova,  i odvjetnika kao punomoćnika te poboljšanja informiranja javnosti o takvom mogućem načinu rješavanja sporova.</w:t>
      </w:r>
    </w:p>
    <w:p>
      <w:pPr>
        <w:pStyle w:val="Normal"/>
        <w:shd w:val="clear" w:color="auto" w:fill="FFFFFF"/>
        <w:spacing w:lineRule="auto" w:line="276"/>
        <w:ind w:left="0" w:right="146" w:hanging="0"/>
        <w:jc w:val="both"/>
        <w:rPr>
          <w:rFonts w:ascii="Arial" w:hAnsi="Arial" w:eastAsia="Calibri" w:cs="Arial"/>
          <w:b/>
          <w:b/>
          <w:w w:val="95"/>
          <w:sz w:val="24"/>
          <w:szCs w:val="24"/>
          <w:lang w:val="hr-BA"/>
        </w:rPr>
      </w:pPr>
      <w:r>
        <w:rPr>
          <w:rFonts w:eastAsia="Calibri" w:cs="Arial" w:ascii="Arial" w:hAnsi="Arial"/>
          <w:b/>
          <w:w w:val="95"/>
          <w:sz w:val="24"/>
          <w:szCs w:val="24"/>
          <w:lang w:val="hr-BA"/>
        </w:rPr>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b/>
          <w:w w:val="95"/>
          <w:sz w:val="24"/>
          <w:szCs w:val="24"/>
          <w:lang w:val="hr-BA"/>
        </w:rPr>
        <w:t xml:space="preserve">  </w:t>
      </w:r>
      <w:r>
        <w:rPr>
          <w:rFonts w:eastAsia="Calibri" w:cs="Arial" w:ascii="Arial" w:hAnsi="Arial"/>
          <w:b/>
          <w:w w:val="95"/>
          <w:sz w:val="24"/>
          <w:szCs w:val="24"/>
          <w:lang w:val="hr-BA"/>
        </w:rPr>
        <w:t>3.1.2</w:t>
      </w:r>
      <w:r>
        <w:rPr>
          <w:rFonts w:eastAsia="Calibri" w:cs="Arial" w:ascii="Arial" w:hAnsi="Arial"/>
          <w:w w:val="95"/>
          <w:sz w:val="24"/>
          <w:szCs w:val="24"/>
          <w:lang w:val="hr-BA"/>
        </w:rPr>
        <w:t xml:space="preserve"> Unaprijediti zakazivanje glavnih rasprava u cilju smanjenja neopravdanih odlaganja istih, odnosno onemogućiti nesvrsishodno disponiranje stranaka u postupku. Navedeni cilj će se postići studioznijom ocjenom okolnosti i činjenica bitnih za odgodu postupaka. Rješavanje predmeta u razumnom roku.  </w:t>
      </w:r>
    </w:p>
    <w:p>
      <w:pPr>
        <w:pStyle w:val="ListParagraph"/>
        <w:shd w:val="clear" w:color="auto" w:fill="FFFFFF"/>
        <w:spacing w:lineRule="auto" w:line="276"/>
        <w:ind w:left="0" w:right="146" w:hanging="0"/>
        <w:jc w:val="both"/>
        <w:rPr>
          <w:rFonts w:ascii="Arial" w:hAnsi="Arial" w:eastAsia="Calibri" w:cs="Arial"/>
          <w:b/>
          <w:b/>
          <w:w w:val="95"/>
          <w:sz w:val="24"/>
          <w:szCs w:val="24"/>
          <w:lang w:val="hr-BA"/>
        </w:rPr>
      </w:pPr>
      <w:r>
        <w:rPr>
          <w:rFonts w:eastAsia="Calibri" w:cs="Arial" w:ascii="Arial" w:hAnsi="Arial"/>
          <w:b/>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b/>
          <w:w w:val="95"/>
          <w:sz w:val="24"/>
          <w:szCs w:val="24"/>
          <w:lang w:val="hr-BA"/>
        </w:rPr>
        <w:t xml:space="preserve"> </w:t>
      </w:r>
      <w:r>
        <w:rPr>
          <w:rFonts w:eastAsia="Calibri" w:cs="Arial" w:ascii="Arial" w:hAnsi="Arial"/>
          <w:b/>
          <w:w w:val="95"/>
          <w:sz w:val="24"/>
          <w:szCs w:val="24"/>
          <w:lang w:val="hr-BA"/>
        </w:rPr>
        <w:t>3.3.3</w:t>
      </w:r>
      <w:r>
        <w:rPr>
          <w:rFonts w:eastAsia="Calibri" w:cs="Arial" w:ascii="Arial" w:hAnsi="Arial"/>
          <w:w w:val="95"/>
          <w:sz w:val="24"/>
          <w:szCs w:val="24"/>
          <w:lang w:val="hr-BA"/>
        </w:rPr>
        <w:t xml:space="preserve"> Unaprijediti  kvaliteta rada sudaca. Navedeni cilj će se postići primjenom novih kriterija za vrednovanje rada sudaca kao i kvalitetnijim izborom obuka.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Trogodišnji cilj: 3.2 .POVEĆANJE POŠTIVANJA KODEKSA PONAŠANJA I ODLUKE O KUĆNOM REDU SUDA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Aktivnosti na postizanju trogodišnjeg strateškog cilja broj 2.</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3.2.1.Intenzivirati provođenja mjera poštivanja radnog vremena u smislu ažurnijeg vođenja evidencija o prisutnosti na poslu. Provođenjem ove mjere doprinijet će da uposlenici u manjoj mjeri bez opravdanog razloga napuštaju službene prostorije suda.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3.2.2.Intezivirati profesionalnost ponašanja u ophođenju sa strankama. Provođenjem ove mjere doprinijet će profesionalnijem i pristojnijem ponašanju prema strankama.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3.2.3. Aktivno primjenjivati mjere u pogledu obaveze blagovremenog obavještavanja nadređenog o razlozima spriječenosti dolaska na posao. Provođenjem ove mjere doprinijet će boljoj organizaciji rada uposlenika.</w:t>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Heading1"/>
        <w:rPr>
          <w:rFonts w:eastAsia="Calibri"/>
          <w:color w:val="auto"/>
          <w:w w:val="95"/>
          <w:sz w:val="28"/>
          <w:szCs w:val="28"/>
          <w:lang w:val="hr-BA"/>
        </w:rPr>
      </w:pPr>
      <w:r>
        <w:rPr>
          <w:rFonts w:eastAsia="Calibri" w:cs="Arial" w:ascii="Arial" w:hAnsi="Arial"/>
          <w:b/>
          <w:color w:val="auto"/>
          <w:w w:val="95"/>
          <w:sz w:val="28"/>
          <w:szCs w:val="28"/>
          <w:lang w:val="hr-HR"/>
        </w:rPr>
        <w:t>4) Analiza unutarnjeg i vanjskog okruženja u kojem radi sud</w:t>
      </w:r>
      <w:r>
        <w:rPr>
          <w:rFonts w:eastAsia="Calibri" w:cs="Arial" w:ascii="Arial" w:hAnsi="Arial"/>
          <w:b/>
          <w:color w:val="auto"/>
          <w:w w:val="95"/>
          <w:sz w:val="28"/>
          <w:szCs w:val="28"/>
          <w:lang w:val="hr-BA"/>
        </w:rPr>
        <w:t>.</w:t>
      </w:r>
      <w:r>
        <w:rPr>
          <w:rFonts w:eastAsia="Calibri"/>
          <w:color w:val="auto"/>
          <w:w w:val="95"/>
          <w:sz w:val="28"/>
          <w:szCs w:val="28"/>
          <w:lang w:val="hr-BA"/>
        </w:rPr>
        <w:t xml:space="preserve"> </w:t>
      </w:r>
    </w:p>
    <w:p>
      <w:pPr>
        <w:pStyle w:val="Heading1"/>
        <w:rPr>
          <w:rFonts w:eastAsia="Calibri"/>
          <w:color w:val="auto"/>
          <w:w w:val="95"/>
          <w:sz w:val="24"/>
          <w:szCs w:val="24"/>
          <w:lang w:val="hr-BA"/>
        </w:rPr>
      </w:pPr>
      <w:r>
        <w:rPr>
          <w:rFonts w:eastAsia="Calibri" w:cs="Arial" w:ascii="Arial" w:hAnsi="Arial"/>
          <w:color w:val="auto"/>
          <w:w w:val="95"/>
          <w:sz w:val="22"/>
          <w:szCs w:val="22"/>
          <w:lang w:val="hr-HR"/>
        </w:rPr>
        <w:t>(</w:t>
      </w:r>
      <w:r>
        <w:rPr>
          <w:rFonts w:eastAsia="Calibri"/>
          <w:color w:val="auto"/>
          <w:w w:val="95"/>
          <w:sz w:val="24"/>
          <w:szCs w:val="24"/>
          <w:lang w:val="hr-BA"/>
        </w:rPr>
        <w:t>SWOT  analiza predstavlja most između sadašnjeg stanja, koje je utvrđeno situacionom analizom i željenog budućeg stanja koje se definira strateškim planom razvoja. Ovaj koncept nam daje sistematsku analizu prijetnji i prilika, kao i njihovo usuglašavanje sa jakim i slabim stranama suda. SWOT analiza osigurava informacije korisne za usklađivanje kapaciteta i sposobnosti sa okruženjem u kojem sud djeluje.)</w:t>
      </w:r>
    </w:p>
    <w:p>
      <w:pPr>
        <w:pStyle w:val="Normal"/>
        <w:rPr>
          <w:lang w:val="hr-BA"/>
        </w:rPr>
      </w:pPr>
      <w:r>
        <w:rPr>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tbl>
      <w:tblPr>
        <w:tblW w:w="8647" w:type="dxa"/>
        <w:jc w:val="left"/>
        <w:tblInd w:w="279" w:type="dxa"/>
        <w:tblCellMar>
          <w:top w:w="0" w:type="dxa"/>
          <w:left w:w="108" w:type="dxa"/>
          <w:bottom w:w="0" w:type="dxa"/>
          <w:right w:w="108" w:type="dxa"/>
        </w:tblCellMar>
        <w:tblLook w:firstRow="1" w:noVBand="0" w:lastRow="1" w:firstColumn="1" w:lastColumn="1" w:noHBand="0" w:val="01e0"/>
      </w:tblPr>
      <w:tblGrid>
        <w:gridCol w:w="709"/>
        <w:gridCol w:w="3968"/>
        <w:gridCol w:w="3970"/>
      </w:tblGrid>
      <w:tr>
        <w:trPr>
          <w:trHeight w:val="670" w:hRule="atLeast"/>
        </w:trPr>
        <w:tc>
          <w:tcPr>
            <w:tcW w:w="709" w:type="dxa"/>
            <w:vMerge w:val="restart"/>
            <w:tcBorders>
              <w:top w:val="single" w:sz="4" w:space="0" w:color="000000"/>
              <w:left w:val="single" w:sz="4" w:space="0" w:color="000000"/>
              <w:bottom w:val="single" w:sz="4" w:space="0" w:color="000000"/>
              <w:right w:val="single" w:sz="4" w:space="0" w:color="000000"/>
            </w:tcBorders>
            <w:shd w:color="auto" w:fill="FFC000" w:val="clear"/>
            <w:textDirection w:val="btLr"/>
            <w:vAlign w:val="center"/>
          </w:tcPr>
          <w:p>
            <w:pPr>
              <w:pStyle w:val="Normal"/>
              <w:ind w:left="0" w:hanging="0"/>
              <w:jc w:val="center"/>
              <w:rPr>
                <w:rFonts w:ascii="Arial" w:hAnsi="Arial" w:eastAsia="Calibri" w:cs="Arial"/>
                <w:b/>
                <w:b/>
                <w:bCs/>
                <w:w w:val="95"/>
                <w:lang w:val="hr-HR"/>
              </w:rPr>
            </w:pPr>
            <w:r>
              <w:rPr>
                <w:rFonts w:eastAsia="Calibri" w:cs="Arial" w:ascii="Arial" w:hAnsi="Arial"/>
                <w:b/>
                <w:bCs/>
                <w:w w:val="95"/>
                <w:lang w:val="hr-HR"/>
              </w:rPr>
              <w:t>UNUTARNJI ČIMBENICI</w:t>
            </w:r>
          </w:p>
        </w:tc>
        <w:tc>
          <w:tcPr>
            <w:tcW w:w="3968" w:type="dxa"/>
            <w:tcBorders>
              <w:top w:val="single" w:sz="4" w:space="0" w:color="000000"/>
              <w:left w:val="single" w:sz="4" w:space="0" w:color="000000"/>
              <w:bottom w:val="single" w:sz="4" w:space="0" w:color="000000"/>
              <w:right w:val="single" w:sz="4" w:space="0" w:color="000000"/>
            </w:tcBorders>
            <w:shd w:color="auto" w:fill="0070C0" w:val="clear"/>
            <w:vAlign w:val="center"/>
          </w:tcPr>
          <w:p>
            <w:pPr>
              <w:pStyle w:val="Normal"/>
              <w:ind w:left="0" w:hanging="0"/>
              <w:jc w:val="center"/>
              <w:rPr>
                <w:rFonts w:ascii="Arial" w:hAnsi="Arial" w:eastAsia="Calibri" w:cs="Arial"/>
                <w:b/>
                <w:b/>
                <w:bCs/>
                <w:w w:val="95"/>
                <w:lang w:val="hr-HR"/>
              </w:rPr>
            </w:pPr>
            <w:r>
              <w:rPr>
                <w:rFonts w:eastAsia="Calibri" w:cs="Arial" w:ascii="Arial" w:hAnsi="Arial"/>
                <w:b/>
                <w:bCs/>
                <w:w w:val="95"/>
                <w:lang w:val="hr-HR"/>
              </w:rPr>
              <w:t xml:space="preserve">SNAGE </w:t>
            </w:r>
          </w:p>
        </w:tc>
        <w:tc>
          <w:tcPr>
            <w:tcW w:w="3970" w:type="dxa"/>
            <w:tcBorders>
              <w:top w:val="single" w:sz="4" w:space="0" w:color="000000"/>
              <w:left w:val="single" w:sz="4" w:space="0" w:color="000000"/>
              <w:bottom w:val="single" w:sz="4" w:space="0" w:color="000000"/>
              <w:right w:val="single" w:sz="4" w:space="0" w:color="000000"/>
            </w:tcBorders>
            <w:shd w:color="auto" w:fill="0070C0" w:val="clear"/>
            <w:vAlign w:val="center"/>
          </w:tcPr>
          <w:p>
            <w:pPr>
              <w:pStyle w:val="Normal"/>
              <w:ind w:left="0" w:hanging="0"/>
              <w:jc w:val="center"/>
              <w:rPr>
                <w:rFonts w:ascii="Arial" w:hAnsi="Arial" w:eastAsia="Calibri" w:cs="Arial"/>
                <w:b/>
                <w:b/>
                <w:bCs/>
                <w:w w:val="95"/>
                <w:lang w:val="hr-HR"/>
              </w:rPr>
            </w:pPr>
            <w:r>
              <w:rPr>
                <w:rFonts w:eastAsia="Calibri" w:cs="Arial" w:ascii="Arial" w:hAnsi="Arial"/>
                <w:b/>
                <w:bCs/>
                <w:w w:val="95"/>
                <w:lang w:val="hr-HR"/>
              </w:rPr>
              <w:t xml:space="preserve">SLABOSTI </w:t>
            </w:r>
          </w:p>
        </w:tc>
      </w:tr>
      <w:tr>
        <w:trPr>
          <w:trHeight w:val="274" w:hRule="atLeast"/>
        </w:trPr>
        <w:tc>
          <w:tcPr>
            <w:tcW w:w="709" w:type="dxa"/>
            <w:vMerge w:val="continue"/>
            <w:tcBorders>
              <w:top w:val="single" w:sz="4" w:space="0" w:color="000000"/>
              <w:left w:val="single" w:sz="4" w:space="0" w:color="000000"/>
              <w:bottom w:val="single" w:sz="4" w:space="0" w:color="000000"/>
              <w:right w:val="single" w:sz="4" w:space="0" w:color="000000"/>
            </w:tcBorders>
            <w:shd w:color="auto" w:fill="FFC000" w:val="clear"/>
            <w:textDirection w:val="btLr"/>
          </w:tcPr>
          <w:p>
            <w:pPr>
              <w:pStyle w:val="Normal"/>
              <w:numPr>
                <w:ilvl w:val="0"/>
                <w:numId w:val="1"/>
              </w:numPr>
              <w:spacing w:before="0" w:after="60"/>
              <w:ind w:left="0" w:hanging="357"/>
              <w:rPr>
                <w:rFonts w:ascii="Arial" w:hAnsi="Arial" w:eastAsia="Calibri" w:cs="Arial"/>
                <w:w w:val="95"/>
                <w:lang w:val="hr-HR"/>
              </w:rPr>
            </w:pPr>
            <w:r>
              <w:rPr>
                <w:rFonts w:eastAsia="Calibri" w:cs="Arial" w:ascii="Arial" w:hAnsi="Arial"/>
                <w:w w:val="95"/>
                <w:lang w:val="hr-HR"/>
              </w:rPr>
            </w:r>
          </w:p>
        </w:tc>
        <w:tc>
          <w:tcPr>
            <w:tcW w:w="3968" w:type="dxa"/>
            <w:tcBorders>
              <w:top w:val="single" w:sz="4" w:space="0" w:color="000000"/>
              <w:left w:val="single" w:sz="4" w:space="0" w:color="000000"/>
              <w:bottom w:val="single" w:sz="4" w:space="0" w:color="000000"/>
              <w:right w:val="single" w:sz="4" w:space="0" w:color="000000"/>
            </w:tcBorders>
            <w:shd w:color="auto" w:fill="FFFFFF" w:val="clear"/>
          </w:tcPr>
          <w:p>
            <w:pPr>
              <w:pStyle w:val="ListParagraph"/>
              <w:numPr>
                <w:ilvl w:val="0"/>
                <w:numId w:val="1"/>
              </w:numPr>
              <w:spacing w:lineRule="auto" w:line="276"/>
              <w:ind w:left="360" w:right="146" w:hanging="360"/>
              <w:jc w:val="both"/>
              <w:rPr>
                <w:rFonts w:ascii="Arial" w:hAnsi="Arial" w:eastAsia="Calibri" w:cs="Arial"/>
                <w:w w:val="95"/>
                <w:lang w:val="hr-BA"/>
              </w:rPr>
            </w:pPr>
            <w:r>
              <w:rPr>
                <w:rFonts w:eastAsia="Calibri" w:cs="Arial" w:ascii="Arial" w:hAnsi="Arial"/>
                <w:w w:val="95"/>
                <w:lang w:val="hr-BA"/>
              </w:rPr>
              <w:t>suci posjeduju potreban nivo stručnog znanja  i profesionalnosti</w:t>
            </w:r>
          </w:p>
          <w:p>
            <w:pPr>
              <w:pStyle w:val="ListParagraph"/>
              <w:numPr>
                <w:ilvl w:val="0"/>
                <w:numId w:val="1"/>
              </w:numPr>
              <w:spacing w:lineRule="auto" w:line="276"/>
              <w:ind w:left="360" w:right="146" w:hanging="360"/>
              <w:jc w:val="both"/>
              <w:rPr>
                <w:rFonts w:ascii="Arial" w:hAnsi="Arial" w:eastAsia="Calibri" w:cs="Arial"/>
                <w:w w:val="95"/>
                <w:lang w:val="hr-BA"/>
              </w:rPr>
            </w:pPr>
            <w:r>
              <w:rPr>
                <w:rFonts w:eastAsia="Calibri" w:cs="Arial" w:ascii="Arial" w:hAnsi="Arial"/>
                <w:w w:val="95"/>
                <w:lang w:val="hr-BA"/>
              </w:rPr>
              <w:t>zadovoljavajuća suradnja sudaca i ostalog osoblja</w:t>
            </w:r>
          </w:p>
          <w:p>
            <w:pPr>
              <w:pStyle w:val="ListParagraph"/>
              <w:numPr>
                <w:ilvl w:val="0"/>
                <w:numId w:val="1"/>
              </w:numPr>
              <w:spacing w:lineRule="auto" w:line="276"/>
              <w:ind w:left="360" w:right="146" w:hanging="360"/>
              <w:jc w:val="both"/>
              <w:rPr>
                <w:rFonts w:ascii="Arial" w:hAnsi="Arial" w:eastAsia="Calibri" w:cs="Arial"/>
                <w:w w:val="95"/>
                <w:lang w:val="hr-BA"/>
              </w:rPr>
            </w:pPr>
            <w:r>
              <w:rPr>
                <w:rFonts w:eastAsia="Calibri" w:cs="Arial" w:ascii="Arial" w:hAnsi="Arial"/>
                <w:w w:val="95"/>
                <w:lang w:val="hr-BA"/>
              </w:rPr>
              <w:t>pravovremeno i kvalitetno rješavanje zadataka od strane pomoćnog osoblja</w:t>
            </w:r>
          </w:p>
          <w:p>
            <w:pPr>
              <w:pStyle w:val="ListParagraph"/>
              <w:numPr>
                <w:ilvl w:val="0"/>
                <w:numId w:val="1"/>
              </w:numPr>
              <w:spacing w:lineRule="auto" w:line="276"/>
              <w:ind w:left="360" w:right="146" w:hanging="360"/>
              <w:jc w:val="both"/>
              <w:rPr>
                <w:rFonts w:ascii="Arial" w:hAnsi="Arial" w:eastAsia="Calibri" w:cs="Arial"/>
                <w:w w:val="95"/>
                <w:lang w:val="hr-BA"/>
              </w:rPr>
            </w:pPr>
            <w:r>
              <w:rPr>
                <w:rFonts w:eastAsia="Calibri" w:cs="Arial" w:ascii="Arial" w:hAnsi="Arial"/>
                <w:w w:val="95"/>
                <w:lang w:val="hr-BA"/>
              </w:rPr>
              <w:t>redovno održavanje sastanaka sa šefovima odjeljenja sudske uprave</w:t>
            </w:r>
          </w:p>
          <w:p>
            <w:pPr>
              <w:pStyle w:val="ListParagraph"/>
              <w:numPr>
                <w:ilvl w:val="0"/>
                <w:numId w:val="1"/>
              </w:numPr>
              <w:spacing w:before="0" w:after="60"/>
              <w:contextualSpacing/>
              <w:rPr>
                <w:rFonts w:ascii="Arial" w:hAnsi="Arial" w:eastAsia="Calibri" w:cs="Arial"/>
                <w:w w:val="95"/>
                <w:lang w:val="hr-HR"/>
              </w:rPr>
            </w:pPr>
            <w:r>
              <w:rPr>
                <w:rFonts w:eastAsia="Calibri" w:cs="Arial" w:ascii="Arial" w:hAnsi="Arial"/>
                <w:w w:val="95"/>
                <w:lang w:val="hr-BA"/>
              </w:rPr>
              <w:t>redovne isplate plaća</w:t>
            </w:r>
          </w:p>
        </w:tc>
        <w:tc>
          <w:tcPr>
            <w:tcW w:w="3970" w:type="dxa"/>
            <w:tcBorders>
              <w:top w:val="single" w:sz="4" w:space="0" w:color="000000"/>
              <w:left w:val="single" w:sz="4" w:space="0" w:color="000000"/>
              <w:bottom w:val="single" w:sz="4" w:space="0" w:color="000000"/>
              <w:right w:val="single" w:sz="4" w:space="0" w:color="000000"/>
            </w:tcBorders>
            <w:shd w:color="auto" w:fill="FFFFFF" w:val="clear"/>
          </w:tcPr>
          <w:p>
            <w:pPr>
              <w:pStyle w:val="ListParagraph"/>
              <w:numPr>
                <w:ilvl w:val="0"/>
                <w:numId w:val="7"/>
              </w:numPr>
              <w:spacing w:lineRule="auto" w:line="276"/>
              <w:ind w:left="288" w:right="146" w:hanging="283"/>
              <w:jc w:val="both"/>
              <w:rPr>
                <w:rFonts w:ascii="Arial" w:hAnsi="Arial" w:eastAsia="Calibri" w:cs="Arial"/>
                <w:w w:val="95"/>
                <w:lang w:val="hr-BA"/>
              </w:rPr>
            </w:pPr>
            <w:r>
              <w:rPr>
                <w:rFonts w:eastAsia="Calibri" w:cs="Arial" w:ascii="Arial" w:hAnsi="Arial"/>
                <w:w w:val="95"/>
                <w:lang w:val="hr-BA"/>
              </w:rPr>
              <w:t>dugo trajanje ovršnih i parničnih postupaka</w:t>
            </w:r>
          </w:p>
          <w:p>
            <w:pPr>
              <w:pStyle w:val="ListParagraph"/>
              <w:numPr>
                <w:ilvl w:val="0"/>
                <w:numId w:val="7"/>
              </w:numPr>
              <w:spacing w:lineRule="auto" w:line="276"/>
              <w:ind w:left="288" w:right="146" w:hanging="283"/>
              <w:jc w:val="both"/>
              <w:rPr>
                <w:rFonts w:ascii="Arial" w:hAnsi="Arial" w:eastAsia="Calibri" w:cs="Arial"/>
                <w:w w:val="95"/>
                <w:lang w:val="hr-BA"/>
              </w:rPr>
            </w:pPr>
            <w:r>
              <w:rPr>
                <w:rFonts w:eastAsia="Calibri" w:cs="Arial" w:ascii="Arial" w:hAnsi="Arial"/>
                <w:w w:val="95"/>
                <w:lang w:val="hr-BA"/>
              </w:rPr>
              <w:t>prolongiranje i često odgađanje zakazanih rasprava</w:t>
            </w:r>
          </w:p>
          <w:p>
            <w:pPr>
              <w:pStyle w:val="ListParagraph"/>
              <w:numPr>
                <w:ilvl w:val="0"/>
                <w:numId w:val="7"/>
              </w:numPr>
              <w:spacing w:lineRule="auto" w:line="276"/>
              <w:ind w:left="288" w:right="146" w:hanging="283"/>
              <w:jc w:val="both"/>
              <w:rPr>
                <w:rFonts w:ascii="Arial" w:hAnsi="Arial" w:eastAsia="Calibri" w:cs="Arial"/>
                <w:w w:val="95"/>
                <w:lang w:val="hr-BA"/>
              </w:rPr>
            </w:pPr>
            <w:r>
              <w:rPr>
                <w:rFonts w:eastAsia="Calibri" w:cs="Arial" w:ascii="Arial" w:hAnsi="Arial"/>
                <w:w w:val="95"/>
                <w:lang w:val="hr-BA"/>
              </w:rPr>
              <w:t>loši uvjeti rada- relativna zastarjelost informatičke opreme i uredskog namještaja</w:t>
            </w:r>
          </w:p>
          <w:p>
            <w:pPr>
              <w:pStyle w:val="ListParagraph"/>
              <w:numPr>
                <w:ilvl w:val="0"/>
                <w:numId w:val="7"/>
              </w:numPr>
              <w:spacing w:lineRule="auto" w:line="276"/>
              <w:ind w:left="288" w:right="146" w:hanging="283"/>
              <w:jc w:val="both"/>
              <w:rPr>
                <w:rFonts w:ascii="Arial" w:hAnsi="Arial" w:eastAsia="Calibri" w:cs="Arial"/>
                <w:w w:val="95"/>
                <w:lang w:val="hr-BA"/>
              </w:rPr>
            </w:pPr>
            <w:r>
              <w:rPr>
                <w:rFonts w:eastAsia="Calibri" w:cs="Arial" w:ascii="Arial" w:hAnsi="Arial"/>
                <w:w w:val="95"/>
                <w:lang w:val="hr-BA"/>
              </w:rPr>
              <w:t>nedostatak poštivanja kućnog reda i profesionalnog ponašanja</w:t>
            </w:r>
          </w:p>
        </w:tc>
      </w:tr>
      <w:tr>
        <w:trPr>
          <w:trHeight w:val="608" w:hRule="atLeast"/>
        </w:trPr>
        <w:tc>
          <w:tcPr>
            <w:tcW w:w="709" w:type="dxa"/>
            <w:vMerge w:val="restart"/>
            <w:tcBorders>
              <w:top w:val="single" w:sz="4" w:space="0" w:color="000000"/>
              <w:left w:val="single" w:sz="4" w:space="0" w:color="000000"/>
              <w:bottom w:val="single" w:sz="4" w:space="0" w:color="000000"/>
              <w:right w:val="single" w:sz="4" w:space="0" w:color="000000"/>
            </w:tcBorders>
            <w:shd w:color="auto" w:fill="92D050" w:val="clear"/>
            <w:textDirection w:val="btLr"/>
            <w:vAlign w:val="center"/>
          </w:tcPr>
          <w:p>
            <w:pPr>
              <w:pStyle w:val="Normal"/>
              <w:ind w:left="0" w:hanging="0"/>
              <w:jc w:val="center"/>
              <w:rPr>
                <w:rFonts w:ascii="Arial" w:hAnsi="Arial" w:eastAsia="Calibri" w:cs="Arial"/>
                <w:b/>
                <w:b/>
                <w:bCs/>
                <w:w w:val="95"/>
                <w:lang w:val="hr-HR"/>
              </w:rPr>
            </w:pPr>
            <w:r>
              <w:rPr>
                <w:rFonts w:eastAsia="Calibri" w:cs="Arial" w:ascii="Arial" w:hAnsi="Arial"/>
                <w:b/>
                <w:bCs/>
                <w:w w:val="95"/>
                <w:lang w:val="hr-HR"/>
              </w:rPr>
              <w:t>VANJSKI ČIMBENICI</w:t>
            </w:r>
          </w:p>
        </w:tc>
        <w:tc>
          <w:tcPr>
            <w:tcW w:w="3968" w:type="dxa"/>
            <w:tcBorders>
              <w:top w:val="single" w:sz="4" w:space="0" w:color="000000"/>
              <w:left w:val="single" w:sz="4" w:space="0" w:color="000000"/>
              <w:bottom w:val="single" w:sz="4" w:space="0" w:color="000000"/>
              <w:right w:val="single" w:sz="4" w:space="0" w:color="000000"/>
            </w:tcBorders>
            <w:shd w:color="auto" w:fill="0070C0" w:val="clear"/>
            <w:vAlign w:val="center"/>
          </w:tcPr>
          <w:p>
            <w:pPr>
              <w:pStyle w:val="Normal"/>
              <w:ind w:left="0" w:hanging="0"/>
              <w:jc w:val="center"/>
              <w:rPr>
                <w:rFonts w:ascii="Arial" w:hAnsi="Arial" w:eastAsia="Calibri" w:cs="Arial"/>
                <w:b/>
                <w:b/>
                <w:bCs/>
                <w:w w:val="95"/>
                <w:lang w:val="hr-HR"/>
              </w:rPr>
            </w:pPr>
            <w:r>
              <w:rPr>
                <w:rFonts w:eastAsia="Calibri" w:cs="Arial" w:ascii="Arial" w:hAnsi="Arial"/>
                <w:b/>
                <w:bCs/>
                <w:w w:val="95"/>
                <w:lang w:val="hr-HR"/>
              </w:rPr>
              <w:t xml:space="preserve">PRILIKE </w:t>
            </w:r>
          </w:p>
        </w:tc>
        <w:tc>
          <w:tcPr>
            <w:tcW w:w="3970" w:type="dxa"/>
            <w:tcBorders>
              <w:top w:val="single" w:sz="4" w:space="0" w:color="000000"/>
              <w:left w:val="single" w:sz="4" w:space="0" w:color="000000"/>
              <w:bottom w:val="single" w:sz="4" w:space="0" w:color="000000"/>
              <w:right w:val="single" w:sz="4" w:space="0" w:color="000000"/>
            </w:tcBorders>
            <w:shd w:color="auto" w:fill="0070C0" w:val="clear"/>
            <w:vAlign w:val="center"/>
          </w:tcPr>
          <w:p>
            <w:pPr>
              <w:pStyle w:val="Normal"/>
              <w:spacing w:before="0" w:after="120"/>
              <w:ind w:left="0" w:hanging="0"/>
              <w:jc w:val="center"/>
              <w:rPr>
                <w:rFonts w:ascii="Arial" w:hAnsi="Arial" w:eastAsia="Calibri" w:cs="Arial"/>
                <w:b/>
                <w:b/>
                <w:bCs/>
                <w:w w:val="95"/>
                <w:lang w:val="hr-HR"/>
              </w:rPr>
            </w:pPr>
            <w:r>
              <w:rPr>
                <w:rFonts w:eastAsia="Calibri" w:cs="Arial" w:ascii="Arial" w:hAnsi="Arial"/>
                <w:b/>
                <w:bCs/>
                <w:w w:val="95"/>
                <w:lang w:val="hr-HR"/>
              </w:rPr>
              <w:t xml:space="preserve">PRIJETNJE </w:t>
            </w:r>
          </w:p>
        </w:tc>
      </w:tr>
      <w:tr>
        <w:trPr>
          <w:trHeight w:val="395" w:hRule="atLeast"/>
        </w:trPr>
        <w:tc>
          <w:tcPr>
            <w:tcW w:w="709" w:type="dxa"/>
            <w:vMerge w:val="continue"/>
            <w:tcBorders>
              <w:top w:val="single" w:sz="4" w:space="0" w:color="000000"/>
              <w:left w:val="single" w:sz="4" w:space="0" w:color="000000"/>
              <w:bottom w:val="single" w:sz="4" w:space="0" w:color="000000"/>
              <w:right w:val="single" w:sz="4" w:space="0" w:color="000000"/>
            </w:tcBorders>
            <w:shd w:color="auto" w:fill="92D050" w:val="clear"/>
          </w:tcPr>
          <w:p>
            <w:pPr>
              <w:pStyle w:val="Normal"/>
              <w:numPr>
                <w:ilvl w:val="0"/>
                <w:numId w:val="2"/>
              </w:numPr>
              <w:spacing w:before="0" w:after="60"/>
              <w:ind w:left="0" w:hanging="357"/>
              <w:rPr>
                <w:rFonts w:ascii="Arial" w:hAnsi="Arial" w:eastAsia="Calibri" w:cs="Arial"/>
                <w:w w:val="95"/>
                <w:lang w:val="hr-HR"/>
              </w:rPr>
            </w:pPr>
            <w:r>
              <w:rPr>
                <w:rFonts w:eastAsia="Calibri" w:cs="Arial" w:ascii="Arial" w:hAnsi="Arial"/>
                <w:w w:val="95"/>
                <w:lang w:val="hr-HR"/>
              </w:rPr>
            </w:r>
          </w:p>
        </w:tc>
        <w:tc>
          <w:tcPr>
            <w:tcW w:w="3968" w:type="dxa"/>
            <w:tcBorders>
              <w:top w:val="single" w:sz="4" w:space="0" w:color="000000"/>
              <w:left w:val="single" w:sz="4" w:space="0" w:color="000000"/>
              <w:bottom w:val="single" w:sz="4" w:space="0" w:color="000000"/>
              <w:right w:val="single" w:sz="4" w:space="0" w:color="000000"/>
            </w:tcBorders>
            <w:shd w:color="auto" w:fill="FFFFFF" w:val="clear"/>
          </w:tcPr>
          <w:p>
            <w:pPr>
              <w:pStyle w:val="ListParagraph"/>
              <w:numPr>
                <w:ilvl w:val="0"/>
                <w:numId w:val="9"/>
              </w:numPr>
              <w:spacing w:lineRule="auto" w:line="276"/>
              <w:ind w:left="430" w:right="146" w:hanging="430"/>
              <w:jc w:val="both"/>
              <w:rPr>
                <w:rFonts w:ascii="Arial" w:hAnsi="Arial" w:eastAsia="Calibri" w:cs="Arial"/>
                <w:w w:val="95"/>
                <w:lang w:val="hr-BA"/>
              </w:rPr>
            </w:pPr>
            <w:r>
              <w:rPr>
                <w:rFonts w:eastAsia="Calibri" w:cs="Arial" w:ascii="Arial" w:hAnsi="Arial"/>
                <w:w w:val="95"/>
                <w:lang w:val="hr-BA"/>
              </w:rPr>
              <w:t>dobra suradnja sa VSTV-om</w:t>
            </w:r>
          </w:p>
          <w:p>
            <w:pPr>
              <w:pStyle w:val="ListParagraph"/>
              <w:numPr>
                <w:ilvl w:val="0"/>
                <w:numId w:val="9"/>
              </w:numPr>
              <w:spacing w:lineRule="auto" w:line="276"/>
              <w:ind w:left="430" w:right="146" w:hanging="430"/>
              <w:jc w:val="both"/>
              <w:rPr>
                <w:rFonts w:ascii="Arial" w:hAnsi="Arial" w:eastAsia="Calibri" w:cs="Arial"/>
                <w:w w:val="95"/>
                <w:lang w:val="hr-BA"/>
              </w:rPr>
            </w:pPr>
            <w:r>
              <w:rPr>
                <w:rFonts w:eastAsia="Calibri" w:cs="Arial" w:ascii="Arial" w:hAnsi="Arial"/>
                <w:w w:val="95"/>
                <w:lang w:val="hr-BA"/>
              </w:rPr>
              <w:t>dobra suradnja sa Županijskim sudom i ostalim pravosudnim institucijama na području HNŽ/HNK</w:t>
            </w:r>
          </w:p>
          <w:p>
            <w:pPr>
              <w:pStyle w:val="ListParagraph"/>
              <w:numPr>
                <w:ilvl w:val="0"/>
                <w:numId w:val="9"/>
              </w:numPr>
              <w:spacing w:lineRule="auto" w:line="276"/>
              <w:ind w:left="430" w:right="146" w:hanging="430"/>
              <w:jc w:val="both"/>
              <w:rPr>
                <w:rFonts w:ascii="Arial" w:hAnsi="Arial" w:eastAsia="Calibri" w:cs="Arial"/>
                <w:w w:val="95"/>
                <w:lang w:val="hr-BA"/>
              </w:rPr>
            </w:pPr>
            <w:r>
              <w:rPr>
                <w:rFonts w:eastAsia="Calibri" w:cs="Arial" w:ascii="Arial" w:hAnsi="Arial"/>
                <w:w w:val="95"/>
                <w:lang w:val="hr-BA"/>
              </w:rPr>
              <w:t>dobra suradnja sa OSCE-om.Budući da OSC-e u okviru svojih ovlaštenja prati postupanja po njima interesantnim predmetima to u tu svrhu sud redovno dostavlja raspored suđenja kao i zapisnike na njihovo traženje.</w:t>
            </w:r>
          </w:p>
        </w:tc>
        <w:tc>
          <w:tcPr>
            <w:tcW w:w="3970" w:type="dxa"/>
            <w:tcBorders>
              <w:top w:val="single" w:sz="4" w:space="0" w:color="000000"/>
              <w:left w:val="single" w:sz="4" w:space="0" w:color="000000"/>
              <w:bottom w:val="single" w:sz="4" w:space="0" w:color="000000"/>
              <w:right w:val="single" w:sz="4" w:space="0" w:color="000000"/>
            </w:tcBorders>
            <w:shd w:color="auto" w:fill="FFFFFF" w:val="clear"/>
          </w:tcPr>
          <w:p>
            <w:pPr>
              <w:pStyle w:val="ListParagraph"/>
              <w:numPr>
                <w:ilvl w:val="0"/>
                <w:numId w:val="8"/>
              </w:numPr>
              <w:spacing w:lineRule="auto" w:line="276"/>
              <w:ind w:left="288" w:right="146" w:hanging="283"/>
              <w:jc w:val="both"/>
              <w:rPr>
                <w:rFonts w:ascii="Arial" w:hAnsi="Arial" w:eastAsia="Calibri" w:cs="Arial"/>
                <w:w w:val="95"/>
                <w:lang w:val="hr-BA"/>
              </w:rPr>
            </w:pPr>
            <w:r>
              <w:rPr>
                <w:rFonts w:eastAsia="Calibri" w:cs="Arial" w:ascii="Arial" w:hAnsi="Arial"/>
                <w:w w:val="95"/>
                <w:lang w:val="hr-BA"/>
              </w:rPr>
              <w:t>duga odsustva postupajućih sudaca</w:t>
            </w:r>
          </w:p>
          <w:p>
            <w:pPr>
              <w:pStyle w:val="ListParagraph"/>
              <w:numPr>
                <w:ilvl w:val="0"/>
                <w:numId w:val="8"/>
              </w:numPr>
              <w:spacing w:lineRule="auto" w:line="276"/>
              <w:ind w:left="288" w:right="146" w:hanging="283"/>
              <w:jc w:val="both"/>
              <w:rPr>
                <w:rFonts w:ascii="Arial" w:hAnsi="Arial" w:eastAsia="Calibri" w:cs="Arial"/>
                <w:w w:val="95"/>
                <w:lang w:val="hr-BA"/>
              </w:rPr>
            </w:pPr>
            <w:r>
              <w:rPr>
                <w:rFonts w:eastAsia="Calibri" w:cs="Arial" w:ascii="Arial" w:hAnsi="Arial"/>
                <w:w w:val="95"/>
                <w:lang w:val="hr-BA"/>
              </w:rPr>
              <w:t>nemogućnost održavanja ročišta zbog odsustva stranaka i punomoćnika kao posljedica pandemije COVID-19</w:t>
            </w:r>
          </w:p>
          <w:p>
            <w:pPr>
              <w:pStyle w:val="ListParagraph"/>
              <w:numPr>
                <w:ilvl w:val="0"/>
                <w:numId w:val="2"/>
              </w:numPr>
              <w:spacing w:before="0" w:after="60"/>
              <w:contextualSpacing/>
              <w:rPr>
                <w:rFonts w:ascii="Arial" w:hAnsi="Arial" w:eastAsia="Calibri" w:cs="Arial"/>
                <w:w w:val="95"/>
                <w:lang w:val="hr-HR"/>
              </w:rPr>
            </w:pPr>
            <w:r>
              <w:rPr>
                <w:rFonts w:eastAsia="Calibri" w:cs="Arial" w:ascii="Arial" w:hAnsi="Arial"/>
                <w:w w:val="95"/>
                <w:lang w:val="hr-BA"/>
              </w:rPr>
              <w:t>smanjenje proračunskih sredstava zbog mjere štednje usljed ekonomske krize.</w:t>
            </w:r>
          </w:p>
        </w:tc>
      </w:tr>
    </w:tbl>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ListParagraph"/>
        <w:shd w:val="clear" w:color="auto" w:fill="FFFFFF"/>
        <w:spacing w:lineRule="auto" w:line="276"/>
        <w:ind w:left="0" w:right="146" w:hanging="0"/>
        <w:jc w:val="both"/>
        <w:rPr>
          <w:rFonts w:ascii="Arial" w:hAnsi="Arial" w:eastAsia="Calibri" w:cs="Arial"/>
          <w:w w:val="95"/>
          <w:sz w:val="24"/>
          <w:szCs w:val="24"/>
          <w:lang w:val="hr-BA"/>
        </w:rPr>
      </w:pPr>
      <w:r>
        <w:rPr>
          <w:rFonts w:eastAsia="Calibri" w:cs="Arial" w:ascii="Arial" w:hAnsi="Arial"/>
          <w:w w:val="95"/>
          <w:sz w:val="24"/>
          <w:szCs w:val="24"/>
          <w:lang w:val="hr-BA"/>
        </w:rPr>
        <w:t>Napominjemo da sud ima intenciju da primjenjuje SOKOP sistem, međutim zbog nezainteresiranosti komunalnih poduzeća  sa područja općina za koje je nadležan ovaj sud, isti se ne primjenjuje.</w:t>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Normal"/>
        <w:shd w:val="clear" w:color="auto" w:fill="FFFFFF"/>
        <w:spacing w:lineRule="auto" w:line="276"/>
        <w:ind w:left="284" w:right="146" w:hanging="0"/>
        <w:jc w:val="both"/>
        <w:rPr>
          <w:rFonts w:ascii="Arial" w:hAnsi="Arial" w:eastAsia="Calibri" w:cs="Arial"/>
          <w:w w:val="95"/>
          <w:sz w:val="24"/>
          <w:szCs w:val="24"/>
          <w:lang w:val="hr-BA"/>
        </w:rPr>
      </w:pPr>
      <w:r>
        <w:rPr>
          <w:rFonts w:eastAsia="Calibri" w:cs="Arial" w:ascii="Arial" w:hAnsi="Arial"/>
          <w:w w:val="95"/>
          <w:sz w:val="24"/>
          <w:szCs w:val="24"/>
          <w:lang w:val="hr-BA"/>
        </w:rPr>
      </w:r>
    </w:p>
    <w:p>
      <w:pPr>
        <w:pStyle w:val="Heading1"/>
        <w:rPr>
          <w:rFonts w:ascii="Arial" w:hAnsi="Arial" w:eastAsia="Times New Roman" w:cs="Arial"/>
          <w:b/>
          <w:b/>
          <w:color w:val="auto"/>
          <w:w w:val="95"/>
          <w:sz w:val="28"/>
          <w:szCs w:val="28"/>
          <w:lang w:val="hr-HR"/>
        </w:rPr>
      </w:pPr>
      <w:bookmarkStart w:id="67" w:name="_Toc67566978"/>
      <w:bookmarkStart w:id="68" w:name="_Toc39666947"/>
      <w:bookmarkStart w:id="69" w:name="_Toc29479785"/>
      <w:r>
        <w:rPr>
          <w:rFonts w:eastAsia="Times New Roman" w:cs="Arial" w:ascii="Arial" w:hAnsi="Arial"/>
          <w:b/>
          <w:color w:val="auto"/>
          <w:w w:val="95"/>
          <w:sz w:val="28"/>
          <w:szCs w:val="28"/>
          <w:lang w:val="hr-HR"/>
        </w:rPr>
        <w:t>B. Pregled strateških ciljeva suda</w:t>
      </w:r>
      <w:bookmarkEnd w:id="67"/>
      <w:bookmarkEnd w:id="68"/>
      <w:bookmarkEnd w:id="69"/>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tbl>
      <w:tblPr>
        <w:tblStyle w:val="TableGrid"/>
        <w:tblW w:w="4800" w:type="pct"/>
        <w:jc w:val="left"/>
        <w:tblInd w:w="279" w:type="dxa"/>
        <w:tblCellMar>
          <w:top w:w="0" w:type="dxa"/>
          <w:left w:w="108" w:type="dxa"/>
          <w:bottom w:w="0" w:type="dxa"/>
          <w:right w:w="108" w:type="dxa"/>
        </w:tblCellMar>
        <w:tblLook w:firstRow="1" w:noVBand="1" w:lastRow="0" w:firstColumn="1" w:lastColumn="0" w:noHBand="0" w:val="04a0"/>
      </w:tblPr>
      <w:tblGrid>
        <w:gridCol w:w="2048"/>
        <w:gridCol w:w="3016"/>
        <w:gridCol w:w="1890"/>
        <w:gridCol w:w="1753"/>
      </w:tblGrid>
      <w:tr>
        <w:trPr/>
        <w:tc>
          <w:tcPr>
            <w:tcW w:w="2048"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Naziv strateškog cilja </w:t>
            </w:r>
            <w:r>
              <w:rPr>
                <w:rFonts w:eastAsia="Calibri" w:cs="Arial" w:ascii="Arial" w:hAnsi="Arial"/>
                <w:i/>
                <w:w w:val="95"/>
                <w:sz w:val="18"/>
                <w:szCs w:val="18"/>
                <w:lang w:val="hr-BA"/>
              </w:rPr>
              <w:t>1.</w:t>
            </w:r>
          </w:p>
        </w:tc>
        <w:tc>
          <w:tcPr>
            <w:tcW w:w="3016"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b/>
                <w:w w:val="95"/>
                <w:sz w:val="18"/>
                <w:szCs w:val="18"/>
                <w:lang w:val="hr-BA"/>
              </w:rPr>
              <w:t>Izvor</w:t>
            </w:r>
          </w:p>
          <w:p>
            <w:pPr>
              <w:pStyle w:val="Normal"/>
              <w:tabs>
                <w:tab w:val="clear" w:pos="708"/>
                <w:tab w:val="left" w:pos="2413" w:leader="none"/>
              </w:tabs>
              <w:spacing w:lineRule="auto" w:line="276"/>
              <w:ind w:left="0" w:hanging="0"/>
              <w:jc w:val="center"/>
              <w:rPr>
                <w:rFonts w:ascii="Arial" w:hAnsi="Arial" w:eastAsia="Calibri" w:cs="Arial"/>
                <w:i/>
                <w:i/>
                <w:w w:val="95"/>
                <w:sz w:val="18"/>
                <w:szCs w:val="18"/>
                <w:lang w:val="hr-BA"/>
              </w:rPr>
            </w:pPr>
            <w:r>
              <w:rPr>
                <w:rFonts w:eastAsia="Calibri" w:cs="Arial" w:ascii="Arial" w:hAnsi="Arial"/>
                <w:i/>
                <w:w w:val="95"/>
                <w:sz w:val="18"/>
                <w:szCs w:val="18"/>
                <w:lang w:val="hr-BA"/>
              </w:rPr>
              <w:t>(veza sa ciljevima iz strateškog okvira)</w:t>
            </w:r>
          </w:p>
        </w:tc>
        <w:tc>
          <w:tcPr>
            <w:tcW w:w="1890"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Program u DOB-u</w:t>
            </w:r>
          </w:p>
          <w:p>
            <w:pPr>
              <w:pStyle w:val="Normal"/>
              <w:tabs>
                <w:tab w:val="clear" w:pos="708"/>
                <w:tab w:val="left" w:pos="2413" w:leader="none"/>
              </w:tabs>
              <w:spacing w:lineRule="auto" w:line="276"/>
              <w:ind w:left="0" w:hanging="0"/>
              <w:jc w:val="center"/>
              <w:rPr>
                <w:rFonts w:ascii="Arial" w:hAnsi="Arial" w:eastAsia="Calibri" w:cs="Arial"/>
                <w:i/>
                <w:i/>
                <w:w w:val="95"/>
                <w:sz w:val="18"/>
                <w:szCs w:val="18"/>
                <w:lang w:val="hr-BA"/>
              </w:rPr>
            </w:pPr>
            <w:r>
              <w:rPr>
                <w:rFonts w:eastAsia="Calibri" w:cs="Arial" w:ascii="Arial" w:hAnsi="Arial"/>
                <w:i/>
                <w:w w:val="95"/>
                <w:sz w:val="18"/>
                <w:szCs w:val="18"/>
                <w:lang w:val="hr-BA"/>
              </w:rPr>
              <w:t>(Upisati broj i naziv programa)</w:t>
            </w:r>
          </w:p>
        </w:tc>
        <w:tc>
          <w:tcPr>
            <w:tcW w:w="1753"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b/>
                <w:w w:val="95"/>
                <w:sz w:val="18"/>
                <w:szCs w:val="18"/>
                <w:lang w:val="hr-BA"/>
              </w:rPr>
              <w:t>Partneri</w:t>
            </w:r>
            <w:r>
              <w:rPr>
                <w:rFonts w:eastAsia="Calibri" w:cs="Arial" w:ascii="Arial" w:hAnsi="Arial"/>
                <w:w w:val="95"/>
                <w:sz w:val="18"/>
                <w:szCs w:val="18"/>
                <w:lang w:val="hr-BA"/>
              </w:rPr>
              <w:t xml:space="preserve"> </w:t>
            </w:r>
          </w:p>
          <w:p>
            <w:pPr>
              <w:pStyle w:val="Normal"/>
              <w:tabs>
                <w:tab w:val="clear" w:pos="708"/>
                <w:tab w:val="left" w:pos="2413" w:leader="none"/>
              </w:tabs>
              <w:spacing w:lineRule="auto" w:line="276"/>
              <w:ind w:left="0" w:hanging="0"/>
              <w:jc w:val="center"/>
              <w:rPr>
                <w:rFonts w:ascii="Arial" w:hAnsi="Arial" w:eastAsia="Calibri" w:cs="Arial"/>
                <w:i/>
                <w:i/>
                <w:w w:val="95"/>
                <w:sz w:val="18"/>
                <w:szCs w:val="18"/>
                <w:lang w:val="hr-BA"/>
              </w:rPr>
            </w:pPr>
            <w:r>
              <w:rPr>
                <w:rFonts w:eastAsia="Calibri" w:cs="Arial" w:ascii="Arial" w:hAnsi="Arial"/>
                <w:i/>
                <w:w w:val="95"/>
                <w:sz w:val="18"/>
                <w:szCs w:val="18"/>
                <w:lang w:val="hr-BA"/>
              </w:rPr>
              <w:t>(institucije sa kojima sud zajedno učestvuje u realizaciji strateškog cilja)</w:t>
            </w:r>
          </w:p>
        </w:tc>
      </w:tr>
      <w:tr>
        <w:trPr/>
        <w:tc>
          <w:tcPr>
            <w:tcW w:w="2048"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Style w:val="Fontstyle01"/>
                <w:rFonts w:cs="Arial" w:ascii="Arial" w:hAnsi="Arial"/>
                <w:b/>
                <w:i/>
                <w:color w:val="auto"/>
                <w:sz w:val="24"/>
                <w:szCs w:val="24"/>
                <w:lang w:val="en-GB"/>
              </w:rPr>
              <w:t xml:space="preserve"> </w:t>
            </w:r>
            <w:r>
              <w:rPr>
                <w:rStyle w:val="Fontstyle01"/>
                <w:rFonts w:cs="Arial" w:ascii="Arial" w:hAnsi="Arial"/>
                <w:b/>
                <w:i/>
                <w:color w:val="auto"/>
                <w:sz w:val="24"/>
                <w:szCs w:val="24"/>
                <w:lang w:val="en-GB"/>
              </w:rPr>
              <w:t>Efikasnost i efektivnost pravosudnih institucija</w:t>
            </w:r>
          </w:p>
        </w:tc>
        <w:tc>
          <w:tcPr>
            <w:tcW w:w="3016"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Style w:val="Fontstyle11"/>
                <w:rFonts w:cs="Arial" w:ascii="Arial" w:hAnsi="Arial"/>
                <w:color w:val="auto"/>
                <w:sz w:val="24"/>
                <w:szCs w:val="24"/>
                <w:lang w:val="en-GB"/>
              </w:rPr>
              <w:t>Strategija za reformu sektora pravde</w:t>
            </w:r>
          </w:p>
        </w:tc>
        <w:tc>
          <w:tcPr>
            <w:tcW w:w="1890"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Program br.1</w:t>
            </w:r>
          </w:p>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Zakonito postupanje, upravljanje i suđenje po sudskim predmetima u razumnom roku po svim referatima i vrstama predmeta.</w:t>
            </w:r>
          </w:p>
        </w:tc>
        <w:tc>
          <w:tcPr>
            <w:tcW w:w="1753"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VSTV BiH, ŽUPANIJSKI SUD</w:t>
            </w:r>
          </w:p>
        </w:tc>
      </w:tr>
      <w:tr>
        <w:trPr/>
        <w:tc>
          <w:tcPr>
            <w:tcW w:w="2048" w:type="dxa"/>
            <w:vMerge w:val="restart"/>
            <w:tcBorders/>
            <w:shd w:color="auto" w:fill="D9E2F3" w:val="clear"/>
          </w:tcPr>
          <w:p>
            <w:pPr>
              <w:pStyle w:val="Normal"/>
              <w:tabs>
                <w:tab w:val="clear" w:pos="708"/>
                <w:tab w:val="left" w:pos="2413" w:leader="none"/>
              </w:tabs>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Pokazatelji za krajnje rezultate</w:t>
            </w:r>
          </w:p>
        </w:tc>
        <w:tc>
          <w:tcPr>
            <w:tcW w:w="6659" w:type="dxa"/>
            <w:gridSpan w:val="3"/>
            <w:tcBorders/>
            <w:shd w:color="auto" w:fill="D9E2F3" w:val="clear"/>
            <w:vAlign w:val="center"/>
          </w:tcPr>
          <w:p>
            <w:pPr>
              <w:pStyle w:val="Normal"/>
              <w:tabs>
                <w:tab w:val="clear" w:pos="708"/>
                <w:tab w:val="left" w:pos="2413" w:leader="none"/>
              </w:tabs>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Očekivani rezultati po godinama</w:t>
            </w:r>
          </w:p>
        </w:tc>
      </w:tr>
      <w:tr>
        <w:trPr/>
        <w:tc>
          <w:tcPr>
            <w:tcW w:w="2048" w:type="dxa"/>
            <w:vMerge w:val="continue"/>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301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2021</w:t>
            </w:r>
          </w:p>
        </w:tc>
        <w:tc>
          <w:tcPr>
            <w:tcW w:w="1890"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2022</w:t>
            </w:r>
          </w:p>
        </w:tc>
        <w:tc>
          <w:tcPr>
            <w:tcW w:w="1753"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2023</w:t>
            </w:r>
          </w:p>
        </w:tc>
      </w:tr>
      <w:tr>
        <w:trPr/>
        <w:tc>
          <w:tcPr>
            <w:tcW w:w="2048"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riješenih  predmeta izvršenja</w:t>
            </w:r>
          </w:p>
        </w:tc>
        <w:tc>
          <w:tcPr>
            <w:tcW w:w="301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600</w:t>
            </w:r>
          </w:p>
        </w:tc>
        <w:tc>
          <w:tcPr>
            <w:tcW w:w="1890"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650</w:t>
            </w:r>
          </w:p>
        </w:tc>
        <w:tc>
          <w:tcPr>
            <w:tcW w:w="1753"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700</w:t>
            </w:r>
          </w:p>
        </w:tc>
      </w:tr>
      <w:tr>
        <w:trPr/>
        <w:tc>
          <w:tcPr>
            <w:tcW w:w="2048"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 xml:space="preserve">Broj riješenih parničnih predmeta </w:t>
            </w:r>
          </w:p>
        </w:tc>
        <w:tc>
          <w:tcPr>
            <w:tcW w:w="301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700</w:t>
            </w:r>
          </w:p>
        </w:tc>
        <w:tc>
          <w:tcPr>
            <w:tcW w:w="1890"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750</w:t>
            </w:r>
          </w:p>
        </w:tc>
        <w:tc>
          <w:tcPr>
            <w:tcW w:w="1753"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800</w:t>
            </w:r>
          </w:p>
        </w:tc>
      </w:tr>
    </w:tbl>
    <w:p>
      <w:pPr>
        <w:pStyle w:val="Normal"/>
        <w:ind w:left="0" w:hanging="0"/>
        <w:rPr>
          <w:rFonts w:ascii="Arial" w:hAnsi="Arial" w:eastAsia="Calibri" w:cs="Arial"/>
          <w:i/>
          <w:i/>
          <w:w w:val="95"/>
          <w:sz w:val="24"/>
          <w:szCs w:val="24"/>
          <w:lang w:val="hr-BA"/>
        </w:rPr>
      </w:pPr>
      <w:r>
        <w:rPr>
          <w:rFonts w:eastAsia="Calibri" w:cs="Arial" w:ascii="Arial" w:hAnsi="Arial"/>
          <w:i/>
          <w:w w:val="95"/>
          <w:sz w:val="24"/>
          <w:szCs w:val="24"/>
          <w:lang w:val="hr-BA"/>
        </w:rPr>
      </w:r>
    </w:p>
    <w:tbl>
      <w:tblPr>
        <w:tblStyle w:val="TableGrid"/>
        <w:tblW w:w="4800" w:type="pct"/>
        <w:jc w:val="left"/>
        <w:tblInd w:w="279" w:type="dxa"/>
        <w:tblCellMar>
          <w:top w:w="0" w:type="dxa"/>
          <w:left w:w="108" w:type="dxa"/>
          <w:bottom w:w="0" w:type="dxa"/>
          <w:right w:w="108" w:type="dxa"/>
        </w:tblCellMar>
        <w:tblLook w:firstRow="1" w:noVBand="1" w:lastRow="0" w:firstColumn="1" w:lastColumn="0" w:noHBand="0" w:val="04a0"/>
      </w:tblPr>
      <w:tblGrid>
        <w:gridCol w:w="2070"/>
        <w:gridCol w:w="3010"/>
        <w:gridCol w:w="1880"/>
        <w:gridCol w:w="1747"/>
      </w:tblGrid>
      <w:tr>
        <w:trPr/>
        <w:tc>
          <w:tcPr>
            <w:tcW w:w="2070"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Naziv strateškog cilja 2.</w:t>
            </w:r>
          </w:p>
        </w:tc>
        <w:tc>
          <w:tcPr>
            <w:tcW w:w="3010"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b/>
                <w:w w:val="95"/>
                <w:sz w:val="18"/>
                <w:szCs w:val="18"/>
                <w:lang w:val="hr-BA"/>
              </w:rPr>
              <w:t>Izvor</w:t>
            </w:r>
          </w:p>
          <w:p>
            <w:pPr>
              <w:pStyle w:val="Normal"/>
              <w:tabs>
                <w:tab w:val="clear" w:pos="708"/>
                <w:tab w:val="left" w:pos="2413" w:leader="none"/>
              </w:tabs>
              <w:spacing w:lineRule="auto" w:line="276"/>
              <w:ind w:left="0" w:hanging="0"/>
              <w:jc w:val="center"/>
              <w:rPr>
                <w:rFonts w:ascii="Arial" w:hAnsi="Arial" w:eastAsia="Calibri" w:cs="Arial"/>
                <w:i/>
                <w:i/>
                <w:w w:val="95"/>
                <w:sz w:val="18"/>
                <w:szCs w:val="18"/>
                <w:lang w:val="hr-BA"/>
              </w:rPr>
            </w:pPr>
            <w:r>
              <w:rPr>
                <w:rFonts w:eastAsia="Calibri" w:cs="Arial" w:ascii="Arial" w:hAnsi="Arial"/>
                <w:i/>
                <w:w w:val="95"/>
                <w:sz w:val="18"/>
                <w:szCs w:val="18"/>
                <w:lang w:val="hr-BA"/>
              </w:rPr>
              <w:t>(veza sa ciljevima iz strateškog okvira)</w:t>
            </w:r>
          </w:p>
        </w:tc>
        <w:tc>
          <w:tcPr>
            <w:tcW w:w="1880"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Program u DOB-u</w:t>
            </w:r>
          </w:p>
          <w:p>
            <w:pPr>
              <w:pStyle w:val="Normal"/>
              <w:tabs>
                <w:tab w:val="clear" w:pos="708"/>
                <w:tab w:val="left" w:pos="2413" w:leader="none"/>
              </w:tabs>
              <w:spacing w:lineRule="auto" w:line="276"/>
              <w:ind w:left="0" w:hanging="0"/>
              <w:jc w:val="center"/>
              <w:rPr>
                <w:rFonts w:ascii="Arial" w:hAnsi="Arial" w:eastAsia="Calibri" w:cs="Arial"/>
                <w:i/>
                <w:i/>
                <w:w w:val="95"/>
                <w:sz w:val="18"/>
                <w:szCs w:val="18"/>
                <w:lang w:val="hr-BA"/>
              </w:rPr>
            </w:pPr>
            <w:r>
              <w:rPr>
                <w:rFonts w:eastAsia="Calibri" w:cs="Arial" w:ascii="Arial" w:hAnsi="Arial"/>
                <w:i/>
                <w:w w:val="95"/>
                <w:sz w:val="18"/>
                <w:szCs w:val="18"/>
                <w:lang w:val="hr-BA"/>
              </w:rPr>
              <w:t>(Upisati broj i naziv programa)</w:t>
            </w:r>
          </w:p>
        </w:tc>
        <w:tc>
          <w:tcPr>
            <w:tcW w:w="1747"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b/>
                <w:w w:val="95"/>
                <w:sz w:val="18"/>
                <w:szCs w:val="18"/>
                <w:lang w:val="hr-BA"/>
              </w:rPr>
              <w:t>Partneri</w:t>
            </w:r>
            <w:r>
              <w:rPr>
                <w:rFonts w:eastAsia="Calibri" w:cs="Arial" w:ascii="Arial" w:hAnsi="Arial"/>
                <w:w w:val="95"/>
                <w:sz w:val="18"/>
                <w:szCs w:val="18"/>
                <w:lang w:val="hr-BA"/>
              </w:rPr>
              <w:t xml:space="preserve"> </w:t>
            </w:r>
          </w:p>
          <w:p>
            <w:pPr>
              <w:pStyle w:val="Normal"/>
              <w:tabs>
                <w:tab w:val="clear" w:pos="708"/>
                <w:tab w:val="left" w:pos="2413" w:leader="none"/>
              </w:tabs>
              <w:spacing w:lineRule="auto" w:line="276"/>
              <w:ind w:left="0" w:hanging="0"/>
              <w:jc w:val="center"/>
              <w:rPr>
                <w:rFonts w:ascii="Arial" w:hAnsi="Arial" w:eastAsia="Calibri" w:cs="Arial"/>
                <w:i/>
                <w:i/>
                <w:w w:val="95"/>
                <w:sz w:val="18"/>
                <w:szCs w:val="18"/>
                <w:lang w:val="hr-BA"/>
              </w:rPr>
            </w:pPr>
            <w:r>
              <w:rPr>
                <w:rFonts w:eastAsia="Calibri" w:cs="Arial" w:ascii="Arial" w:hAnsi="Arial"/>
                <w:i/>
                <w:w w:val="95"/>
                <w:sz w:val="18"/>
                <w:szCs w:val="18"/>
                <w:lang w:val="hr-BA"/>
              </w:rPr>
              <w:t>(institucije sa kojima sud zajedno učestvuje u realizaciji strateškog cilja)</w:t>
            </w:r>
          </w:p>
        </w:tc>
      </w:tr>
      <w:tr>
        <w:trPr/>
        <w:tc>
          <w:tcPr>
            <w:tcW w:w="2070"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Style w:val="Fontstyle01"/>
                <w:rFonts w:cs="Arial" w:ascii="Arial" w:hAnsi="Arial"/>
                <w:b/>
                <w:i/>
                <w:color w:val="auto"/>
                <w:sz w:val="24"/>
                <w:szCs w:val="24"/>
                <w:lang w:val="en-GB"/>
              </w:rPr>
              <w:t xml:space="preserve"> </w:t>
            </w:r>
            <w:r>
              <w:rPr>
                <w:rStyle w:val="Fontstyle01"/>
                <w:rFonts w:cs="Arial" w:ascii="Arial" w:hAnsi="Arial"/>
                <w:b/>
                <w:i/>
                <w:color w:val="auto"/>
                <w:sz w:val="24"/>
                <w:szCs w:val="24"/>
                <w:lang w:val="en-GB"/>
              </w:rPr>
              <w:t>Otvorenost u radu pravosudnih institucija</w:t>
            </w:r>
          </w:p>
        </w:tc>
        <w:tc>
          <w:tcPr>
            <w:tcW w:w="3010"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Style w:val="Fontstyle11"/>
                <w:rFonts w:cs="Arial" w:ascii="Arial" w:hAnsi="Arial"/>
                <w:color w:val="auto"/>
                <w:sz w:val="24"/>
                <w:szCs w:val="24"/>
                <w:lang w:val="en-GB"/>
              </w:rPr>
              <w:t>Strategija za reformu sektora pravde</w:t>
            </w:r>
          </w:p>
        </w:tc>
        <w:tc>
          <w:tcPr>
            <w:tcW w:w="1880"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Program br.1</w:t>
            </w:r>
          </w:p>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Zakonito postupanje, upravljanje i suđenje po sudskim predmetima u razumnom roku po svim referatima i vrstama predmeta.</w:t>
            </w:r>
          </w:p>
        </w:tc>
        <w:tc>
          <w:tcPr>
            <w:tcW w:w="1747"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VSTV BiH,CEST FBiH</w:t>
            </w:r>
          </w:p>
        </w:tc>
      </w:tr>
      <w:tr>
        <w:trPr/>
        <w:tc>
          <w:tcPr>
            <w:tcW w:w="2070" w:type="dxa"/>
            <w:vMerge w:val="restart"/>
            <w:tcBorders/>
            <w:shd w:color="auto" w:fill="D9E2F3" w:val="clear"/>
          </w:tcPr>
          <w:p>
            <w:pPr>
              <w:pStyle w:val="Normal"/>
              <w:tabs>
                <w:tab w:val="clear" w:pos="708"/>
                <w:tab w:val="left" w:pos="2413" w:leader="none"/>
              </w:tabs>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Pokazatelji za krajnje rezultate</w:t>
            </w:r>
          </w:p>
        </w:tc>
        <w:tc>
          <w:tcPr>
            <w:tcW w:w="6637" w:type="dxa"/>
            <w:gridSpan w:val="3"/>
            <w:tcBorders/>
            <w:shd w:color="auto" w:fill="D9E2F3" w:val="clear"/>
            <w:vAlign w:val="center"/>
          </w:tcPr>
          <w:p>
            <w:pPr>
              <w:pStyle w:val="Normal"/>
              <w:tabs>
                <w:tab w:val="clear" w:pos="708"/>
                <w:tab w:val="left" w:pos="2413" w:leader="none"/>
              </w:tabs>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Očekivani rezultati po godinama</w:t>
            </w:r>
          </w:p>
        </w:tc>
      </w:tr>
      <w:tr>
        <w:trPr/>
        <w:tc>
          <w:tcPr>
            <w:tcW w:w="2070" w:type="dxa"/>
            <w:vMerge w:val="continue"/>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3010"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2021</w:t>
            </w:r>
          </w:p>
        </w:tc>
        <w:tc>
          <w:tcPr>
            <w:tcW w:w="1880"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2022</w:t>
            </w:r>
          </w:p>
        </w:tc>
        <w:tc>
          <w:tcPr>
            <w:tcW w:w="1747"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2023</w:t>
            </w:r>
          </w:p>
        </w:tc>
      </w:tr>
      <w:tr>
        <w:trPr/>
        <w:tc>
          <w:tcPr>
            <w:tcW w:w="2070"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Objavljeni sadržaji i aktivnosti rada suda</w:t>
            </w:r>
          </w:p>
        </w:tc>
        <w:tc>
          <w:tcPr>
            <w:tcW w:w="3010"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w:t>
            </w:r>
          </w:p>
        </w:tc>
        <w:tc>
          <w:tcPr>
            <w:tcW w:w="1880"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30%</w:t>
            </w:r>
          </w:p>
        </w:tc>
        <w:tc>
          <w:tcPr>
            <w:tcW w:w="1747"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30%</w:t>
            </w:r>
          </w:p>
        </w:tc>
      </w:tr>
    </w:tbl>
    <w:p>
      <w:pPr>
        <w:pStyle w:val="Normal"/>
        <w:ind w:left="0" w:hanging="0"/>
        <w:rPr>
          <w:rFonts w:ascii="Arial" w:hAnsi="Arial" w:eastAsia="Calibri" w:cs="Arial"/>
          <w:i/>
          <w:i/>
          <w:w w:val="95"/>
          <w:sz w:val="24"/>
          <w:szCs w:val="24"/>
          <w:lang w:val="hr-BA"/>
        </w:rPr>
      </w:pPr>
      <w:r>
        <w:rPr>
          <w:rFonts w:eastAsia="Calibri" w:cs="Arial" w:ascii="Arial" w:hAnsi="Arial"/>
          <w:i/>
          <w:w w:val="95"/>
          <w:sz w:val="24"/>
          <w:szCs w:val="24"/>
          <w:lang w:val="hr-BA"/>
        </w:rPr>
      </w:r>
    </w:p>
    <w:tbl>
      <w:tblPr>
        <w:tblStyle w:val="TableGrid"/>
        <w:tblW w:w="4800" w:type="pct"/>
        <w:jc w:val="left"/>
        <w:tblInd w:w="279" w:type="dxa"/>
        <w:tblCellMar>
          <w:top w:w="0" w:type="dxa"/>
          <w:left w:w="108" w:type="dxa"/>
          <w:bottom w:w="0" w:type="dxa"/>
          <w:right w:w="108" w:type="dxa"/>
        </w:tblCellMar>
        <w:tblLook w:firstRow="1" w:noVBand="1" w:lastRow="0" w:firstColumn="1" w:lastColumn="0" w:noHBand="0" w:val="04a0"/>
      </w:tblPr>
      <w:tblGrid>
        <w:gridCol w:w="1997"/>
        <w:gridCol w:w="3035"/>
        <w:gridCol w:w="1906"/>
        <w:gridCol w:w="1769"/>
      </w:tblGrid>
      <w:tr>
        <w:trPr/>
        <w:tc>
          <w:tcPr>
            <w:tcW w:w="1997" w:type="dxa"/>
            <w:tcBorders/>
            <w:shd w:color="auto" w:fill="4472C4" w:val="clear"/>
            <w:vAlign w:val="center"/>
          </w:tcPr>
          <w:p>
            <w:pPr>
              <w:pStyle w:val="Normal"/>
              <w:tabs>
                <w:tab w:val="clear" w:pos="708"/>
                <w:tab w:val="left" w:pos="2413" w:leader="none"/>
              </w:tabs>
              <w:spacing w:lineRule="auto" w:line="276"/>
              <w:ind w:left="-248"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Naziv strateškog cilja 3. </w:t>
            </w:r>
          </w:p>
        </w:tc>
        <w:tc>
          <w:tcPr>
            <w:tcW w:w="3035"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b/>
                <w:w w:val="95"/>
                <w:sz w:val="18"/>
                <w:szCs w:val="18"/>
                <w:lang w:val="hr-BA"/>
              </w:rPr>
              <w:t>Izvor</w:t>
            </w:r>
          </w:p>
          <w:p>
            <w:pPr>
              <w:pStyle w:val="Normal"/>
              <w:tabs>
                <w:tab w:val="clear" w:pos="708"/>
                <w:tab w:val="left" w:pos="2413" w:leader="none"/>
              </w:tabs>
              <w:spacing w:lineRule="auto" w:line="276"/>
              <w:ind w:left="0" w:hanging="0"/>
              <w:jc w:val="center"/>
              <w:rPr>
                <w:rFonts w:ascii="Arial" w:hAnsi="Arial" w:eastAsia="Calibri" w:cs="Arial"/>
                <w:i/>
                <w:i/>
                <w:w w:val="95"/>
                <w:sz w:val="18"/>
                <w:szCs w:val="18"/>
                <w:lang w:val="hr-BA"/>
              </w:rPr>
            </w:pPr>
            <w:r>
              <w:rPr>
                <w:rFonts w:eastAsia="Calibri" w:cs="Arial" w:ascii="Arial" w:hAnsi="Arial"/>
                <w:i/>
                <w:w w:val="95"/>
                <w:sz w:val="18"/>
                <w:szCs w:val="18"/>
                <w:lang w:val="hr-BA"/>
              </w:rPr>
            </w:r>
          </w:p>
        </w:tc>
        <w:tc>
          <w:tcPr>
            <w:tcW w:w="1906"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Program u DOB-u</w:t>
            </w:r>
          </w:p>
          <w:p>
            <w:pPr>
              <w:pStyle w:val="Normal"/>
              <w:tabs>
                <w:tab w:val="clear" w:pos="708"/>
                <w:tab w:val="left" w:pos="2413" w:leader="none"/>
              </w:tabs>
              <w:spacing w:lineRule="auto" w:line="276"/>
              <w:ind w:left="0" w:hanging="0"/>
              <w:jc w:val="center"/>
              <w:rPr>
                <w:rFonts w:ascii="Arial" w:hAnsi="Arial" w:eastAsia="Calibri" w:cs="Arial"/>
                <w:i/>
                <w:i/>
                <w:w w:val="95"/>
                <w:sz w:val="18"/>
                <w:szCs w:val="18"/>
                <w:lang w:val="hr-BA"/>
              </w:rPr>
            </w:pPr>
            <w:r>
              <w:rPr>
                <w:rFonts w:eastAsia="Calibri" w:cs="Arial" w:ascii="Arial" w:hAnsi="Arial"/>
                <w:i/>
                <w:w w:val="95"/>
                <w:sz w:val="18"/>
                <w:szCs w:val="18"/>
                <w:lang w:val="hr-BA"/>
              </w:rPr>
              <w:t>(Upisati broj i naziv programa)</w:t>
            </w:r>
          </w:p>
        </w:tc>
        <w:tc>
          <w:tcPr>
            <w:tcW w:w="1769" w:type="dxa"/>
            <w:tcBorders/>
            <w:shd w:color="auto" w:fill="4472C4"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b/>
                <w:w w:val="95"/>
                <w:sz w:val="18"/>
                <w:szCs w:val="18"/>
                <w:lang w:val="hr-BA"/>
              </w:rPr>
              <w:t>Partneri</w:t>
            </w:r>
            <w:r>
              <w:rPr>
                <w:rFonts w:eastAsia="Calibri" w:cs="Arial" w:ascii="Arial" w:hAnsi="Arial"/>
                <w:w w:val="95"/>
                <w:sz w:val="18"/>
                <w:szCs w:val="18"/>
                <w:lang w:val="hr-BA"/>
              </w:rPr>
              <w:t xml:space="preserve"> </w:t>
            </w:r>
          </w:p>
          <w:p>
            <w:pPr>
              <w:pStyle w:val="Normal"/>
              <w:tabs>
                <w:tab w:val="clear" w:pos="708"/>
                <w:tab w:val="left" w:pos="2413" w:leader="none"/>
              </w:tabs>
              <w:spacing w:lineRule="auto" w:line="276"/>
              <w:ind w:left="0" w:hanging="0"/>
              <w:jc w:val="center"/>
              <w:rPr>
                <w:rFonts w:ascii="Arial" w:hAnsi="Arial" w:eastAsia="Calibri" w:cs="Arial"/>
                <w:i/>
                <w:i/>
                <w:w w:val="95"/>
                <w:sz w:val="18"/>
                <w:szCs w:val="18"/>
                <w:lang w:val="hr-BA"/>
              </w:rPr>
            </w:pPr>
            <w:r>
              <w:rPr>
                <w:rFonts w:eastAsia="Calibri" w:cs="Arial" w:ascii="Arial" w:hAnsi="Arial"/>
                <w:i/>
                <w:w w:val="95"/>
                <w:sz w:val="18"/>
                <w:szCs w:val="18"/>
                <w:lang w:val="hr-BA"/>
              </w:rPr>
              <w:t>(institucije sa kojima sud zajedno učestvuje u realizaciji strateškog cilja)</w:t>
            </w:r>
          </w:p>
        </w:tc>
      </w:tr>
      <w:tr>
        <w:trPr/>
        <w:tc>
          <w:tcPr>
            <w:tcW w:w="1997"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Style w:val="Fontstyle01"/>
                <w:rFonts w:cs="Arial" w:ascii="Arial" w:hAnsi="Arial"/>
                <w:b/>
                <w:i/>
                <w:color w:val="auto"/>
                <w:sz w:val="24"/>
                <w:szCs w:val="24"/>
                <w:lang w:val="en-GB"/>
              </w:rPr>
              <w:t xml:space="preserve"> </w:t>
            </w:r>
            <w:r>
              <w:rPr>
                <w:rStyle w:val="Fontstyle01"/>
                <w:rFonts w:cs="Arial" w:ascii="Arial" w:hAnsi="Arial"/>
                <w:b/>
                <w:i/>
                <w:color w:val="auto"/>
                <w:sz w:val="24"/>
                <w:szCs w:val="24"/>
                <w:lang w:val="en-GB"/>
              </w:rPr>
              <w:t>Unapređenje odgovornosti, nezavisnosti, učinkovitosti i kvalitete u sektoru pravde BiH</w:t>
            </w:r>
          </w:p>
        </w:tc>
        <w:tc>
          <w:tcPr>
            <w:tcW w:w="3035"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Style w:val="Fontstyle11"/>
                <w:rFonts w:cs="Arial" w:ascii="Arial" w:hAnsi="Arial"/>
                <w:color w:val="auto"/>
                <w:sz w:val="24"/>
                <w:szCs w:val="24"/>
                <w:lang w:val="en-GB"/>
              </w:rPr>
              <w:t>Srednjoročni plan VSZV-a BiH za period 2021-2023 godine kao i Izvješćem stručnjaka o pitanjima vladavine prava u Bosni i Hercegovini (Pribeovo izvješće)</w:t>
            </w:r>
          </w:p>
        </w:tc>
        <w:tc>
          <w:tcPr>
            <w:tcW w:w="1906"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Program br.1</w:t>
            </w:r>
          </w:p>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Zakonito postupanje, upravljanje i suđenje po sudskim predmetima u razumnom roku po svim referatima i vrstama predmeta.</w:t>
            </w:r>
          </w:p>
        </w:tc>
        <w:tc>
          <w:tcPr>
            <w:tcW w:w="1769"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VSTV BiH,CEST FBiH</w:t>
            </w:r>
          </w:p>
        </w:tc>
      </w:tr>
      <w:tr>
        <w:trPr/>
        <w:tc>
          <w:tcPr>
            <w:tcW w:w="1997" w:type="dxa"/>
            <w:vMerge w:val="restart"/>
            <w:tcBorders/>
            <w:shd w:color="auto" w:fill="D9E2F3" w:val="clear"/>
          </w:tcPr>
          <w:p>
            <w:pPr>
              <w:pStyle w:val="Normal"/>
              <w:tabs>
                <w:tab w:val="clear" w:pos="708"/>
                <w:tab w:val="left" w:pos="2413" w:leader="none"/>
              </w:tabs>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Pokazatelji za krajnje rezultate</w:t>
            </w:r>
          </w:p>
        </w:tc>
        <w:tc>
          <w:tcPr>
            <w:tcW w:w="6710" w:type="dxa"/>
            <w:gridSpan w:val="3"/>
            <w:tcBorders/>
            <w:shd w:color="auto" w:fill="D9E2F3" w:val="clear"/>
            <w:vAlign w:val="center"/>
          </w:tcPr>
          <w:p>
            <w:pPr>
              <w:pStyle w:val="Normal"/>
              <w:tabs>
                <w:tab w:val="clear" w:pos="708"/>
                <w:tab w:val="left" w:pos="2413" w:leader="none"/>
              </w:tabs>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Očekivani rezultati po godinama</w:t>
            </w:r>
          </w:p>
        </w:tc>
      </w:tr>
      <w:tr>
        <w:trPr/>
        <w:tc>
          <w:tcPr>
            <w:tcW w:w="1997" w:type="dxa"/>
            <w:vMerge w:val="continue"/>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3035"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2021</w:t>
            </w:r>
          </w:p>
        </w:tc>
        <w:tc>
          <w:tcPr>
            <w:tcW w:w="190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2022</w:t>
            </w:r>
          </w:p>
        </w:tc>
        <w:tc>
          <w:tcPr>
            <w:tcW w:w="1769"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2023</w:t>
            </w:r>
          </w:p>
        </w:tc>
      </w:tr>
      <w:tr>
        <w:trPr/>
        <w:tc>
          <w:tcPr>
            <w:tcW w:w="1997"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riješenih predmeta medijacije i sudske nagodbe</w:t>
            </w:r>
          </w:p>
        </w:tc>
        <w:tc>
          <w:tcPr>
            <w:tcW w:w="3035"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10</w:t>
            </w:r>
          </w:p>
        </w:tc>
        <w:tc>
          <w:tcPr>
            <w:tcW w:w="190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15</w:t>
            </w:r>
          </w:p>
        </w:tc>
        <w:tc>
          <w:tcPr>
            <w:tcW w:w="1769"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w:t>
            </w:r>
          </w:p>
        </w:tc>
      </w:tr>
      <w:tr>
        <w:trPr/>
        <w:tc>
          <w:tcPr>
            <w:tcW w:w="1997"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edukacija na temu alternativnog rješavanja sporova.</w:t>
            </w:r>
          </w:p>
        </w:tc>
        <w:tc>
          <w:tcPr>
            <w:tcW w:w="3035"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90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769"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r>
      <w:tr>
        <w:trPr/>
        <w:tc>
          <w:tcPr>
            <w:tcW w:w="1997"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sudaca koji su bili polaznici obuke</w:t>
            </w:r>
          </w:p>
        </w:tc>
        <w:tc>
          <w:tcPr>
            <w:tcW w:w="3035"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c>
          <w:tcPr>
            <w:tcW w:w="190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c>
          <w:tcPr>
            <w:tcW w:w="1769"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r>
      <w:tr>
        <w:trPr/>
        <w:tc>
          <w:tcPr>
            <w:tcW w:w="1997"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edukacija na temu upravljanje sudskim postupkom i vremenom</w:t>
            </w:r>
          </w:p>
        </w:tc>
        <w:tc>
          <w:tcPr>
            <w:tcW w:w="3035"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90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769"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r>
      <w:tr>
        <w:trPr/>
        <w:tc>
          <w:tcPr>
            <w:tcW w:w="1997"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sudaca koji su bili polaznici obuke</w:t>
            </w:r>
          </w:p>
        </w:tc>
        <w:tc>
          <w:tcPr>
            <w:tcW w:w="3035"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c>
          <w:tcPr>
            <w:tcW w:w="190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c>
          <w:tcPr>
            <w:tcW w:w="1769"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r>
      <w:tr>
        <w:trPr/>
        <w:tc>
          <w:tcPr>
            <w:tcW w:w="1997" w:type="dxa"/>
            <w:tcBorders/>
            <w:shd w:fill="auto" w:val="clear"/>
          </w:tcPr>
          <w:p>
            <w:pPr>
              <w:pStyle w:val="Normal"/>
              <w:tabs>
                <w:tab w:val="clear" w:pos="708"/>
                <w:tab w:val="left" w:pos="2413" w:leader="none"/>
              </w:tabs>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Evidentirani broj korištenih izlaznica</w:t>
            </w:r>
          </w:p>
        </w:tc>
        <w:tc>
          <w:tcPr>
            <w:tcW w:w="3035"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 xml:space="preserve">5% manje </w:t>
            </w:r>
          </w:p>
        </w:tc>
        <w:tc>
          <w:tcPr>
            <w:tcW w:w="1906"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5% manje</w:t>
            </w:r>
          </w:p>
        </w:tc>
        <w:tc>
          <w:tcPr>
            <w:tcW w:w="1769" w:type="dxa"/>
            <w:tcBorders/>
            <w:shd w:fill="auto" w:val="clear"/>
            <w:vAlign w:val="center"/>
          </w:tcPr>
          <w:p>
            <w:pPr>
              <w:pStyle w:val="Normal"/>
              <w:tabs>
                <w:tab w:val="clear" w:pos="708"/>
                <w:tab w:val="left" w:pos="2413" w:leader="none"/>
              </w:tabs>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5 % manje</w:t>
            </w:r>
          </w:p>
        </w:tc>
      </w:tr>
    </w:tbl>
    <w:p>
      <w:pPr>
        <w:pStyle w:val="Normal"/>
        <w:ind w:left="0" w:hanging="0"/>
        <w:rPr>
          <w:rFonts w:ascii="Arial" w:hAnsi="Arial" w:eastAsia="Calibri" w:cs="Arial"/>
          <w:i/>
          <w:i/>
          <w:w w:val="95"/>
          <w:sz w:val="24"/>
          <w:szCs w:val="24"/>
          <w:lang w:val="hr-BA"/>
        </w:rPr>
      </w:pPr>
      <w:r>
        <w:rPr>
          <w:rFonts w:eastAsia="Calibri" w:cs="Arial" w:ascii="Arial" w:hAnsi="Arial"/>
          <w:i/>
          <w:w w:val="95"/>
          <w:sz w:val="24"/>
          <w:szCs w:val="24"/>
          <w:lang w:val="hr-BA"/>
        </w:rPr>
      </w:r>
    </w:p>
    <w:p>
      <w:pPr>
        <w:pStyle w:val="Normal"/>
        <w:ind w:left="0" w:hanging="0"/>
        <w:rPr>
          <w:rFonts w:ascii="Arial" w:hAnsi="Arial" w:eastAsia="Calibri" w:cs="Arial"/>
          <w:i/>
          <w:i/>
          <w:w w:val="95"/>
          <w:sz w:val="24"/>
          <w:szCs w:val="24"/>
          <w:lang w:val="hr-BA"/>
        </w:rPr>
      </w:pPr>
      <w:r>
        <w:rPr>
          <w:rFonts w:eastAsia="Calibri" w:cs="Arial" w:ascii="Arial" w:hAnsi="Arial"/>
          <w:i/>
          <w:w w:val="95"/>
          <w:sz w:val="24"/>
          <w:szCs w:val="24"/>
          <w:lang w:val="hr-BA"/>
        </w:rPr>
      </w:r>
    </w:p>
    <w:p>
      <w:pPr>
        <w:pStyle w:val="Heading1"/>
        <w:rPr>
          <w:rFonts w:eastAsia="Times New Roman"/>
          <w:color w:val="auto"/>
          <w:w w:val="95"/>
          <w:lang w:val="hr-BA"/>
        </w:rPr>
      </w:pPr>
      <w:bookmarkStart w:id="70" w:name="_Toc67566980"/>
      <w:r>
        <w:rPr>
          <w:rFonts w:eastAsia="Times New Roman" w:cs="Arial" w:ascii="Arial" w:hAnsi="Arial"/>
          <w:b/>
          <w:color w:val="auto"/>
          <w:w w:val="95"/>
          <w:sz w:val="28"/>
          <w:szCs w:val="28"/>
          <w:lang w:val="hr-BA"/>
        </w:rPr>
        <w:t xml:space="preserve">C. </w:t>
      </w:r>
      <w:r>
        <w:rPr>
          <w:rFonts w:eastAsia="Times New Roman" w:cs="Arial" w:ascii="Arial" w:hAnsi="Arial"/>
          <w:b/>
          <w:bCs/>
          <w:color w:val="auto"/>
          <w:w w:val="95"/>
          <w:sz w:val="28"/>
          <w:szCs w:val="28"/>
          <w:lang w:val="hr-HR"/>
        </w:rPr>
        <w:t>Trogodišnji ciljevi i aktivnosti po strateškim ciljevima</w:t>
      </w:r>
      <w:bookmarkEnd w:id="70"/>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tbl>
      <w:tblPr>
        <w:tblStyle w:val="TableGrid"/>
        <w:tblW w:w="8930" w:type="dxa"/>
        <w:jc w:val="left"/>
        <w:tblInd w:w="421" w:type="dxa"/>
        <w:tblCellMar>
          <w:top w:w="0" w:type="dxa"/>
          <w:left w:w="108" w:type="dxa"/>
          <w:bottom w:w="0" w:type="dxa"/>
          <w:right w:w="108" w:type="dxa"/>
        </w:tblCellMar>
        <w:tblLook w:firstRow="1" w:noVBand="1" w:lastRow="0" w:firstColumn="1" w:lastColumn="0" w:noHBand="0" w:val="04a0"/>
      </w:tblPr>
      <w:tblGrid>
        <w:gridCol w:w="1446"/>
        <w:gridCol w:w="1966"/>
        <w:gridCol w:w="2268"/>
        <w:gridCol w:w="72"/>
        <w:gridCol w:w="1424"/>
        <w:gridCol w:w="1753"/>
      </w:tblGrid>
      <w:tr>
        <w:trPr/>
        <w:tc>
          <w:tcPr>
            <w:tcW w:w="3412" w:type="dxa"/>
            <w:gridSpan w:val="2"/>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Strateški cilj 1</w:t>
            </w:r>
          </w:p>
        </w:tc>
        <w:tc>
          <w:tcPr>
            <w:tcW w:w="5517" w:type="dxa"/>
            <w:gridSpan w:val="4"/>
            <w:tcBorders/>
            <w:shd w:color="auto" w:fill="8EAADB" w:val="clear"/>
            <w:vAlign w:val="center"/>
          </w:tcPr>
          <w:p>
            <w:pPr>
              <w:pStyle w:val="Normal"/>
              <w:spacing w:lineRule="auto" w:line="276"/>
              <w:ind w:left="0" w:hanging="0"/>
              <w:jc w:val="both"/>
              <w:rPr>
                <w:rFonts w:ascii="Arial" w:hAnsi="Arial" w:eastAsia="Calibri" w:cs="Arial"/>
                <w:b/>
                <w:b/>
                <w:i/>
                <w:i/>
                <w:w w:val="95"/>
                <w:sz w:val="18"/>
                <w:szCs w:val="18"/>
                <w:lang w:val="hr-BA"/>
              </w:rPr>
            </w:pPr>
            <w:r>
              <w:rPr>
                <w:rStyle w:val="Fontstyle01"/>
                <w:rFonts w:cs="Arial" w:ascii="Arial" w:hAnsi="Arial"/>
                <w:b/>
                <w:i/>
                <w:color w:val="auto"/>
                <w:sz w:val="24"/>
                <w:szCs w:val="24"/>
                <w:lang w:val="en-GB"/>
              </w:rPr>
              <w:t>Efikasnost i efektivnost pravosudnih institucija</w:t>
            </w:r>
          </w:p>
        </w:tc>
      </w:tr>
      <w:tr>
        <w:trPr/>
        <w:tc>
          <w:tcPr>
            <w:tcW w:w="3412" w:type="dxa"/>
            <w:gridSpan w:val="2"/>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Trogodišnji cilj 1.1.</w:t>
            </w:r>
          </w:p>
        </w:tc>
        <w:tc>
          <w:tcPr>
            <w:tcW w:w="5517" w:type="dxa"/>
            <w:gridSpan w:val="4"/>
            <w:tcBorders/>
            <w:shd w:color="auto" w:fill="8EAADB" w:val="clear"/>
            <w:vAlign w:val="center"/>
          </w:tcPr>
          <w:p>
            <w:pPr>
              <w:pStyle w:val="Normal"/>
              <w:spacing w:lineRule="auto" w:line="276"/>
              <w:ind w:left="0" w:hanging="0"/>
              <w:jc w:val="both"/>
              <w:rPr>
                <w:rFonts w:ascii="Arial" w:hAnsi="Arial" w:eastAsia="Calibri" w:cs="Arial"/>
                <w:i/>
                <w:i/>
                <w:w w:val="95"/>
                <w:sz w:val="18"/>
                <w:szCs w:val="18"/>
                <w:lang w:val="hr-BA"/>
              </w:rPr>
            </w:pPr>
            <w:r>
              <w:rPr>
                <w:rStyle w:val="Fontstyle11"/>
                <w:rFonts w:cs="Arial" w:ascii="Arial" w:hAnsi="Arial"/>
                <w:color w:val="auto"/>
                <w:sz w:val="24"/>
                <w:szCs w:val="24"/>
                <w:lang w:val="en-GB"/>
              </w:rPr>
              <w:t>Poboljšanje efikasnosti rada suda u rješavanju izvršnih i parničnih predmeta</w:t>
            </w:r>
          </w:p>
        </w:tc>
      </w:tr>
      <w:tr>
        <w:trPr/>
        <w:tc>
          <w:tcPr>
            <w:tcW w:w="3412" w:type="dxa"/>
            <w:gridSpan w:val="2"/>
            <w:vMerge w:val="restart"/>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Pokazatelji za izlazne rezultate</w:t>
            </w:r>
          </w:p>
        </w:tc>
        <w:tc>
          <w:tcPr>
            <w:tcW w:w="5517" w:type="dxa"/>
            <w:gridSpan w:val="4"/>
            <w:tcBorders/>
            <w:shd w:color="auto" w:fill="8EAADB" w:val="clear"/>
            <w:vAlign w:val="cente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Očekivani rezultati po godinama</w:t>
            </w:r>
          </w:p>
        </w:tc>
      </w:tr>
      <w:tr>
        <w:trPr/>
        <w:tc>
          <w:tcPr>
            <w:tcW w:w="3412" w:type="dxa"/>
            <w:gridSpan w:val="2"/>
            <w:vMerge w:val="continue"/>
            <w:tcBorders/>
            <w:shd w:color="auto" w:fill="8EAADB"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268"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2021 (n)</w:t>
            </w:r>
          </w:p>
        </w:tc>
        <w:tc>
          <w:tcPr>
            <w:tcW w:w="1496" w:type="dxa"/>
            <w:gridSpan w:val="2"/>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2022 (n+1)</w:t>
            </w:r>
          </w:p>
        </w:tc>
        <w:tc>
          <w:tcPr>
            <w:tcW w:w="1753"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2023 (n+2)</w:t>
            </w:r>
          </w:p>
        </w:tc>
      </w:tr>
      <w:tr>
        <w:trPr/>
        <w:tc>
          <w:tcPr>
            <w:tcW w:w="3412"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riješenih  predmeta izvršenja</w:t>
            </w:r>
          </w:p>
        </w:tc>
        <w:tc>
          <w:tcPr>
            <w:tcW w:w="2268"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600</w:t>
            </w:r>
          </w:p>
        </w:tc>
        <w:tc>
          <w:tcPr>
            <w:tcW w:w="1496"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650</w:t>
            </w:r>
          </w:p>
        </w:tc>
        <w:tc>
          <w:tcPr>
            <w:tcW w:w="1753"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700</w:t>
            </w:r>
          </w:p>
        </w:tc>
      </w:tr>
      <w:tr>
        <w:trPr/>
        <w:tc>
          <w:tcPr>
            <w:tcW w:w="1446"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w w:val="95"/>
                <w:sz w:val="18"/>
                <w:szCs w:val="18"/>
                <w:lang w:val="hr-BA"/>
              </w:rPr>
              <w:t xml:space="preserve">Broj riješenih parničnih predmeta </w:t>
            </w:r>
          </w:p>
        </w:tc>
        <w:tc>
          <w:tcPr>
            <w:tcW w:w="1966" w:type="dxa"/>
            <w:tcBorders/>
            <w:shd w:color="auto" w:fill="D9E2F3" w:val="clear"/>
            <w:vAlign w:val="cente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w w:val="95"/>
                <w:sz w:val="18"/>
                <w:szCs w:val="18"/>
                <w:lang w:val="hr-BA"/>
              </w:rPr>
              <w:t>700</w:t>
            </w:r>
          </w:p>
        </w:tc>
        <w:tc>
          <w:tcPr>
            <w:tcW w:w="2340" w:type="dxa"/>
            <w:gridSpan w:val="2"/>
            <w:tcBorders/>
            <w:shd w:color="auto" w:fill="D9E2F3" w:val="clear"/>
            <w:vAlign w:val="cente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w w:val="95"/>
                <w:sz w:val="18"/>
                <w:szCs w:val="18"/>
                <w:lang w:val="hr-BA"/>
              </w:rPr>
              <w:t>750</w:t>
            </w:r>
          </w:p>
        </w:tc>
        <w:tc>
          <w:tcPr>
            <w:tcW w:w="3177" w:type="dxa"/>
            <w:gridSpan w:val="2"/>
            <w:tcBorders/>
            <w:shd w:color="auto" w:fill="D9E2F3" w:val="clear"/>
            <w:vAlign w:val="cente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w w:val="95"/>
                <w:sz w:val="18"/>
                <w:szCs w:val="18"/>
                <w:lang w:val="hr-BA"/>
              </w:rPr>
              <w:t>800</w:t>
            </w:r>
          </w:p>
        </w:tc>
      </w:tr>
      <w:tr>
        <w:trPr/>
        <w:tc>
          <w:tcPr>
            <w:tcW w:w="1446"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Redni broj</w:t>
            </w:r>
          </w:p>
        </w:tc>
        <w:tc>
          <w:tcPr>
            <w:tcW w:w="1966"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Naziv aktivnosti za 2021. godinu</w:t>
            </w:r>
          </w:p>
        </w:tc>
        <w:tc>
          <w:tcPr>
            <w:tcW w:w="2340" w:type="dxa"/>
            <w:gridSpan w:val="2"/>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Rok izvršenja </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(po kvartalima u 2021. godini)</w:t>
            </w:r>
          </w:p>
        </w:tc>
        <w:tc>
          <w:tcPr>
            <w:tcW w:w="3177" w:type="dxa"/>
            <w:gridSpan w:val="2"/>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Nosilac </w:t>
            </w:r>
            <w:r>
              <w:rPr>
                <w:rFonts w:eastAsia="Calibri" w:cs="Arial" w:ascii="Arial" w:hAnsi="Arial"/>
                <w:w w:val="95"/>
                <w:sz w:val="18"/>
                <w:szCs w:val="18"/>
                <w:lang w:val="hr-BA"/>
              </w:rPr>
              <w:t>(najmanji organizacioni dio)</w:t>
            </w:r>
          </w:p>
        </w:tc>
      </w:tr>
      <w:tr>
        <w:trPr/>
        <w:tc>
          <w:tcPr>
            <w:tcW w:w="144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966"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Preraspodjela predmeta između sudaca koji će se više specijalizirati za rad po toj vrsti predmeta</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w:t>
            </w:r>
          </w:p>
        </w:tc>
        <w:tc>
          <w:tcPr>
            <w:tcW w:w="317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ind w:left="0" w:hanging="0"/>
              <w:jc w:val="center"/>
              <w:rPr>
                <w:rFonts w:ascii="Arial" w:hAnsi="Arial" w:eastAsia="Trebuchet MS" w:cs="Arial"/>
                <w:sz w:val="18"/>
                <w:szCs w:val="18"/>
                <w:lang w:val="hr-BA"/>
              </w:rPr>
            </w:pPr>
            <w:r>
              <w:rPr>
                <w:rFonts w:eastAsia="Trebuchet MS" w:cs="Arial" w:ascii="Arial" w:hAnsi="Arial"/>
                <w:sz w:val="18"/>
                <w:szCs w:val="18"/>
                <w:lang w:val="hr-BA"/>
              </w:rPr>
              <w:t>2.</w:t>
            </w:r>
          </w:p>
        </w:tc>
        <w:tc>
          <w:tcPr>
            <w:tcW w:w="1966"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Praćenje realizacije rada  na  rješavanju    predmeta izvršenja</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Zaduženi suci</w:t>
            </w:r>
          </w:p>
        </w:tc>
      </w:tr>
      <w:tr>
        <w:trPr/>
        <w:tc>
          <w:tcPr>
            <w:tcW w:w="144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Calibri" w:cs="Arial" w:ascii="Arial" w:hAnsi="Arial"/>
                <w:w w:val="95"/>
                <w:sz w:val="18"/>
                <w:szCs w:val="18"/>
                <w:lang w:val="hr-BA"/>
              </w:rPr>
              <w:t>1.</w:t>
            </w:r>
          </w:p>
        </w:tc>
        <w:tc>
          <w:tcPr>
            <w:tcW w:w="1966"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Pojačana kontrola rada postupajućih sudaca od strane predsjednika suda u smislu poduzimanja procesnih radnji u rokovima propisanim Zakonom o parničnom postupku</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sz w:val="18"/>
                <w:szCs w:val="18"/>
                <w:lang w:val="hr-BA"/>
              </w:rPr>
              <w:t>2.</w:t>
            </w:r>
          </w:p>
        </w:tc>
        <w:tc>
          <w:tcPr>
            <w:tcW w:w="1966"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 xml:space="preserve"> </w:t>
            </w:r>
            <w:r>
              <w:rPr>
                <w:rFonts w:eastAsia="Calibri" w:cs="Arial" w:ascii="Arial" w:hAnsi="Arial"/>
                <w:w w:val="95"/>
                <w:sz w:val="18"/>
                <w:szCs w:val="18"/>
                <w:lang w:val="hr-BA"/>
              </w:rPr>
              <w:t xml:space="preserve">Poduzimanja procesnih radnji u cilju češćeg postupanja po predmetima  </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Zaduženi suci</w:t>
            </w:r>
          </w:p>
        </w:tc>
      </w:tr>
      <w:tr>
        <w:trPr/>
        <w:tc>
          <w:tcPr>
            <w:tcW w:w="144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Calibri" w:cs="Arial" w:ascii="Arial" w:hAnsi="Arial"/>
                <w:w w:val="95"/>
                <w:sz w:val="18"/>
                <w:szCs w:val="18"/>
                <w:lang w:val="hr-BA"/>
              </w:rPr>
              <w:t>1.</w:t>
            </w:r>
          </w:p>
        </w:tc>
        <w:tc>
          <w:tcPr>
            <w:tcW w:w="1966"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Unaprijediti kontrolu zakazivanja i odlaganja rasprava</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w:t>
            </w:r>
          </w:p>
        </w:tc>
        <w:tc>
          <w:tcPr>
            <w:tcW w:w="317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sz w:val="18"/>
                <w:szCs w:val="18"/>
                <w:lang w:val="hr-BA"/>
              </w:rPr>
              <w:t>2.</w:t>
            </w:r>
          </w:p>
        </w:tc>
        <w:tc>
          <w:tcPr>
            <w:tcW w:w="1966"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Kontinuirano praćenje zakazanih i odloženih rasprava</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Postupajući suci</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Calibri" w:cs="Arial" w:ascii="Arial" w:hAnsi="Arial"/>
                <w:w w:val="95"/>
                <w:sz w:val="18"/>
                <w:szCs w:val="18"/>
                <w:lang w:val="hr-BA"/>
              </w:rPr>
              <w:t>1.</w:t>
            </w:r>
          </w:p>
        </w:tc>
        <w:tc>
          <w:tcPr>
            <w:tcW w:w="1966"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Osigurati da se predmeti uzimaju u rad prema starosti inicijalnog akta.</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w:t>
            </w:r>
          </w:p>
        </w:tc>
        <w:tc>
          <w:tcPr>
            <w:tcW w:w="317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sz w:val="18"/>
                <w:szCs w:val="18"/>
                <w:lang w:val="hr-BA"/>
              </w:rPr>
              <w:t>2.</w:t>
            </w:r>
          </w:p>
        </w:tc>
        <w:tc>
          <w:tcPr>
            <w:tcW w:w="1966"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Realizacija navedenog cilja će se pratiti kontrolom predsjednika suda i predsjednika odjela putem mjesečnih izvješća.</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Postupajući suci</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bl>
    <w:p>
      <w:pPr>
        <w:pStyle w:val="Normal"/>
        <w:widowControl w:val="false"/>
        <w:numPr>
          <w:ilvl w:val="0"/>
          <w:numId w:val="0"/>
        </w:numPr>
        <w:spacing w:before="71" w:after="0"/>
        <w:ind w:left="0" w:hanging="0"/>
        <w:outlineLvl w:val="1"/>
        <w:rPr>
          <w:rFonts w:ascii="Arial" w:hAnsi="Arial" w:eastAsia="Times New Roman" w:cs="Arial"/>
          <w:w w:val="95"/>
          <w:sz w:val="24"/>
          <w:szCs w:val="24"/>
          <w:lang w:val="hr-BA"/>
        </w:rPr>
      </w:pPr>
      <w:r>
        <w:rPr>
          <w:rFonts w:eastAsia="Times New Roman" w:cs="Arial" w:ascii="Arial" w:hAnsi="Arial"/>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ind w:left="0" w:hanging="0"/>
        <w:rPr>
          <w:rFonts w:ascii="Arial" w:hAnsi="Arial" w:eastAsia="Calibri" w:cs="Arial"/>
          <w:i/>
          <w:i/>
          <w:w w:val="95"/>
          <w:sz w:val="24"/>
          <w:szCs w:val="24"/>
          <w:lang w:val="hr-BA"/>
        </w:rPr>
      </w:pPr>
      <w:r>
        <w:rPr>
          <w:rFonts w:eastAsia="Calibri" w:cs="Arial" w:ascii="Arial" w:hAnsi="Arial"/>
          <w:i/>
          <w:w w:val="95"/>
          <w:sz w:val="24"/>
          <w:szCs w:val="24"/>
          <w:lang w:val="hr-BA"/>
        </w:rPr>
      </w:r>
    </w:p>
    <w:tbl>
      <w:tblPr>
        <w:tblStyle w:val="TableGrid"/>
        <w:tblW w:w="5000" w:type="pct"/>
        <w:jc w:val="left"/>
        <w:tblInd w:w="0" w:type="dxa"/>
        <w:tblCellMar>
          <w:top w:w="0" w:type="dxa"/>
          <w:left w:w="108" w:type="dxa"/>
          <w:bottom w:w="0" w:type="dxa"/>
          <w:right w:w="108" w:type="dxa"/>
        </w:tblCellMar>
        <w:tblLook w:firstRow="1" w:noVBand="1" w:lastRow="0" w:firstColumn="1" w:lastColumn="0" w:noHBand="0" w:val="04a0"/>
      </w:tblPr>
      <w:tblGrid>
        <w:gridCol w:w="1772"/>
        <w:gridCol w:w="2041"/>
        <w:gridCol w:w="1"/>
        <w:gridCol w:w="2326"/>
        <w:gridCol w:w="326"/>
        <w:gridCol w:w="1091"/>
        <w:gridCol w:w="1513"/>
      </w:tblGrid>
      <w:tr>
        <w:trPr/>
        <w:tc>
          <w:tcPr>
            <w:tcW w:w="3814" w:type="dxa"/>
            <w:gridSpan w:val="3"/>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Strateški cilj 2.</w:t>
            </w:r>
          </w:p>
        </w:tc>
        <w:tc>
          <w:tcPr>
            <w:tcW w:w="5256" w:type="dxa"/>
            <w:gridSpan w:val="4"/>
            <w:tcBorders/>
            <w:shd w:color="auto" w:fill="8EAADB" w:val="clear"/>
            <w:vAlign w:val="center"/>
          </w:tcPr>
          <w:p>
            <w:pPr>
              <w:pStyle w:val="Normal"/>
              <w:spacing w:lineRule="auto" w:line="276"/>
              <w:ind w:left="0" w:hanging="0"/>
              <w:jc w:val="both"/>
              <w:rPr>
                <w:rFonts w:ascii="Arial" w:hAnsi="Arial" w:eastAsia="Calibri" w:cs="Arial"/>
                <w:b/>
                <w:b/>
                <w:i/>
                <w:i/>
                <w:w w:val="95"/>
                <w:sz w:val="18"/>
                <w:szCs w:val="18"/>
                <w:lang w:val="hr-BA"/>
              </w:rPr>
            </w:pPr>
            <w:r>
              <w:rPr>
                <w:rStyle w:val="Fontstyle01"/>
                <w:rFonts w:cs="Arial" w:ascii="Arial" w:hAnsi="Arial"/>
                <w:b/>
                <w:i/>
                <w:color w:val="auto"/>
                <w:sz w:val="24"/>
                <w:szCs w:val="24"/>
                <w:lang w:val="en-GB"/>
              </w:rPr>
              <w:t>Otvorenost u radu pravosudnih institucija</w:t>
            </w:r>
          </w:p>
        </w:tc>
      </w:tr>
      <w:tr>
        <w:trPr/>
        <w:tc>
          <w:tcPr>
            <w:tcW w:w="3814" w:type="dxa"/>
            <w:gridSpan w:val="3"/>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Trogodišnji cilj 2.1.</w:t>
            </w:r>
          </w:p>
        </w:tc>
        <w:tc>
          <w:tcPr>
            <w:tcW w:w="5256" w:type="dxa"/>
            <w:gridSpan w:val="4"/>
            <w:tcBorders/>
            <w:shd w:color="auto" w:fill="8EAADB" w:val="clear"/>
            <w:vAlign w:val="center"/>
          </w:tcPr>
          <w:p>
            <w:pPr>
              <w:pStyle w:val="Normal"/>
              <w:spacing w:lineRule="auto" w:line="276"/>
              <w:ind w:left="0" w:hanging="0"/>
              <w:jc w:val="both"/>
              <w:rPr>
                <w:rFonts w:ascii="Arial" w:hAnsi="Arial" w:eastAsia="Calibri" w:cs="Arial"/>
                <w:i/>
                <w:i/>
                <w:w w:val="95"/>
                <w:sz w:val="18"/>
                <w:szCs w:val="18"/>
                <w:lang w:val="hr-BA"/>
              </w:rPr>
            </w:pPr>
            <w:r>
              <w:rPr>
                <w:rStyle w:val="Fontstyle11"/>
                <w:rFonts w:cs="Arial" w:ascii="Arial" w:hAnsi="Arial"/>
                <w:color w:val="auto"/>
                <w:sz w:val="24"/>
                <w:szCs w:val="24"/>
                <w:lang w:val="en-GB"/>
              </w:rPr>
              <w:t>Povećanje transparentnosti rada suda</w:t>
            </w:r>
          </w:p>
        </w:tc>
      </w:tr>
      <w:tr>
        <w:trPr/>
        <w:tc>
          <w:tcPr>
            <w:tcW w:w="3814" w:type="dxa"/>
            <w:gridSpan w:val="3"/>
            <w:vMerge w:val="restart"/>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Pokazatelji za izlazne rezultate</w:t>
            </w:r>
          </w:p>
        </w:tc>
        <w:tc>
          <w:tcPr>
            <w:tcW w:w="5256" w:type="dxa"/>
            <w:gridSpan w:val="4"/>
            <w:tcBorders/>
            <w:shd w:color="auto" w:fill="8EAADB" w:val="clear"/>
            <w:vAlign w:val="cente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Očekivani rezultati po godinama</w:t>
            </w:r>
          </w:p>
        </w:tc>
      </w:tr>
      <w:tr>
        <w:trPr/>
        <w:tc>
          <w:tcPr>
            <w:tcW w:w="3814" w:type="dxa"/>
            <w:gridSpan w:val="3"/>
            <w:vMerge w:val="continue"/>
            <w:tcBorders/>
            <w:shd w:color="auto" w:fill="8EAADB"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326"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2021 (n)</w:t>
            </w:r>
          </w:p>
        </w:tc>
        <w:tc>
          <w:tcPr>
            <w:tcW w:w="1417" w:type="dxa"/>
            <w:gridSpan w:val="2"/>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2022 (n+1)</w:t>
            </w:r>
          </w:p>
        </w:tc>
        <w:tc>
          <w:tcPr>
            <w:tcW w:w="1513"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2023 (n+2)</w:t>
            </w:r>
          </w:p>
        </w:tc>
      </w:tr>
      <w:tr>
        <w:trPr/>
        <w:tc>
          <w:tcPr>
            <w:tcW w:w="3814" w:type="dxa"/>
            <w:gridSpan w:val="3"/>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 xml:space="preserve"> </w:t>
            </w:r>
            <w:r>
              <w:rPr>
                <w:rFonts w:eastAsia="Calibri" w:cs="Arial" w:ascii="Arial" w:hAnsi="Arial"/>
                <w:w w:val="95"/>
                <w:sz w:val="18"/>
                <w:szCs w:val="18"/>
                <w:lang w:val="hr-BA"/>
              </w:rPr>
              <w:t>Objavljeni sadržaj podataka na Web stranici suda</w:t>
            </w:r>
          </w:p>
        </w:tc>
        <w:tc>
          <w:tcPr>
            <w:tcW w:w="2326"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w:t>
            </w:r>
          </w:p>
        </w:tc>
        <w:tc>
          <w:tcPr>
            <w:tcW w:w="141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30%</w:t>
            </w:r>
          </w:p>
        </w:tc>
        <w:tc>
          <w:tcPr>
            <w:tcW w:w="1513"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30%</w:t>
            </w:r>
          </w:p>
        </w:tc>
      </w:tr>
      <w:tr>
        <w:trPr/>
        <w:tc>
          <w:tcPr>
            <w:tcW w:w="3814" w:type="dxa"/>
            <w:gridSpan w:val="3"/>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326"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41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513"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r>
      <w:tr>
        <w:trPr/>
        <w:tc>
          <w:tcPr>
            <w:tcW w:w="3814" w:type="dxa"/>
            <w:gridSpan w:val="3"/>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326"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417"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513"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r>
      <w:tr>
        <w:trPr/>
        <w:tc>
          <w:tcPr>
            <w:tcW w:w="1772"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Redni broj</w:t>
            </w:r>
          </w:p>
        </w:tc>
        <w:tc>
          <w:tcPr>
            <w:tcW w:w="2041"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Naziv aktivnosti za 2021. godinu</w:t>
            </w:r>
          </w:p>
        </w:tc>
        <w:tc>
          <w:tcPr>
            <w:tcW w:w="2653" w:type="dxa"/>
            <w:gridSpan w:val="3"/>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Rok izvršenja </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(po kvartalima u 2021. godini)</w:t>
            </w:r>
          </w:p>
        </w:tc>
        <w:tc>
          <w:tcPr>
            <w:tcW w:w="2604" w:type="dxa"/>
            <w:gridSpan w:val="2"/>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Nosilac </w:t>
            </w:r>
            <w:r>
              <w:rPr>
                <w:rFonts w:eastAsia="Calibri" w:cs="Arial" w:ascii="Arial" w:hAnsi="Arial"/>
                <w:w w:val="95"/>
                <w:sz w:val="18"/>
                <w:szCs w:val="18"/>
                <w:lang w:val="hr-BA"/>
              </w:rPr>
              <w:t>(najmanji organizacioni dio)</w:t>
            </w:r>
          </w:p>
        </w:tc>
      </w:tr>
      <w:tr>
        <w:trPr/>
        <w:tc>
          <w:tcPr>
            <w:tcW w:w="1772" w:type="dxa"/>
            <w:tcBorders/>
            <w:shd w:fill="auto" w:val="clear"/>
          </w:tcPr>
          <w:p>
            <w:pPr>
              <w:pStyle w:val="Normal"/>
              <w:spacing w:lineRule="auto" w:line="276"/>
              <w:ind w:left="0" w:hanging="0"/>
              <w:jc w:val="right"/>
              <w:rPr>
                <w:rFonts w:ascii="Arial" w:hAnsi="Arial" w:eastAsia="Calibri" w:cs="Arial"/>
                <w:w w:val="95"/>
                <w:sz w:val="18"/>
                <w:szCs w:val="18"/>
                <w:lang w:val="hr-BA"/>
              </w:rPr>
            </w:pPr>
            <w:r>
              <w:rPr>
                <w:rFonts w:eastAsia="Calibri" w:cs="Arial" w:ascii="Arial" w:hAnsi="Arial"/>
                <w:w w:val="95"/>
                <w:sz w:val="18"/>
                <w:szCs w:val="18"/>
                <w:lang w:val="hr-BA"/>
              </w:rPr>
            </w:r>
          </w:p>
          <w:p>
            <w:pPr>
              <w:pStyle w:val="Normal"/>
              <w:spacing w:lineRule="auto" w:line="276"/>
              <w:ind w:left="0" w:hanging="0"/>
              <w:jc w:val="right"/>
              <w:rPr>
                <w:rFonts w:ascii="Arial" w:hAnsi="Arial" w:eastAsia="Calibri" w:cs="Arial"/>
                <w:w w:val="95"/>
                <w:sz w:val="18"/>
                <w:szCs w:val="18"/>
                <w:lang w:val="hr-BA"/>
              </w:rPr>
            </w:pPr>
            <w:r>
              <w:rPr>
                <w:rFonts w:eastAsia="Calibri" w:cs="Arial" w:ascii="Arial" w:hAnsi="Arial"/>
                <w:w w:val="95"/>
                <w:sz w:val="18"/>
                <w:szCs w:val="18"/>
                <w:lang w:val="hr-BA"/>
              </w:rPr>
              <w:t>2.1.1.</w:t>
            </w:r>
          </w:p>
        </w:tc>
        <w:tc>
          <w:tcPr>
            <w:tcW w:w="2041"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 xml:space="preserve">Ažuriranje podatka i  aktivnosti vezanih za zemljišnoknjižno odjeljenje </w:t>
            </w:r>
          </w:p>
        </w:tc>
        <w:tc>
          <w:tcPr>
            <w:tcW w:w="2653" w:type="dxa"/>
            <w:gridSpan w:val="3"/>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2604"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Šef ZK ureda, IKT službenik</w:t>
            </w:r>
          </w:p>
        </w:tc>
      </w:tr>
      <w:tr>
        <w:trPr/>
        <w:tc>
          <w:tcPr>
            <w:tcW w:w="1772" w:type="dxa"/>
            <w:tcBorders/>
            <w:shd w:fill="auto" w:val="clear"/>
          </w:tcPr>
          <w:p>
            <w:pPr>
              <w:pStyle w:val="Normal"/>
              <w:widowControl w:val="false"/>
              <w:spacing w:lineRule="auto" w:line="276" w:before="101" w:after="0"/>
              <w:ind w:left="1080" w:hanging="0"/>
              <w:jc w:val="right"/>
              <w:rPr>
                <w:rFonts w:ascii="Arial" w:hAnsi="Arial" w:eastAsia="Trebuchet MS" w:cs="Arial"/>
                <w:w w:val="95"/>
                <w:sz w:val="18"/>
                <w:szCs w:val="18"/>
                <w:lang w:val="hr-BA"/>
              </w:rPr>
            </w:pPr>
            <w:r>
              <w:rPr>
                <w:rFonts w:eastAsia="Trebuchet MS" w:cs="Arial" w:ascii="Arial" w:hAnsi="Arial"/>
                <w:w w:val="95"/>
                <w:sz w:val="18"/>
                <w:szCs w:val="18"/>
                <w:lang w:val="hr-BA"/>
              </w:rPr>
              <w:t>2.1.2</w:t>
            </w:r>
          </w:p>
        </w:tc>
        <w:tc>
          <w:tcPr>
            <w:tcW w:w="2041"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Redovno infomisanje javnosti o orgniziranim obukama sudskog osoblja</w:t>
            </w:r>
          </w:p>
        </w:tc>
        <w:tc>
          <w:tcPr>
            <w:tcW w:w="2653" w:type="dxa"/>
            <w:gridSpan w:val="3"/>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2604"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772" w:type="dxa"/>
            <w:tcBorders/>
            <w:shd w:fill="auto" w:val="clear"/>
          </w:tcPr>
          <w:p>
            <w:pPr>
              <w:pStyle w:val="Normal"/>
              <w:widowControl w:val="false"/>
              <w:spacing w:lineRule="auto" w:line="276" w:before="101" w:after="0"/>
              <w:ind w:left="1080" w:hanging="0"/>
              <w:jc w:val="right"/>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ind w:left="0" w:hanging="0"/>
              <w:jc w:val="right"/>
              <w:rPr>
                <w:rFonts w:ascii="Arial" w:hAnsi="Arial" w:eastAsia="Trebuchet MS" w:cs="Arial"/>
                <w:sz w:val="18"/>
                <w:szCs w:val="18"/>
                <w:lang w:val="hr-BA"/>
              </w:rPr>
            </w:pPr>
            <w:r>
              <w:rPr>
                <w:rFonts w:eastAsia="Trebuchet MS" w:cs="Arial" w:ascii="Arial" w:hAnsi="Arial"/>
                <w:sz w:val="18"/>
                <w:szCs w:val="18"/>
                <w:lang w:val="hr-BA"/>
              </w:rPr>
              <w:t>2.1.3.</w:t>
            </w:r>
          </w:p>
        </w:tc>
        <w:tc>
          <w:tcPr>
            <w:tcW w:w="2041"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Redovno ažurirati podatke na Web stranici radi potpunijeg pristupa informacijama</w:t>
            </w:r>
          </w:p>
        </w:tc>
        <w:tc>
          <w:tcPr>
            <w:tcW w:w="2653" w:type="dxa"/>
            <w:gridSpan w:val="3"/>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2604"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Referent za IKT</w:t>
            </w:r>
          </w:p>
        </w:tc>
      </w:tr>
      <w:tr>
        <w:trPr/>
        <w:tc>
          <w:tcPr>
            <w:tcW w:w="1772" w:type="dxa"/>
            <w:tcBorders/>
            <w:shd w:fill="auto" w:val="clear"/>
          </w:tcPr>
          <w:p>
            <w:pPr>
              <w:pStyle w:val="Normal"/>
              <w:widowControl w:val="false"/>
              <w:spacing w:lineRule="auto" w:line="276" w:before="101" w:after="0"/>
              <w:ind w:left="1080" w:hanging="0"/>
              <w:jc w:val="right"/>
              <w:rPr>
                <w:rFonts w:ascii="Arial" w:hAnsi="Arial" w:eastAsia="Trebuchet MS" w:cs="Arial"/>
                <w:w w:val="95"/>
                <w:sz w:val="18"/>
                <w:szCs w:val="18"/>
                <w:lang w:val="hr-BA"/>
              </w:rPr>
            </w:pPr>
            <w:r>
              <w:rPr>
                <w:rFonts w:eastAsia="Trebuchet MS" w:cs="Arial" w:ascii="Arial" w:hAnsi="Arial"/>
                <w:w w:val="95"/>
                <w:sz w:val="18"/>
                <w:szCs w:val="18"/>
                <w:lang w:val="hr-BA"/>
              </w:rPr>
              <w:t>2.1.4</w:t>
            </w:r>
          </w:p>
          <w:p>
            <w:pPr>
              <w:pStyle w:val="Normal"/>
              <w:widowControl w:val="false"/>
              <w:spacing w:lineRule="auto" w:line="276" w:before="101" w:after="0"/>
              <w:ind w:left="1080" w:hanging="0"/>
              <w:jc w:val="right"/>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right"/>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right"/>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right"/>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right"/>
              <w:rPr>
                <w:rFonts w:ascii="Arial" w:hAnsi="Arial" w:eastAsia="Trebuchet MS" w:cs="Arial"/>
                <w:w w:val="95"/>
                <w:sz w:val="18"/>
                <w:szCs w:val="18"/>
                <w:lang w:val="hr-BA"/>
              </w:rPr>
            </w:pPr>
            <w:r>
              <w:rPr>
                <w:rFonts w:eastAsia="Trebuchet MS" w:cs="Arial" w:ascii="Arial" w:hAnsi="Arial"/>
                <w:w w:val="95"/>
                <w:sz w:val="18"/>
                <w:szCs w:val="18"/>
                <w:lang w:val="hr-BA"/>
              </w:rPr>
            </w:r>
          </w:p>
        </w:tc>
        <w:tc>
          <w:tcPr>
            <w:tcW w:w="2041"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Pravovremeno i točno informiranje relevantnih pravosudnih institucija kao i institucija koje su povezane sa sektorom pravosuđa od bitnih pitanja koja su aktualna za javnost.</w:t>
            </w:r>
          </w:p>
        </w:tc>
        <w:tc>
          <w:tcPr>
            <w:tcW w:w="2653" w:type="dxa"/>
            <w:gridSpan w:val="3"/>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2604"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r>
      <w:tr>
        <w:trPr/>
        <w:tc>
          <w:tcPr>
            <w:tcW w:w="1772" w:type="dxa"/>
            <w:tcBorders/>
            <w:shd w:fill="auto" w:val="clear"/>
          </w:tcPr>
          <w:p>
            <w:pPr>
              <w:pStyle w:val="Normal"/>
              <w:widowControl w:val="false"/>
              <w:spacing w:lineRule="auto" w:line="276" w:before="101" w:after="0"/>
              <w:ind w:left="1080" w:hanging="0"/>
              <w:jc w:val="center"/>
              <w:rPr>
                <w:rFonts w:ascii="Arial" w:hAnsi="Arial" w:eastAsia="Trebuchet MS" w:cs="Arial"/>
                <w:w w:val="95"/>
                <w:sz w:val="18"/>
                <w:szCs w:val="18"/>
                <w:lang w:val="hr-BA"/>
              </w:rPr>
            </w:pPr>
            <w:r>
              <w:rPr>
                <w:rFonts w:eastAsia="Trebuchet MS" w:cs="Arial" w:ascii="Arial" w:hAnsi="Arial"/>
                <w:w w:val="95"/>
                <w:sz w:val="18"/>
                <w:szCs w:val="18"/>
                <w:lang w:val="hr-BA"/>
              </w:rPr>
              <w:t>2.1..5.</w:t>
            </w:r>
          </w:p>
        </w:tc>
        <w:tc>
          <w:tcPr>
            <w:tcW w:w="2041"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Informiranje javnosti o rezultatima rada suda. Izvješće o radu suda učiniti dostupnim na web stranici suda, aktivnosti dana otvorenih vrata te sastancima sa predstavnicima institucija sa kojima sud ima kontinuiranu suradnju (tužiteljstva, policija, pravobraniteljstva, centri za socijalni radi i drugi</w:t>
            </w:r>
          </w:p>
        </w:tc>
        <w:tc>
          <w:tcPr>
            <w:tcW w:w="2653" w:type="dxa"/>
            <w:gridSpan w:val="3"/>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2604"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Referent za IKT</w:t>
            </w:r>
          </w:p>
        </w:tc>
      </w:tr>
    </w:tbl>
    <w:p>
      <w:pPr>
        <w:pStyle w:val="Normal"/>
        <w:ind w:left="0" w:hanging="0"/>
        <w:rPr>
          <w:rFonts w:ascii="Arial" w:hAnsi="Arial" w:eastAsia="Calibri" w:cs="Arial"/>
          <w:i/>
          <w:i/>
          <w:w w:val="95"/>
          <w:sz w:val="24"/>
          <w:szCs w:val="24"/>
          <w:lang w:val="hr-BA"/>
        </w:rPr>
      </w:pPr>
      <w:r>
        <w:rPr>
          <w:rFonts w:eastAsia="Calibri" w:cs="Arial" w:ascii="Arial" w:hAnsi="Arial"/>
          <w:i/>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tbl>
      <w:tblPr>
        <w:tblStyle w:val="TableGrid"/>
        <w:tblW w:w="8640" w:type="dxa"/>
        <w:jc w:val="left"/>
        <w:tblInd w:w="421" w:type="dxa"/>
        <w:tblCellMar>
          <w:top w:w="0" w:type="dxa"/>
          <w:left w:w="108" w:type="dxa"/>
          <w:bottom w:w="0" w:type="dxa"/>
          <w:right w:w="108" w:type="dxa"/>
        </w:tblCellMar>
        <w:tblLook w:firstRow="1" w:noVBand="1" w:lastRow="0" w:firstColumn="1" w:lastColumn="0" w:noHBand="0" w:val="04a0"/>
      </w:tblPr>
      <w:tblGrid>
        <w:gridCol w:w="1296"/>
        <w:gridCol w:w="1975"/>
        <w:gridCol w:w="2318"/>
        <w:gridCol w:w="390"/>
        <w:gridCol w:w="1133"/>
        <w:gridCol w:w="1527"/>
      </w:tblGrid>
      <w:tr>
        <w:trPr/>
        <w:tc>
          <w:tcPr>
            <w:tcW w:w="3271" w:type="dxa"/>
            <w:gridSpan w:val="2"/>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Strateški cilj 3</w:t>
            </w:r>
          </w:p>
        </w:tc>
        <w:tc>
          <w:tcPr>
            <w:tcW w:w="5368" w:type="dxa"/>
            <w:gridSpan w:val="4"/>
            <w:tcBorders/>
            <w:shd w:color="auto" w:fill="8EAADB" w:val="clear"/>
            <w:vAlign w:val="center"/>
          </w:tcPr>
          <w:p>
            <w:pPr>
              <w:pStyle w:val="Normal"/>
              <w:spacing w:lineRule="auto" w:line="276"/>
              <w:ind w:left="0" w:hanging="0"/>
              <w:jc w:val="both"/>
              <w:rPr>
                <w:rFonts w:ascii="Arial" w:hAnsi="Arial" w:eastAsia="Calibri" w:cs="Arial"/>
                <w:b/>
                <w:b/>
                <w:i/>
                <w:i/>
                <w:w w:val="95"/>
                <w:sz w:val="18"/>
                <w:szCs w:val="18"/>
                <w:lang w:val="hr-BA"/>
              </w:rPr>
            </w:pPr>
            <w:r>
              <w:rPr>
                <w:rStyle w:val="Fontstyle01"/>
                <w:rFonts w:cs="Arial" w:ascii="Arial" w:hAnsi="Arial"/>
                <w:b/>
                <w:i/>
                <w:color w:val="auto"/>
                <w:sz w:val="24"/>
                <w:szCs w:val="24"/>
                <w:lang w:val="en-GB"/>
              </w:rPr>
              <w:t>Unaprjeđenje odgovornosti, nezavisnosti, učinkovitosti i kvalitete u sektoru pravde BiH</w:t>
            </w:r>
          </w:p>
        </w:tc>
      </w:tr>
      <w:tr>
        <w:trPr/>
        <w:tc>
          <w:tcPr>
            <w:tcW w:w="3271" w:type="dxa"/>
            <w:gridSpan w:val="2"/>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Trogodišnji cilj 3.1.</w:t>
            </w:r>
          </w:p>
        </w:tc>
        <w:tc>
          <w:tcPr>
            <w:tcW w:w="5368" w:type="dxa"/>
            <w:gridSpan w:val="4"/>
            <w:tcBorders/>
            <w:shd w:color="auto" w:fill="8EAADB" w:val="clear"/>
            <w:vAlign w:val="center"/>
          </w:tcPr>
          <w:p>
            <w:pPr>
              <w:pStyle w:val="Normal"/>
              <w:spacing w:lineRule="auto" w:line="276"/>
              <w:ind w:left="0" w:hanging="0"/>
              <w:jc w:val="both"/>
              <w:rPr>
                <w:rFonts w:ascii="Arial" w:hAnsi="Arial" w:eastAsia="Calibri" w:cs="Arial"/>
                <w:i/>
                <w:i/>
                <w:w w:val="95"/>
                <w:sz w:val="18"/>
                <w:szCs w:val="18"/>
                <w:lang w:val="hr-BA"/>
              </w:rPr>
            </w:pPr>
            <w:r>
              <w:rPr>
                <w:rStyle w:val="Fontstyle11"/>
                <w:color w:val="auto"/>
                <w:sz w:val="24"/>
                <w:szCs w:val="24"/>
                <w:lang w:val="en-GB"/>
              </w:rPr>
              <w:t>Povećanje kvalitete ekonomičnosti rada suda</w:t>
            </w:r>
          </w:p>
        </w:tc>
      </w:tr>
      <w:tr>
        <w:trPr/>
        <w:tc>
          <w:tcPr>
            <w:tcW w:w="3271" w:type="dxa"/>
            <w:gridSpan w:val="2"/>
            <w:vMerge w:val="restart"/>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Pokazatelji za izlazne rezultate</w:t>
            </w:r>
          </w:p>
        </w:tc>
        <w:tc>
          <w:tcPr>
            <w:tcW w:w="5368" w:type="dxa"/>
            <w:gridSpan w:val="4"/>
            <w:tcBorders/>
            <w:shd w:color="auto" w:fill="8EAADB" w:val="clear"/>
            <w:vAlign w:val="cente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Očekivani rezultati po godinama</w:t>
            </w:r>
          </w:p>
        </w:tc>
      </w:tr>
      <w:tr>
        <w:trPr/>
        <w:tc>
          <w:tcPr>
            <w:tcW w:w="3271" w:type="dxa"/>
            <w:gridSpan w:val="2"/>
            <w:vMerge w:val="continue"/>
            <w:tcBorders/>
            <w:shd w:color="auto" w:fill="8EAADB"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318"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 xml:space="preserve">2021 </w:t>
            </w:r>
          </w:p>
        </w:tc>
        <w:tc>
          <w:tcPr>
            <w:tcW w:w="1523" w:type="dxa"/>
            <w:gridSpan w:val="2"/>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 xml:space="preserve">2022 </w:t>
            </w:r>
          </w:p>
        </w:tc>
        <w:tc>
          <w:tcPr>
            <w:tcW w:w="1527"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 xml:space="preserve">2023 </w:t>
            </w:r>
          </w:p>
        </w:tc>
      </w:tr>
      <w:tr>
        <w:trPr/>
        <w:tc>
          <w:tcPr>
            <w:tcW w:w="3271"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riješenih predmeta medijacije i sudske nagodbe</w:t>
            </w:r>
          </w:p>
        </w:tc>
        <w:tc>
          <w:tcPr>
            <w:tcW w:w="2318"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10</w:t>
            </w:r>
          </w:p>
        </w:tc>
        <w:tc>
          <w:tcPr>
            <w:tcW w:w="1523"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15</w:t>
            </w:r>
          </w:p>
        </w:tc>
        <w:tc>
          <w:tcPr>
            <w:tcW w:w="1527"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w:t>
            </w:r>
          </w:p>
        </w:tc>
      </w:tr>
      <w:tr>
        <w:trPr/>
        <w:tc>
          <w:tcPr>
            <w:tcW w:w="3271"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edukacija na temu alternativnog rješavanja sporova.</w:t>
            </w:r>
          </w:p>
        </w:tc>
        <w:tc>
          <w:tcPr>
            <w:tcW w:w="2318"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523"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527"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r>
      <w:tr>
        <w:trPr/>
        <w:tc>
          <w:tcPr>
            <w:tcW w:w="3271"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sudaca koji su bili polaznici obuke</w:t>
            </w:r>
          </w:p>
        </w:tc>
        <w:tc>
          <w:tcPr>
            <w:tcW w:w="2318"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c>
          <w:tcPr>
            <w:tcW w:w="1523"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c>
          <w:tcPr>
            <w:tcW w:w="1527"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r>
      <w:tr>
        <w:trPr/>
        <w:tc>
          <w:tcPr>
            <w:tcW w:w="3271"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318"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523"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527"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r>
      <w:tr>
        <w:trPr/>
        <w:tc>
          <w:tcPr>
            <w:tcW w:w="1296"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Redni broj</w:t>
            </w:r>
          </w:p>
        </w:tc>
        <w:tc>
          <w:tcPr>
            <w:tcW w:w="1975"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Naziv aktivnosti za 2021. godinu</w:t>
            </w:r>
          </w:p>
        </w:tc>
        <w:tc>
          <w:tcPr>
            <w:tcW w:w="2708" w:type="dxa"/>
            <w:gridSpan w:val="2"/>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Rok izvršenja </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(po kvartalima u 2021. godini)</w:t>
            </w:r>
          </w:p>
        </w:tc>
        <w:tc>
          <w:tcPr>
            <w:tcW w:w="2660" w:type="dxa"/>
            <w:gridSpan w:val="2"/>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Nosilac </w:t>
            </w:r>
            <w:r>
              <w:rPr>
                <w:rFonts w:eastAsia="Calibri" w:cs="Arial" w:ascii="Arial" w:hAnsi="Arial"/>
                <w:w w:val="95"/>
                <w:sz w:val="18"/>
                <w:szCs w:val="18"/>
                <w:lang w:val="hr-BA"/>
              </w:rPr>
              <w:t>(najmanji organizacioni dio)</w:t>
            </w:r>
          </w:p>
        </w:tc>
      </w:tr>
      <w:tr>
        <w:trPr/>
        <w:tc>
          <w:tcPr>
            <w:tcW w:w="129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975"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Unaprijediti alternativno rješavanje sporova radi smanjenja troškova postupka. Navedeni cilj će se ostvariti edukacija sudaca i tužitelja na temu alternativnog rješavanja sporova i odvjetnika kao punomoćnika, te poboljšavanja informiranja javnosti o takvom mogućem načinu rješavanja sporova</w:t>
            </w:r>
          </w:p>
        </w:tc>
        <w:tc>
          <w:tcPr>
            <w:tcW w:w="2708"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w:t>
            </w:r>
          </w:p>
        </w:tc>
        <w:tc>
          <w:tcPr>
            <w:tcW w:w="266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29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ind w:left="0" w:hanging="0"/>
              <w:jc w:val="center"/>
              <w:rPr>
                <w:rFonts w:ascii="Arial" w:hAnsi="Arial" w:eastAsia="Trebuchet MS" w:cs="Arial"/>
                <w:sz w:val="18"/>
                <w:szCs w:val="18"/>
                <w:lang w:val="hr-BA"/>
              </w:rPr>
            </w:pPr>
            <w:r>
              <w:rPr>
                <w:rFonts w:eastAsia="Trebuchet MS" w:cs="Arial" w:ascii="Arial" w:hAnsi="Arial"/>
                <w:sz w:val="18"/>
                <w:szCs w:val="18"/>
                <w:lang w:val="hr-BA"/>
              </w:rPr>
              <w:t>2.</w:t>
            </w:r>
          </w:p>
        </w:tc>
        <w:tc>
          <w:tcPr>
            <w:tcW w:w="1975"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Izrada programa obuke</w:t>
            </w:r>
          </w:p>
        </w:tc>
        <w:tc>
          <w:tcPr>
            <w:tcW w:w="2708"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266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Zaduženi suci</w:t>
            </w:r>
          </w:p>
        </w:tc>
      </w:tr>
    </w:tbl>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tbl>
      <w:tblPr>
        <w:tblStyle w:val="TableGrid"/>
        <w:tblW w:w="8640" w:type="dxa"/>
        <w:jc w:val="left"/>
        <w:tblInd w:w="421" w:type="dxa"/>
        <w:tblCellMar>
          <w:top w:w="0" w:type="dxa"/>
          <w:left w:w="108" w:type="dxa"/>
          <w:bottom w:w="0" w:type="dxa"/>
          <w:right w:w="108" w:type="dxa"/>
        </w:tblCellMar>
        <w:tblLook w:firstRow="1" w:noVBand="1" w:lastRow="0" w:firstColumn="1" w:lastColumn="0" w:noHBand="0" w:val="04a0"/>
      </w:tblPr>
      <w:tblGrid>
        <w:gridCol w:w="1446"/>
        <w:gridCol w:w="1958"/>
        <w:gridCol w:w="2251"/>
        <w:gridCol w:w="385"/>
        <w:gridCol w:w="1103"/>
        <w:gridCol w:w="1496"/>
      </w:tblGrid>
      <w:tr>
        <w:trPr/>
        <w:tc>
          <w:tcPr>
            <w:tcW w:w="3404" w:type="dxa"/>
            <w:gridSpan w:val="2"/>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Strateški cilj 3</w:t>
            </w:r>
          </w:p>
        </w:tc>
        <w:tc>
          <w:tcPr>
            <w:tcW w:w="5235" w:type="dxa"/>
            <w:gridSpan w:val="4"/>
            <w:tcBorders/>
            <w:shd w:color="auto" w:fill="8EAADB" w:val="clear"/>
            <w:vAlign w:val="center"/>
          </w:tcPr>
          <w:p>
            <w:pPr>
              <w:pStyle w:val="Normal"/>
              <w:spacing w:lineRule="auto" w:line="276"/>
              <w:ind w:left="0" w:hanging="0"/>
              <w:jc w:val="both"/>
              <w:rPr>
                <w:rFonts w:ascii="Arial" w:hAnsi="Arial" w:eastAsia="Calibri" w:cs="Arial"/>
                <w:b/>
                <w:b/>
                <w:i/>
                <w:i/>
                <w:w w:val="95"/>
                <w:sz w:val="18"/>
                <w:szCs w:val="18"/>
                <w:lang w:val="hr-BA"/>
              </w:rPr>
            </w:pPr>
            <w:r>
              <w:rPr>
                <w:rStyle w:val="Fontstyle01"/>
                <w:rFonts w:cs="Arial" w:ascii="Arial" w:hAnsi="Arial"/>
                <w:b/>
                <w:i/>
                <w:color w:val="auto"/>
                <w:sz w:val="24"/>
                <w:szCs w:val="24"/>
                <w:lang w:val="en-GB"/>
              </w:rPr>
              <w:t>Unaprjeđenje odgovornosti, nezavisnosti, učinkovitosti i kvalitete u sektoru pravde BiH</w:t>
            </w:r>
          </w:p>
        </w:tc>
      </w:tr>
      <w:tr>
        <w:trPr/>
        <w:tc>
          <w:tcPr>
            <w:tcW w:w="3404" w:type="dxa"/>
            <w:gridSpan w:val="2"/>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Trogodišnji cilj 3.2.</w:t>
            </w:r>
          </w:p>
        </w:tc>
        <w:tc>
          <w:tcPr>
            <w:tcW w:w="5235" w:type="dxa"/>
            <w:gridSpan w:val="4"/>
            <w:tcBorders/>
            <w:shd w:color="auto" w:fill="8EAADB" w:val="clear"/>
            <w:vAlign w:val="center"/>
          </w:tcPr>
          <w:p>
            <w:pPr>
              <w:pStyle w:val="Normal"/>
              <w:spacing w:lineRule="auto" w:line="276"/>
              <w:ind w:left="0" w:hanging="0"/>
              <w:jc w:val="both"/>
              <w:rPr>
                <w:rFonts w:ascii="Arial" w:hAnsi="Arial" w:eastAsia="Calibri" w:cs="Arial"/>
                <w:i/>
                <w:i/>
                <w:w w:val="95"/>
                <w:sz w:val="18"/>
                <w:szCs w:val="18"/>
                <w:lang w:val="hr-BA"/>
              </w:rPr>
            </w:pPr>
            <w:r>
              <w:rPr>
                <w:rStyle w:val="Fontstyle11"/>
                <w:color w:val="auto"/>
                <w:sz w:val="24"/>
                <w:szCs w:val="24"/>
                <w:lang w:val="en-GB"/>
              </w:rPr>
              <w:t>Povećanje kvalitete i ekonomičnosti rada suda</w:t>
            </w:r>
          </w:p>
        </w:tc>
      </w:tr>
      <w:tr>
        <w:trPr/>
        <w:tc>
          <w:tcPr>
            <w:tcW w:w="3404" w:type="dxa"/>
            <w:gridSpan w:val="2"/>
            <w:vMerge w:val="restart"/>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Pokazatelji za izlazne rezultate</w:t>
            </w:r>
          </w:p>
        </w:tc>
        <w:tc>
          <w:tcPr>
            <w:tcW w:w="5235" w:type="dxa"/>
            <w:gridSpan w:val="4"/>
            <w:tcBorders/>
            <w:shd w:color="auto" w:fill="8EAADB" w:val="clear"/>
            <w:vAlign w:val="cente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Očekivani rezultati po godinama</w:t>
            </w:r>
          </w:p>
        </w:tc>
      </w:tr>
      <w:tr>
        <w:trPr/>
        <w:tc>
          <w:tcPr>
            <w:tcW w:w="3404" w:type="dxa"/>
            <w:gridSpan w:val="2"/>
            <w:vMerge w:val="continue"/>
            <w:tcBorders/>
            <w:shd w:color="auto" w:fill="8EAADB"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251"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2021 (n)</w:t>
            </w:r>
          </w:p>
        </w:tc>
        <w:tc>
          <w:tcPr>
            <w:tcW w:w="1488" w:type="dxa"/>
            <w:gridSpan w:val="2"/>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2022 (n+1)</w:t>
            </w:r>
          </w:p>
        </w:tc>
        <w:tc>
          <w:tcPr>
            <w:tcW w:w="1496"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2023 (n+2)</w:t>
            </w:r>
          </w:p>
        </w:tc>
      </w:tr>
      <w:tr>
        <w:trPr/>
        <w:tc>
          <w:tcPr>
            <w:tcW w:w="3404"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edukacija na temu upravljanje sudskim postupkom i vremenom</w:t>
            </w:r>
          </w:p>
        </w:tc>
        <w:tc>
          <w:tcPr>
            <w:tcW w:w="2251"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488"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496"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r>
      <w:tr>
        <w:trPr/>
        <w:tc>
          <w:tcPr>
            <w:tcW w:w="3404"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Broj sudaca koji su bili polaznici obuke</w:t>
            </w:r>
          </w:p>
        </w:tc>
        <w:tc>
          <w:tcPr>
            <w:tcW w:w="2251"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c>
          <w:tcPr>
            <w:tcW w:w="1488"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c>
          <w:tcPr>
            <w:tcW w:w="1496"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3</w:t>
            </w:r>
          </w:p>
        </w:tc>
      </w:tr>
      <w:tr>
        <w:trPr/>
        <w:tc>
          <w:tcPr>
            <w:tcW w:w="3404"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251"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488"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496"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r>
      <w:tr>
        <w:trPr/>
        <w:tc>
          <w:tcPr>
            <w:tcW w:w="1446"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Redni broj</w:t>
            </w:r>
          </w:p>
        </w:tc>
        <w:tc>
          <w:tcPr>
            <w:tcW w:w="1958"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Naziv aktivnosti za 2021. godinu</w:t>
            </w:r>
          </w:p>
        </w:tc>
        <w:tc>
          <w:tcPr>
            <w:tcW w:w="2636" w:type="dxa"/>
            <w:gridSpan w:val="2"/>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Rok izvršenja </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(po kvartalima u 2021. godini)</w:t>
            </w:r>
          </w:p>
        </w:tc>
        <w:tc>
          <w:tcPr>
            <w:tcW w:w="2599" w:type="dxa"/>
            <w:gridSpan w:val="2"/>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Nosilac </w:t>
            </w:r>
            <w:r>
              <w:rPr>
                <w:rFonts w:eastAsia="Calibri" w:cs="Arial" w:ascii="Arial" w:hAnsi="Arial"/>
                <w:w w:val="95"/>
                <w:sz w:val="18"/>
                <w:szCs w:val="18"/>
                <w:lang w:val="hr-BA"/>
              </w:rPr>
              <w:t>(najmanji organizacioni dio)</w:t>
            </w:r>
          </w:p>
        </w:tc>
      </w:tr>
      <w:tr>
        <w:trPr/>
        <w:tc>
          <w:tcPr>
            <w:tcW w:w="144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958"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Unaprijediti zakazivanje glavnih rasprava u cilju smanjenja neopravdanih odlaganja istih odnosno onemogućiti nesvrsishodno disponiranje stranaka u postupku. Navedeni cilj će se postići studioznijom ocjenom okolnosti i činjenica bitnih za odgodu postupka. Rješavanje predmeta u razumnom roku</w:t>
            </w:r>
          </w:p>
        </w:tc>
        <w:tc>
          <w:tcPr>
            <w:tcW w:w="2636"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w:t>
            </w:r>
          </w:p>
        </w:tc>
        <w:tc>
          <w:tcPr>
            <w:tcW w:w="259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ind w:left="0" w:hanging="0"/>
              <w:jc w:val="center"/>
              <w:rPr>
                <w:rFonts w:ascii="Arial" w:hAnsi="Arial" w:eastAsia="Trebuchet MS" w:cs="Arial"/>
                <w:sz w:val="18"/>
                <w:szCs w:val="18"/>
                <w:lang w:val="hr-BA"/>
              </w:rPr>
            </w:pPr>
            <w:r>
              <w:rPr>
                <w:rFonts w:eastAsia="Trebuchet MS" w:cs="Arial" w:ascii="Arial" w:hAnsi="Arial"/>
                <w:sz w:val="18"/>
                <w:szCs w:val="18"/>
                <w:lang w:val="hr-BA"/>
              </w:rPr>
              <w:t>2.</w:t>
            </w:r>
          </w:p>
        </w:tc>
        <w:tc>
          <w:tcPr>
            <w:tcW w:w="1958"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Izrada programa obuke</w:t>
            </w:r>
          </w:p>
        </w:tc>
        <w:tc>
          <w:tcPr>
            <w:tcW w:w="2636"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259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Zadužene sudije</w:t>
            </w:r>
          </w:p>
        </w:tc>
      </w:tr>
      <w:tr>
        <w:trPr/>
        <w:tc>
          <w:tcPr>
            <w:tcW w:w="144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Calibri" w:cs="Arial" w:ascii="Arial" w:hAnsi="Arial"/>
                <w:w w:val="95"/>
                <w:sz w:val="18"/>
                <w:szCs w:val="18"/>
                <w:lang w:val="hr-BA"/>
              </w:rPr>
              <w:t>1.</w:t>
            </w:r>
          </w:p>
        </w:tc>
        <w:tc>
          <w:tcPr>
            <w:tcW w:w="1958"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Unaprijediti kvalitet  rada sudaca. Navedeni cilj će se postići primjenom novih kriterija za vrednovanje rada sudaca kao i kvalitetnijim izborom obuka</w:t>
            </w:r>
          </w:p>
        </w:tc>
        <w:tc>
          <w:tcPr>
            <w:tcW w:w="2636"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w:t>
            </w:r>
          </w:p>
        </w:tc>
        <w:tc>
          <w:tcPr>
            <w:tcW w:w="259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sz w:val="18"/>
                <w:szCs w:val="18"/>
                <w:lang w:val="hr-BA"/>
              </w:rPr>
              <w:t>2.</w:t>
            </w:r>
          </w:p>
        </w:tc>
        <w:tc>
          <w:tcPr>
            <w:tcW w:w="1958"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 xml:space="preserve">Evidencija rezultata rada sudaca i evidencija izbora obuka </w:t>
            </w:r>
          </w:p>
        </w:tc>
        <w:tc>
          <w:tcPr>
            <w:tcW w:w="2636"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259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Zadužene sudije</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tc>
        <w:tc>
          <w:tcPr>
            <w:tcW w:w="1958"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636"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259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tc>
        <w:tc>
          <w:tcPr>
            <w:tcW w:w="1958"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636"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259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r>
    </w:tbl>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ind w:left="0" w:hanging="0"/>
        <w:rPr>
          <w:rFonts w:ascii="Arial" w:hAnsi="Arial" w:eastAsia="Calibri" w:cs="Arial"/>
          <w:i/>
          <w:i/>
          <w:w w:val="95"/>
          <w:sz w:val="24"/>
          <w:szCs w:val="24"/>
          <w:lang w:val="hr-BA"/>
        </w:rPr>
      </w:pPr>
      <w:r>
        <w:rPr>
          <w:rFonts w:eastAsia="Calibri" w:cs="Arial" w:ascii="Arial" w:hAnsi="Arial"/>
          <w:i/>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tbl>
      <w:tblPr>
        <w:tblStyle w:val="TableGrid"/>
        <w:tblW w:w="8930" w:type="dxa"/>
        <w:jc w:val="left"/>
        <w:tblInd w:w="421" w:type="dxa"/>
        <w:tblCellMar>
          <w:top w:w="0" w:type="dxa"/>
          <w:left w:w="108" w:type="dxa"/>
          <w:bottom w:w="0" w:type="dxa"/>
          <w:right w:w="108" w:type="dxa"/>
        </w:tblCellMar>
        <w:tblLook w:firstRow="1" w:noVBand="1" w:lastRow="0" w:firstColumn="1" w:lastColumn="0" w:noHBand="0" w:val="04a0"/>
      </w:tblPr>
      <w:tblGrid>
        <w:gridCol w:w="1446"/>
        <w:gridCol w:w="1964"/>
        <w:gridCol w:w="2268"/>
        <w:gridCol w:w="72"/>
        <w:gridCol w:w="1427"/>
        <w:gridCol w:w="1752"/>
      </w:tblGrid>
      <w:tr>
        <w:trPr/>
        <w:tc>
          <w:tcPr>
            <w:tcW w:w="3410" w:type="dxa"/>
            <w:gridSpan w:val="2"/>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Strateški cilj 3</w:t>
            </w:r>
          </w:p>
        </w:tc>
        <w:tc>
          <w:tcPr>
            <w:tcW w:w="5519" w:type="dxa"/>
            <w:gridSpan w:val="4"/>
            <w:tcBorders/>
            <w:shd w:color="auto" w:fill="8EAADB" w:val="clear"/>
            <w:vAlign w:val="center"/>
          </w:tcPr>
          <w:p>
            <w:pPr>
              <w:pStyle w:val="Normal"/>
              <w:shd w:val="clear" w:color="auto" w:fill="FFFFFF"/>
              <w:spacing w:lineRule="auto" w:line="276"/>
              <w:ind w:left="284" w:right="146" w:hanging="0"/>
              <w:jc w:val="center"/>
              <w:rPr>
                <w:rFonts w:ascii="Arial" w:hAnsi="Arial" w:eastAsia="Calibri" w:cs="Arial"/>
                <w:i/>
                <w:i/>
                <w:w w:val="95"/>
                <w:sz w:val="22"/>
                <w:szCs w:val="22"/>
                <w:lang w:val="hr-BA"/>
              </w:rPr>
            </w:pPr>
            <w:r>
              <w:rPr>
                <w:rFonts w:eastAsia="Calibri" w:cs="Arial" w:ascii="Arial" w:hAnsi="Arial"/>
                <w:i/>
                <w:w w:val="95"/>
                <w:sz w:val="24"/>
                <w:szCs w:val="24"/>
                <w:lang w:val="hr-BA"/>
              </w:rPr>
              <w:t>Unapređenje odgovornosti, nezavisnosti, učinkovistosti i kvalitete u sektoru pravde BiH</w:t>
            </w:r>
          </w:p>
          <w:p>
            <w:pPr>
              <w:pStyle w:val="Normal"/>
              <w:spacing w:lineRule="auto" w:line="276"/>
              <w:ind w:left="284" w:hanging="0"/>
              <w:jc w:val="both"/>
              <w:rPr>
                <w:rFonts w:ascii="Arial" w:hAnsi="Arial" w:eastAsia="Calibri" w:cs="Arial"/>
                <w:b/>
                <w:b/>
                <w:i/>
                <w:i/>
                <w:w w:val="95"/>
                <w:sz w:val="18"/>
                <w:szCs w:val="18"/>
                <w:lang w:val="hr-BA"/>
              </w:rPr>
            </w:pPr>
            <w:r>
              <w:rPr>
                <w:rFonts w:eastAsia="Calibri" w:cs="Arial" w:ascii="Arial" w:hAnsi="Arial"/>
                <w:b/>
                <w:i/>
                <w:w w:val="95"/>
                <w:sz w:val="18"/>
                <w:szCs w:val="18"/>
                <w:lang w:val="hr-BA"/>
              </w:rPr>
            </w:r>
          </w:p>
        </w:tc>
      </w:tr>
      <w:tr>
        <w:trPr/>
        <w:tc>
          <w:tcPr>
            <w:tcW w:w="3410" w:type="dxa"/>
            <w:gridSpan w:val="2"/>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Trogodišnji cilj 3.1</w:t>
            </w:r>
          </w:p>
        </w:tc>
        <w:tc>
          <w:tcPr>
            <w:tcW w:w="5519" w:type="dxa"/>
            <w:gridSpan w:val="4"/>
            <w:tcBorders/>
            <w:shd w:color="auto" w:fill="8EAADB" w:val="clear"/>
            <w:vAlign w:val="center"/>
          </w:tcPr>
          <w:p>
            <w:pPr>
              <w:pStyle w:val="Normal"/>
              <w:spacing w:lineRule="auto" w:line="276"/>
              <w:ind w:left="0" w:hanging="0"/>
              <w:jc w:val="both"/>
              <w:rPr>
                <w:rFonts w:ascii="Arial" w:hAnsi="Arial" w:eastAsia="Calibri" w:cs="Arial"/>
                <w:i/>
                <w:i/>
                <w:w w:val="95"/>
                <w:sz w:val="18"/>
                <w:szCs w:val="18"/>
                <w:lang w:val="hr-BA"/>
              </w:rPr>
            </w:pPr>
            <w:r>
              <w:rPr>
                <w:rFonts w:eastAsia="Calibri" w:cs="Arial" w:ascii="Arial" w:hAnsi="Arial"/>
                <w:i/>
                <w:w w:val="95"/>
                <w:sz w:val="18"/>
                <w:szCs w:val="18"/>
                <w:lang w:val="hr-BA"/>
              </w:rPr>
              <w:t>Povećanje poštivanja kodeksa ponašanja i odluke o kućnom redu suda</w:t>
            </w:r>
          </w:p>
        </w:tc>
      </w:tr>
      <w:tr>
        <w:trPr/>
        <w:tc>
          <w:tcPr>
            <w:tcW w:w="3410" w:type="dxa"/>
            <w:gridSpan w:val="2"/>
            <w:vMerge w:val="restart"/>
            <w:tcBorders/>
            <w:shd w:color="auto" w:fill="8EAADB" w:val="clear"/>
          </w:tcPr>
          <w:p>
            <w:pPr>
              <w:pStyle w:val="Normal"/>
              <w:spacing w:lineRule="auto" w:line="276"/>
              <w:ind w:left="0" w:hanging="0"/>
              <w:jc w:val="both"/>
              <w:rPr>
                <w:rFonts w:ascii="Arial" w:hAnsi="Arial" w:eastAsia="Calibri" w:cs="Arial"/>
                <w:b/>
                <w:b/>
                <w:w w:val="95"/>
                <w:sz w:val="18"/>
                <w:szCs w:val="18"/>
                <w:lang w:val="hr-BA"/>
              </w:rPr>
            </w:pPr>
            <w:r>
              <w:rPr>
                <w:rFonts w:eastAsia="Calibri" w:cs="Arial" w:ascii="Arial" w:hAnsi="Arial"/>
                <w:b/>
                <w:w w:val="95"/>
                <w:sz w:val="18"/>
                <w:szCs w:val="18"/>
                <w:lang w:val="hr-BA"/>
              </w:rPr>
              <w:t>Pokazatelji za izlazne rezultate</w:t>
            </w:r>
          </w:p>
        </w:tc>
        <w:tc>
          <w:tcPr>
            <w:tcW w:w="5519" w:type="dxa"/>
            <w:gridSpan w:val="4"/>
            <w:tcBorders/>
            <w:shd w:color="auto" w:fill="8EAADB" w:val="clear"/>
            <w:vAlign w:val="cente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Očekivani rezultati po godinama</w:t>
            </w:r>
          </w:p>
        </w:tc>
      </w:tr>
      <w:tr>
        <w:trPr/>
        <w:tc>
          <w:tcPr>
            <w:tcW w:w="3410" w:type="dxa"/>
            <w:gridSpan w:val="2"/>
            <w:vMerge w:val="continue"/>
            <w:tcBorders/>
            <w:shd w:color="auto" w:fill="8EAADB"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268"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2021 (n)</w:t>
            </w:r>
          </w:p>
        </w:tc>
        <w:tc>
          <w:tcPr>
            <w:tcW w:w="1499" w:type="dxa"/>
            <w:gridSpan w:val="2"/>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2022 (n+1)</w:t>
            </w:r>
          </w:p>
        </w:tc>
        <w:tc>
          <w:tcPr>
            <w:tcW w:w="1752" w:type="dxa"/>
            <w:tcBorders/>
            <w:shd w:color="auto" w:fill="D9E2F3"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2023 (n+2)</w:t>
            </w:r>
          </w:p>
        </w:tc>
      </w:tr>
      <w:tr>
        <w:trPr/>
        <w:tc>
          <w:tcPr>
            <w:tcW w:w="3410"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t>Evidentirani broj korištenih izlaznica</w:t>
            </w:r>
          </w:p>
        </w:tc>
        <w:tc>
          <w:tcPr>
            <w:tcW w:w="2268"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 xml:space="preserve">5% manje </w:t>
            </w:r>
          </w:p>
        </w:tc>
        <w:tc>
          <w:tcPr>
            <w:tcW w:w="149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5% manje</w:t>
            </w:r>
          </w:p>
        </w:tc>
        <w:tc>
          <w:tcPr>
            <w:tcW w:w="1752"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5 % manje</w:t>
            </w:r>
          </w:p>
        </w:tc>
      </w:tr>
      <w:tr>
        <w:trPr/>
        <w:tc>
          <w:tcPr>
            <w:tcW w:w="3410"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268"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49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752"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r>
      <w:tr>
        <w:trPr/>
        <w:tc>
          <w:tcPr>
            <w:tcW w:w="3410" w:type="dxa"/>
            <w:gridSpan w:val="2"/>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18"/>
                <w:szCs w:val="18"/>
                <w:lang w:val="hr-BA"/>
              </w:rPr>
            </w:r>
          </w:p>
        </w:tc>
        <w:tc>
          <w:tcPr>
            <w:tcW w:w="2268"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49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c>
          <w:tcPr>
            <w:tcW w:w="1752" w:type="dxa"/>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tc>
      </w:tr>
      <w:tr>
        <w:trPr/>
        <w:tc>
          <w:tcPr>
            <w:tcW w:w="1446"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Redni broj</w:t>
            </w:r>
          </w:p>
        </w:tc>
        <w:tc>
          <w:tcPr>
            <w:tcW w:w="1964" w:type="dxa"/>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Naziv aktivnosti za 2021. godinu</w:t>
            </w:r>
          </w:p>
        </w:tc>
        <w:tc>
          <w:tcPr>
            <w:tcW w:w="2340" w:type="dxa"/>
            <w:gridSpan w:val="2"/>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Rok izvršenja </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(po kvartalima u 2021. godini)</w:t>
            </w:r>
          </w:p>
        </w:tc>
        <w:tc>
          <w:tcPr>
            <w:tcW w:w="3179" w:type="dxa"/>
            <w:gridSpan w:val="2"/>
            <w:tcBorders/>
            <w:shd w:color="auto" w:fill="D9E2F3" w:val="clear"/>
          </w:tcPr>
          <w:p>
            <w:pPr>
              <w:pStyle w:val="Normal"/>
              <w:spacing w:lineRule="auto" w:line="276"/>
              <w:ind w:left="0" w:hanging="0"/>
              <w:jc w:val="center"/>
              <w:rPr>
                <w:rFonts w:ascii="Arial" w:hAnsi="Arial" w:eastAsia="Calibri" w:cs="Arial"/>
                <w:b/>
                <w:b/>
                <w:w w:val="95"/>
                <w:sz w:val="18"/>
                <w:szCs w:val="18"/>
                <w:lang w:val="hr-BA"/>
              </w:rPr>
            </w:pPr>
            <w:r>
              <w:rPr>
                <w:rFonts w:eastAsia="Calibri" w:cs="Arial" w:ascii="Arial" w:hAnsi="Arial"/>
                <w:b/>
                <w:w w:val="95"/>
                <w:sz w:val="18"/>
                <w:szCs w:val="18"/>
                <w:lang w:val="hr-BA"/>
              </w:rPr>
              <w:t xml:space="preserve">Nosilac </w:t>
            </w:r>
            <w:r>
              <w:rPr>
                <w:rFonts w:eastAsia="Calibri" w:cs="Arial" w:ascii="Arial" w:hAnsi="Arial"/>
                <w:w w:val="95"/>
                <w:sz w:val="18"/>
                <w:szCs w:val="18"/>
                <w:lang w:val="hr-BA"/>
              </w:rPr>
              <w:t>(najmanji organizacioni dio)</w:t>
            </w:r>
          </w:p>
        </w:tc>
      </w:tr>
      <w:tr>
        <w:trPr/>
        <w:tc>
          <w:tcPr>
            <w:tcW w:w="144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1.</w:t>
            </w:r>
          </w:p>
        </w:tc>
        <w:tc>
          <w:tcPr>
            <w:tcW w:w="1964" w:type="dxa"/>
            <w:tcBorders/>
            <w:shd w:fill="auto" w:val="clear"/>
          </w:tcPr>
          <w:p>
            <w:pPr>
              <w:pStyle w:val="Normal"/>
              <w:spacing w:lineRule="auto" w:line="276"/>
              <w:ind w:left="284" w:hanging="0"/>
              <w:jc w:val="both"/>
              <w:rPr>
                <w:rFonts w:ascii="Arial" w:hAnsi="Arial" w:eastAsia="Calibri" w:cs="Arial"/>
                <w:w w:val="95"/>
                <w:sz w:val="20"/>
                <w:szCs w:val="20"/>
                <w:lang w:val="hr-BA"/>
              </w:rPr>
            </w:pPr>
            <w:r>
              <w:rPr>
                <w:rFonts w:eastAsia="Calibri" w:cs="Arial" w:ascii="Arial" w:hAnsi="Arial"/>
                <w:w w:val="95"/>
                <w:sz w:val="20"/>
                <w:szCs w:val="20"/>
                <w:lang w:val="hr-BA"/>
              </w:rPr>
              <w:t>Intenzivirati provođenja mjera poštivanja radnog vremena u smislu ažurnijeg vođenja evidencija o prisutnosti na poslu.</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ind w:left="0" w:hanging="0"/>
              <w:jc w:val="center"/>
              <w:rPr>
                <w:rFonts w:ascii="Arial" w:hAnsi="Arial" w:eastAsia="Trebuchet MS" w:cs="Arial"/>
                <w:sz w:val="18"/>
                <w:szCs w:val="18"/>
                <w:lang w:val="hr-BA"/>
              </w:rPr>
            </w:pPr>
            <w:r>
              <w:rPr>
                <w:rFonts w:eastAsia="Trebuchet MS" w:cs="Arial" w:ascii="Arial" w:hAnsi="Arial"/>
                <w:sz w:val="18"/>
                <w:szCs w:val="18"/>
                <w:lang w:val="hr-BA"/>
              </w:rPr>
              <w:t>2.</w:t>
            </w:r>
          </w:p>
        </w:tc>
        <w:tc>
          <w:tcPr>
            <w:tcW w:w="1964" w:type="dxa"/>
            <w:tcBorders/>
            <w:shd w:fill="auto" w:val="clear"/>
          </w:tcPr>
          <w:p>
            <w:pPr>
              <w:pStyle w:val="Normal"/>
              <w:spacing w:lineRule="auto" w:line="276"/>
              <w:ind w:left="0" w:hanging="0"/>
              <w:jc w:val="both"/>
              <w:rPr>
                <w:rFonts w:ascii="Arial" w:hAnsi="Arial" w:eastAsia="Calibri" w:cs="Arial"/>
                <w:w w:val="95"/>
                <w:sz w:val="18"/>
                <w:szCs w:val="18"/>
                <w:lang w:val="hr-BA"/>
              </w:rPr>
            </w:pPr>
            <w:r>
              <w:rPr>
                <w:rFonts w:eastAsia="Calibri" w:cs="Arial" w:ascii="Arial" w:hAnsi="Arial"/>
                <w:w w:val="95"/>
                <w:sz w:val="20"/>
                <w:szCs w:val="20"/>
                <w:lang w:val="hr-BA"/>
              </w:rPr>
              <w:t>Provođenjem ove mjere doprinjet će da uposlenici u manjoj mjeri bez opravdanog razloga napuštaju službene prostorije suda.</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Tajnik suda</w:t>
            </w:r>
          </w:p>
        </w:tc>
      </w:tr>
      <w:tr>
        <w:trPr/>
        <w:tc>
          <w:tcPr>
            <w:tcW w:w="144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Calibri" w:cs="Arial" w:ascii="Arial" w:hAnsi="Arial"/>
                <w:w w:val="95"/>
                <w:sz w:val="18"/>
                <w:szCs w:val="18"/>
                <w:lang w:val="hr-BA"/>
              </w:rPr>
              <w:t>1.</w:t>
            </w:r>
          </w:p>
        </w:tc>
        <w:tc>
          <w:tcPr>
            <w:tcW w:w="1964" w:type="dxa"/>
            <w:tcBorders/>
            <w:shd w:fill="auto" w:val="clear"/>
          </w:tcPr>
          <w:p>
            <w:pPr>
              <w:pStyle w:val="ListParagraph"/>
              <w:shd w:val="clear" w:color="auto" w:fill="FFFFFF"/>
              <w:spacing w:lineRule="auto" w:line="276"/>
              <w:ind w:left="0" w:right="146" w:hanging="0"/>
              <w:jc w:val="both"/>
              <w:rPr>
                <w:rFonts w:ascii="Arial" w:hAnsi="Arial" w:eastAsia="Calibri" w:cs="Arial"/>
                <w:w w:val="95"/>
                <w:sz w:val="20"/>
                <w:szCs w:val="20"/>
                <w:lang w:val="hr-BA"/>
              </w:rPr>
            </w:pPr>
            <w:r>
              <w:rPr>
                <w:rFonts w:eastAsia="Calibri" w:cs="Arial" w:ascii="Arial" w:hAnsi="Arial"/>
                <w:w w:val="95"/>
                <w:sz w:val="20"/>
                <w:szCs w:val="20"/>
                <w:lang w:val="hr-BA"/>
              </w:rPr>
              <w:t xml:space="preserve">Intezivirati profesionalnost ponašanja u ophođenju sa strankama. </w:t>
            </w:r>
          </w:p>
          <w:p>
            <w:pPr>
              <w:pStyle w:val="Normal"/>
              <w:spacing w:lineRule="auto" w:line="276"/>
              <w:ind w:left="0" w:hanging="0"/>
              <w:jc w:val="both"/>
              <w:rPr>
                <w:rFonts w:ascii="Arial" w:hAnsi="Arial" w:eastAsia="Calibri" w:cs="Arial"/>
                <w:w w:val="95"/>
                <w:sz w:val="20"/>
                <w:szCs w:val="20"/>
                <w:lang w:val="hr-BA"/>
              </w:rPr>
            </w:pPr>
            <w:r>
              <w:rPr>
                <w:rFonts w:eastAsia="Calibri" w:cs="Arial" w:ascii="Arial" w:hAnsi="Arial"/>
                <w:w w:val="95"/>
                <w:sz w:val="20"/>
                <w:szCs w:val="20"/>
                <w:lang w:val="hr-BA"/>
              </w:rPr>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sz w:val="18"/>
                <w:szCs w:val="18"/>
                <w:lang w:val="hr-BA"/>
              </w:rPr>
              <w:t>2.</w:t>
            </w:r>
          </w:p>
        </w:tc>
        <w:tc>
          <w:tcPr>
            <w:tcW w:w="1964" w:type="dxa"/>
            <w:tcBorders/>
            <w:shd w:fill="auto" w:val="clear"/>
          </w:tcPr>
          <w:p>
            <w:pPr>
              <w:pStyle w:val="ListParagraph"/>
              <w:shd w:val="clear" w:color="auto" w:fill="FFFFFF"/>
              <w:spacing w:lineRule="auto" w:line="276"/>
              <w:ind w:left="0" w:right="146" w:hanging="0"/>
              <w:jc w:val="both"/>
              <w:rPr>
                <w:rFonts w:ascii="Arial" w:hAnsi="Arial" w:eastAsia="Calibri" w:cs="Arial"/>
                <w:w w:val="95"/>
                <w:sz w:val="20"/>
                <w:szCs w:val="20"/>
                <w:lang w:val="hr-BA"/>
              </w:rPr>
            </w:pPr>
            <w:r>
              <w:rPr>
                <w:rFonts w:eastAsia="Calibri" w:cs="Arial" w:ascii="Arial" w:hAnsi="Arial"/>
                <w:w w:val="95"/>
                <w:sz w:val="20"/>
                <w:szCs w:val="20"/>
                <w:lang w:val="hr-BA"/>
              </w:rPr>
              <w:t>Provođenjem ove mjere doprinijet će profesionalnijem i pristojnijem ponašanju prema strankama.</w:t>
            </w:r>
          </w:p>
          <w:p>
            <w:pPr>
              <w:pStyle w:val="Normal"/>
              <w:spacing w:lineRule="auto" w:line="276"/>
              <w:ind w:left="0" w:hanging="0"/>
              <w:jc w:val="both"/>
              <w:rPr>
                <w:rFonts w:ascii="Arial" w:hAnsi="Arial" w:eastAsia="Calibri" w:cs="Arial"/>
                <w:w w:val="95"/>
                <w:sz w:val="20"/>
                <w:szCs w:val="20"/>
                <w:lang w:val="hr-BA"/>
              </w:rPr>
            </w:pPr>
            <w:r>
              <w:rPr>
                <w:rFonts w:eastAsia="Calibri" w:cs="Arial" w:ascii="Arial" w:hAnsi="Arial"/>
                <w:w w:val="95"/>
                <w:sz w:val="20"/>
                <w:szCs w:val="20"/>
                <w:lang w:val="hr-BA"/>
              </w:rPr>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Tajnik suda</w:t>
            </w:r>
          </w:p>
        </w:tc>
      </w:tr>
      <w:tr>
        <w:trPr/>
        <w:tc>
          <w:tcPr>
            <w:tcW w:w="1446" w:type="dxa"/>
            <w:tcBorders/>
            <w:shd w:fill="auto" w:val="clea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Calibri" w:cs="Arial" w:ascii="Arial" w:hAnsi="Arial"/>
                <w:w w:val="95"/>
                <w:sz w:val="18"/>
                <w:szCs w:val="18"/>
                <w:lang w:val="hr-BA"/>
              </w:rPr>
              <w:t>1.</w:t>
            </w:r>
          </w:p>
        </w:tc>
        <w:tc>
          <w:tcPr>
            <w:tcW w:w="1964" w:type="dxa"/>
            <w:tcBorders/>
            <w:shd w:fill="auto" w:val="clear"/>
          </w:tcPr>
          <w:p>
            <w:pPr>
              <w:pStyle w:val="ListParagraph"/>
              <w:shd w:val="clear" w:color="auto" w:fill="FFFFFF"/>
              <w:spacing w:lineRule="auto" w:line="276"/>
              <w:ind w:left="0" w:right="146" w:hanging="0"/>
              <w:jc w:val="both"/>
              <w:rPr>
                <w:rFonts w:ascii="Arial" w:hAnsi="Arial" w:eastAsia="Calibri" w:cs="Arial"/>
                <w:w w:val="95"/>
                <w:sz w:val="20"/>
                <w:szCs w:val="20"/>
                <w:lang w:val="hr-BA"/>
              </w:rPr>
            </w:pPr>
            <w:r>
              <w:rPr>
                <w:rFonts w:eastAsia="Calibri" w:cs="Arial" w:ascii="Arial" w:hAnsi="Arial"/>
                <w:w w:val="95"/>
                <w:sz w:val="20"/>
                <w:szCs w:val="20"/>
                <w:lang w:val="hr-BA"/>
              </w:rPr>
              <w:t xml:space="preserve">Aktivno primjenjivati mjere u pogledu obaveze blagovremenog obavještavanja nadređenog o razlozima spriječenosti dolaska na posao. </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w:t>
            </w:r>
          </w:p>
        </w:tc>
        <w:tc>
          <w:tcPr>
            <w:tcW w:w="317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tc>
      </w:tr>
      <w:tr>
        <w:trPr/>
        <w:tc>
          <w:tcPr>
            <w:tcW w:w="1446" w:type="dxa"/>
            <w:tcBorders/>
            <w:shd w:fill="auto" w:val="clear"/>
          </w:tcPr>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w w:val="95"/>
                <w:sz w:val="18"/>
                <w:szCs w:val="18"/>
                <w:lang w:val="hr-BA"/>
              </w:rPr>
            </w:r>
          </w:p>
          <w:p>
            <w:pPr>
              <w:pStyle w:val="Normal"/>
              <w:widowControl w:val="false"/>
              <w:spacing w:lineRule="auto" w:line="276" w:before="101" w:after="0"/>
              <w:ind w:left="1080" w:hanging="0"/>
              <w:jc w:val="both"/>
              <w:rPr>
                <w:rFonts w:ascii="Arial" w:hAnsi="Arial" w:eastAsia="Trebuchet MS" w:cs="Arial"/>
                <w:w w:val="95"/>
                <w:sz w:val="18"/>
                <w:szCs w:val="18"/>
                <w:lang w:val="hr-BA"/>
              </w:rPr>
            </w:pPr>
            <w:r>
              <w:rPr>
                <w:rFonts w:eastAsia="Trebuchet MS" w:cs="Arial" w:ascii="Arial" w:hAnsi="Arial"/>
                <w:sz w:val="18"/>
                <w:szCs w:val="18"/>
                <w:lang w:val="hr-BA"/>
              </w:rPr>
              <w:t>2.</w:t>
            </w:r>
          </w:p>
        </w:tc>
        <w:tc>
          <w:tcPr>
            <w:tcW w:w="1964" w:type="dxa"/>
            <w:tcBorders/>
            <w:shd w:fill="auto" w:val="clear"/>
          </w:tcPr>
          <w:p>
            <w:pPr>
              <w:pStyle w:val="ListParagraph"/>
              <w:shd w:val="clear" w:color="auto" w:fill="FFFFFF"/>
              <w:spacing w:lineRule="auto" w:line="276"/>
              <w:ind w:left="0" w:right="146" w:hanging="0"/>
              <w:jc w:val="both"/>
              <w:rPr>
                <w:rFonts w:ascii="Arial" w:hAnsi="Arial" w:eastAsia="Calibri" w:cs="Arial"/>
                <w:w w:val="95"/>
                <w:sz w:val="20"/>
                <w:szCs w:val="20"/>
                <w:lang w:val="hr-BA"/>
              </w:rPr>
            </w:pPr>
            <w:r>
              <w:rPr>
                <w:rFonts w:eastAsia="Calibri" w:cs="Arial" w:ascii="Arial" w:hAnsi="Arial"/>
                <w:w w:val="95"/>
                <w:sz w:val="20"/>
                <w:szCs w:val="20"/>
                <w:lang w:val="hr-BA"/>
              </w:rPr>
              <w:t>Provođenjem ove mjere doprinijet će boljoj organizaciji rada uposlenika.</w:t>
            </w:r>
          </w:p>
        </w:tc>
        <w:tc>
          <w:tcPr>
            <w:tcW w:w="2340"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I-IV</w:t>
            </w:r>
          </w:p>
        </w:tc>
        <w:tc>
          <w:tcPr>
            <w:tcW w:w="3179" w:type="dxa"/>
            <w:gridSpan w:val="2"/>
            <w:tcBorders/>
            <w:shd w:fill="auto" w:val="clear"/>
            <w:vAlign w:val="center"/>
          </w:tcPr>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Predsjednik suda</w:t>
            </w:r>
          </w:p>
          <w:p>
            <w:pPr>
              <w:pStyle w:val="Normal"/>
              <w:spacing w:lineRule="auto" w:line="276"/>
              <w:ind w:left="0" w:hanging="0"/>
              <w:jc w:val="center"/>
              <w:rPr>
                <w:rFonts w:ascii="Arial" w:hAnsi="Arial" w:eastAsia="Calibri" w:cs="Arial"/>
                <w:w w:val="95"/>
                <w:sz w:val="18"/>
                <w:szCs w:val="18"/>
                <w:lang w:val="hr-BA"/>
              </w:rPr>
            </w:pPr>
            <w:r>
              <w:rPr>
                <w:rFonts w:eastAsia="Calibri" w:cs="Arial" w:ascii="Arial" w:hAnsi="Arial"/>
                <w:w w:val="95"/>
                <w:sz w:val="18"/>
                <w:szCs w:val="18"/>
                <w:lang w:val="hr-BA"/>
              </w:rPr>
              <w:t>Zaduženi suci</w:t>
            </w:r>
          </w:p>
        </w:tc>
      </w:tr>
    </w:tbl>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widowControl w:val="false"/>
        <w:numPr>
          <w:ilvl w:val="0"/>
          <w:numId w:val="0"/>
        </w:numPr>
        <w:spacing w:before="71" w:after="0"/>
        <w:ind w:left="0"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keepNext w:val="true"/>
        <w:keepLines/>
        <w:numPr>
          <w:ilvl w:val="0"/>
          <w:numId w:val="0"/>
        </w:numPr>
        <w:spacing w:before="40" w:after="0"/>
        <w:ind w:left="360" w:hanging="0"/>
        <w:outlineLvl w:val="2"/>
        <w:rPr>
          <w:rFonts w:ascii="Arial" w:hAnsi="Arial" w:eastAsia="Times New Roman" w:cs="Arial"/>
          <w:w w:val="95"/>
          <w:sz w:val="24"/>
          <w:szCs w:val="24"/>
          <w:lang w:val="hr-BA"/>
        </w:rPr>
      </w:pPr>
      <w:bookmarkStart w:id="71" w:name="_Toc67566981"/>
      <w:bookmarkStart w:id="72" w:name="_Toc39666949"/>
      <w:bookmarkStart w:id="73" w:name="_Toc29479787"/>
      <w:r>
        <w:rPr>
          <w:rFonts w:eastAsia="Times New Roman" w:cs="Arial" w:ascii="Arial" w:hAnsi="Arial"/>
          <w:w w:val="95"/>
          <w:sz w:val="24"/>
          <w:szCs w:val="24"/>
          <w:lang w:val="hr-BA"/>
        </w:rPr>
        <w:t>C. Godišnji plan rješavanja sudskih predmeta</w:t>
      </w:r>
      <w:bookmarkEnd w:id="71"/>
      <w:bookmarkEnd w:id="72"/>
      <w:bookmarkEnd w:id="73"/>
    </w:p>
    <w:p>
      <w:pPr>
        <w:pStyle w:val="Normal"/>
        <w:widowControl w:val="false"/>
        <w:numPr>
          <w:ilvl w:val="0"/>
          <w:numId w:val="0"/>
        </w:numPr>
        <w:spacing w:before="71" w:after="0"/>
        <w:ind w:left="1703" w:hanging="0"/>
        <w:outlineLvl w:val="1"/>
        <w:rPr>
          <w:rFonts w:ascii="Arial" w:hAnsi="Arial" w:eastAsia="Verdana" w:cs="Arial"/>
          <w:b/>
          <w:b/>
          <w:bCs/>
          <w:w w:val="95"/>
          <w:sz w:val="24"/>
          <w:szCs w:val="24"/>
          <w:lang w:val="hr-BA"/>
        </w:rPr>
      </w:pPr>
      <w:r>
        <w:rPr>
          <w:rFonts w:eastAsia="Verdana" w:cs="Arial" w:ascii="Arial" w:hAnsi="Arial"/>
          <w:b/>
          <w:bCs/>
          <w:w w:val="95"/>
          <w:sz w:val="24"/>
          <w:szCs w:val="24"/>
          <w:lang w:val="hr-BA"/>
        </w:rPr>
      </w:r>
    </w:p>
    <w:p>
      <w:pPr>
        <w:pStyle w:val="Normal"/>
        <w:ind w:left="0" w:hanging="0"/>
        <w:rPr/>
      </w:pPr>
      <w:bookmarkStart w:id="74" w:name="_GoBack"/>
      <w:r>
        <w:rPr>
          <w:rFonts w:eastAsia="Calibri" w:cs="Arial" w:ascii="Arial" w:hAnsi="Arial"/>
          <w:w w:val="95"/>
          <w:sz w:val="24"/>
          <w:szCs w:val="24"/>
          <w:lang w:val="hr-BA"/>
        </w:rPr>
        <w:t>Plan rješavanja predmeta u sudovima se izrađuje u skladu sa važećim Uputstvom za izradu planova rješavanja predmeta usvojenog od strane VSTV-a.</w:t>
      </w:r>
      <w:bookmarkEnd w:id="74"/>
    </w:p>
    <w:sectPr>
      <w:headerReference w:type="default" r:id="rId2"/>
      <w:footerReference w:type="default" r:id="rId3"/>
      <w:footerReference w:type="first" r:id="rId4"/>
      <w:type w:val="nextPage"/>
      <w:pgSz w:w="11906" w:h="16838"/>
      <w:pgMar w:left="1418" w:right="1417" w:header="709" w:top="993" w:footer="425" w:bottom="851"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Liberation Sans">
    <w:altName w:val="Arial"/>
    <w:charset w:val="00"/>
    <w:family w:val="swiss"/>
    <w:pitch w:val="variable"/>
  </w:font>
  <w:font w:name="Arial">
    <w:charset w:val="00"/>
    <w:family w:val="roman"/>
    <w:pitch w:val="variable"/>
  </w:font>
  <w:font w:name="Wingdings">
    <w:charset w:val="02"/>
    <w:family w:val="auto"/>
    <w:pitch w:val="variable"/>
  </w:font>
  <w:font w:name="Courier New">
    <w:charset w:val="01"/>
    <w:family w:val="modern"/>
    <w:pitch w:val="fixed"/>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66350235"/>
    </w:sdtPr>
    <w:sdtContent>
      <w:p>
        <w:pPr>
          <w:pStyle w:val="Footer"/>
          <w:jc w:val="right"/>
          <w:rPr/>
        </w:pPr>
        <w:r>
          <w:rPr/>
          <w:fldChar w:fldCharType="begin"/>
        </w:r>
        <w:r>
          <w:rPr/>
          <w:instrText> PAGE </w:instrText>
        </w:r>
        <w:r>
          <w:rPr/>
          <w:fldChar w:fldCharType="separate"/>
        </w:r>
        <w:r>
          <w:rPr/>
          <w:t>1</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512722702"/>
    </w:sdtPr>
    <w:sdtContent>
      <w:p>
        <w:pPr>
          <w:pStyle w:val="Header"/>
          <w:jc w:val="right"/>
          <w:rPr/>
        </w:pPr>
        <w:r>
          <w:rPr/>
          <w:fldChar w:fldCharType="begin"/>
        </w:r>
        <w:r>
          <w:rPr/>
          <w:instrText> PAGE </w:instrText>
        </w:r>
        <w:r>
          <w:rPr/>
          <w:fldChar w:fldCharType="separate"/>
        </w:r>
        <w:r>
          <w:rPr/>
          <w:t>17</w:t>
        </w:r>
        <w:r>
          <w:rPr/>
          <w:fldChar w:fldCharType="end"/>
        </w:r>
      </w:p>
    </w:sdtContent>
  </w:sdt>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2">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bullet"/>
      <w:lvlText w:val="-"/>
      <w:lvlJc w:val="left"/>
      <w:pPr>
        <w:ind w:left="928" w:hanging="360"/>
      </w:pPr>
      <w:rPr>
        <w:rFonts w:ascii="Arial" w:hAnsi="Arial" w:cs="Arial" w:hint="default"/>
        <w:sz w:val="24"/>
        <w:rFonts w:cs="Arial"/>
      </w:rPr>
    </w:lvl>
    <w:lvl w:ilvl="1">
      <w:start w:val="1"/>
      <w:numFmt w:val="bullet"/>
      <w:lvlText w:val="o"/>
      <w:lvlJc w:val="left"/>
      <w:pPr>
        <w:ind w:left="1648" w:hanging="360"/>
      </w:pPr>
      <w:rPr>
        <w:rFonts w:ascii="Courier New" w:hAnsi="Courier New" w:cs="Courier New" w:hint="default"/>
        <w:rFonts w:cs="Courier New"/>
      </w:rPr>
    </w:lvl>
    <w:lvl w:ilvl="2">
      <w:start w:val="1"/>
      <w:numFmt w:val="bullet"/>
      <w:lvlText w:val=""/>
      <w:lvlJc w:val="left"/>
      <w:pPr>
        <w:ind w:left="2368" w:hanging="360"/>
      </w:pPr>
      <w:rPr>
        <w:rFonts w:ascii="Wingdings" w:hAnsi="Wingdings" w:cs="Wingdings" w:hint="default"/>
      </w:rPr>
    </w:lvl>
    <w:lvl w:ilvl="3">
      <w:start w:val="1"/>
      <w:numFmt w:val="bullet"/>
      <w:lvlText w:val=""/>
      <w:lvlJc w:val="left"/>
      <w:pPr>
        <w:ind w:left="3088" w:hanging="360"/>
      </w:pPr>
      <w:rPr>
        <w:rFonts w:ascii="Symbol" w:hAnsi="Symbol" w:cs="Symbol" w:hint="default"/>
      </w:rPr>
    </w:lvl>
    <w:lvl w:ilvl="4">
      <w:start w:val="1"/>
      <w:numFmt w:val="bullet"/>
      <w:lvlText w:val="o"/>
      <w:lvlJc w:val="left"/>
      <w:pPr>
        <w:ind w:left="3808" w:hanging="360"/>
      </w:pPr>
      <w:rPr>
        <w:rFonts w:ascii="Courier New" w:hAnsi="Courier New" w:cs="Courier New" w:hint="default"/>
        <w:rFonts w:cs="Courier New"/>
      </w:rPr>
    </w:lvl>
    <w:lvl w:ilvl="5">
      <w:start w:val="1"/>
      <w:numFmt w:val="bullet"/>
      <w:lvlText w:val=""/>
      <w:lvlJc w:val="left"/>
      <w:pPr>
        <w:ind w:left="4528" w:hanging="360"/>
      </w:pPr>
      <w:rPr>
        <w:rFonts w:ascii="Wingdings" w:hAnsi="Wingdings" w:cs="Wingdings" w:hint="default"/>
      </w:rPr>
    </w:lvl>
    <w:lvl w:ilvl="6">
      <w:start w:val="1"/>
      <w:numFmt w:val="bullet"/>
      <w:lvlText w:val=""/>
      <w:lvlJc w:val="left"/>
      <w:pPr>
        <w:ind w:left="5248" w:hanging="360"/>
      </w:pPr>
      <w:rPr>
        <w:rFonts w:ascii="Symbol" w:hAnsi="Symbol" w:cs="Symbol" w:hint="default"/>
      </w:rPr>
    </w:lvl>
    <w:lvl w:ilvl="7">
      <w:start w:val="1"/>
      <w:numFmt w:val="bullet"/>
      <w:lvlText w:val="o"/>
      <w:lvlJc w:val="left"/>
      <w:pPr>
        <w:ind w:left="5968" w:hanging="360"/>
      </w:pPr>
      <w:rPr>
        <w:rFonts w:ascii="Courier New" w:hAnsi="Courier New" w:cs="Courier New" w:hint="default"/>
        <w:rFonts w:cs="Courier New"/>
      </w:rPr>
    </w:lvl>
    <w:lvl w:ilvl="8">
      <w:start w:val="1"/>
      <w:numFmt w:val="bullet"/>
      <w:lvlText w:val=""/>
      <w:lvlJc w:val="left"/>
      <w:pPr>
        <w:ind w:left="6688" w:hanging="360"/>
      </w:pPr>
      <w:rPr>
        <w:rFonts w:ascii="Wingdings" w:hAnsi="Wingdings" w:cs="Wingdings" w:hint="default"/>
      </w:rPr>
    </w:lvl>
  </w:abstractNum>
  <w:abstractNum w:abstractNumId="5">
    <w:lvl w:ilvl="0">
      <w:start w:val="7"/>
      <w:numFmt w:val="bullet"/>
      <w:lvlText w:val="-"/>
      <w:lvlJc w:val="left"/>
      <w:pPr>
        <w:ind w:left="869" w:hanging="360"/>
      </w:pPr>
      <w:rPr>
        <w:rFonts w:ascii="Arial" w:hAnsi="Arial" w:cs="Arial" w:hint="default"/>
        <w:sz w:val="24"/>
        <w:rFonts w:cs="Arial"/>
      </w:rPr>
    </w:lvl>
    <w:lvl w:ilvl="1">
      <w:start w:val="1"/>
      <w:numFmt w:val="bullet"/>
      <w:lvlText w:val="o"/>
      <w:lvlJc w:val="left"/>
      <w:pPr>
        <w:ind w:left="1589" w:hanging="360"/>
      </w:pPr>
      <w:rPr>
        <w:rFonts w:ascii="Courier New" w:hAnsi="Courier New" w:cs="Courier New" w:hint="default"/>
        <w:rFonts w:cs="Courier New"/>
      </w:rPr>
    </w:lvl>
    <w:lvl w:ilvl="2">
      <w:start w:val="1"/>
      <w:numFmt w:val="bullet"/>
      <w:lvlText w:val=""/>
      <w:lvlJc w:val="left"/>
      <w:pPr>
        <w:ind w:left="2309" w:hanging="360"/>
      </w:pPr>
      <w:rPr>
        <w:rFonts w:ascii="Wingdings" w:hAnsi="Wingdings" w:cs="Wingdings" w:hint="default"/>
      </w:rPr>
    </w:lvl>
    <w:lvl w:ilvl="3">
      <w:start w:val="1"/>
      <w:numFmt w:val="bullet"/>
      <w:lvlText w:val=""/>
      <w:lvlJc w:val="left"/>
      <w:pPr>
        <w:ind w:left="3029" w:hanging="360"/>
      </w:pPr>
      <w:rPr>
        <w:rFonts w:ascii="Symbol" w:hAnsi="Symbol" w:cs="Symbol" w:hint="default"/>
      </w:rPr>
    </w:lvl>
    <w:lvl w:ilvl="4">
      <w:start w:val="1"/>
      <w:numFmt w:val="bullet"/>
      <w:lvlText w:val="o"/>
      <w:lvlJc w:val="left"/>
      <w:pPr>
        <w:ind w:left="3749" w:hanging="360"/>
      </w:pPr>
      <w:rPr>
        <w:rFonts w:ascii="Courier New" w:hAnsi="Courier New" w:cs="Courier New" w:hint="default"/>
        <w:rFonts w:cs="Courier New"/>
      </w:rPr>
    </w:lvl>
    <w:lvl w:ilvl="5">
      <w:start w:val="1"/>
      <w:numFmt w:val="bullet"/>
      <w:lvlText w:val=""/>
      <w:lvlJc w:val="left"/>
      <w:pPr>
        <w:ind w:left="4469" w:hanging="360"/>
      </w:pPr>
      <w:rPr>
        <w:rFonts w:ascii="Wingdings" w:hAnsi="Wingdings" w:cs="Wingdings" w:hint="default"/>
      </w:rPr>
    </w:lvl>
    <w:lvl w:ilvl="6">
      <w:start w:val="1"/>
      <w:numFmt w:val="bullet"/>
      <w:lvlText w:val=""/>
      <w:lvlJc w:val="left"/>
      <w:pPr>
        <w:ind w:left="5189" w:hanging="360"/>
      </w:pPr>
      <w:rPr>
        <w:rFonts w:ascii="Symbol" w:hAnsi="Symbol" w:cs="Symbol" w:hint="default"/>
      </w:rPr>
    </w:lvl>
    <w:lvl w:ilvl="7">
      <w:start w:val="1"/>
      <w:numFmt w:val="bullet"/>
      <w:lvlText w:val="o"/>
      <w:lvlJc w:val="left"/>
      <w:pPr>
        <w:ind w:left="5909" w:hanging="360"/>
      </w:pPr>
      <w:rPr>
        <w:rFonts w:ascii="Courier New" w:hAnsi="Courier New" w:cs="Courier New" w:hint="default"/>
        <w:rFonts w:cs="Courier New"/>
      </w:rPr>
    </w:lvl>
    <w:lvl w:ilvl="8">
      <w:start w:val="1"/>
      <w:numFmt w:val="bullet"/>
      <w:lvlText w:val=""/>
      <w:lvlJc w:val="left"/>
      <w:pPr>
        <w:ind w:left="6629" w:hanging="360"/>
      </w:pPr>
      <w:rPr>
        <w:rFonts w:ascii="Wingdings" w:hAnsi="Wingdings" w:cs="Wingdings" w:hint="default"/>
      </w:rPr>
    </w:lvl>
  </w:abstractNum>
  <w:abstractNum w:abstractNumId="6">
    <w:lvl w:ilvl="0">
      <w:start w:val="1"/>
      <w:numFmt w:val="bullet"/>
      <w:lvlText w:val=""/>
      <w:lvlJc w:val="left"/>
      <w:pPr>
        <w:ind w:left="1288" w:hanging="360"/>
      </w:pPr>
      <w:rPr>
        <w:rFonts w:ascii="Symbol" w:hAnsi="Symbol" w:cs="Symbol" w:hint="default"/>
      </w:rPr>
    </w:lvl>
    <w:lvl w:ilvl="1">
      <w:start w:val="1"/>
      <w:numFmt w:val="bullet"/>
      <w:lvlText w:val="o"/>
      <w:lvlJc w:val="left"/>
      <w:pPr>
        <w:ind w:left="2008" w:hanging="360"/>
      </w:pPr>
      <w:rPr>
        <w:rFonts w:ascii="Courier New" w:hAnsi="Courier New" w:cs="Courier New" w:hint="default"/>
        <w:rFonts w:cs="Courier New"/>
      </w:rPr>
    </w:lvl>
    <w:lvl w:ilvl="2">
      <w:start w:val="1"/>
      <w:numFmt w:val="bullet"/>
      <w:lvlText w:val=""/>
      <w:lvlJc w:val="left"/>
      <w:pPr>
        <w:ind w:left="2728" w:hanging="360"/>
      </w:pPr>
      <w:rPr>
        <w:rFonts w:ascii="Wingdings" w:hAnsi="Wingdings" w:cs="Wingdings" w:hint="default"/>
      </w:rPr>
    </w:lvl>
    <w:lvl w:ilvl="3">
      <w:start w:val="1"/>
      <w:numFmt w:val="bullet"/>
      <w:lvlText w:val=""/>
      <w:lvlJc w:val="left"/>
      <w:pPr>
        <w:ind w:left="3448" w:hanging="360"/>
      </w:pPr>
      <w:rPr>
        <w:rFonts w:ascii="Symbol" w:hAnsi="Symbol" w:cs="Symbol" w:hint="default"/>
      </w:rPr>
    </w:lvl>
    <w:lvl w:ilvl="4">
      <w:start w:val="1"/>
      <w:numFmt w:val="bullet"/>
      <w:lvlText w:val="o"/>
      <w:lvlJc w:val="left"/>
      <w:pPr>
        <w:ind w:left="4168" w:hanging="360"/>
      </w:pPr>
      <w:rPr>
        <w:rFonts w:ascii="Courier New" w:hAnsi="Courier New" w:cs="Courier New" w:hint="default"/>
        <w:rFonts w:cs="Courier New"/>
      </w:rPr>
    </w:lvl>
    <w:lvl w:ilvl="5">
      <w:start w:val="1"/>
      <w:numFmt w:val="bullet"/>
      <w:lvlText w:val=""/>
      <w:lvlJc w:val="left"/>
      <w:pPr>
        <w:ind w:left="4888" w:hanging="360"/>
      </w:pPr>
      <w:rPr>
        <w:rFonts w:ascii="Wingdings" w:hAnsi="Wingdings" w:cs="Wingdings" w:hint="default"/>
      </w:rPr>
    </w:lvl>
    <w:lvl w:ilvl="6">
      <w:start w:val="1"/>
      <w:numFmt w:val="bullet"/>
      <w:lvlText w:val=""/>
      <w:lvlJc w:val="left"/>
      <w:pPr>
        <w:ind w:left="5608" w:hanging="360"/>
      </w:pPr>
      <w:rPr>
        <w:rFonts w:ascii="Symbol" w:hAnsi="Symbol" w:cs="Symbol" w:hint="default"/>
      </w:rPr>
    </w:lvl>
    <w:lvl w:ilvl="7">
      <w:start w:val="1"/>
      <w:numFmt w:val="bullet"/>
      <w:lvlText w:val="o"/>
      <w:lvlJc w:val="left"/>
      <w:pPr>
        <w:ind w:left="6328" w:hanging="360"/>
      </w:pPr>
      <w:rPr>
        <w:rFonts w:ascii="Courier New" w:hAnsi="Courier New" w:cs="Courier New" w:hint="default"/>
        <w:rFonts w:cs="Courier New"/>
      </w:rPr>
    </w:lvl>
    <w:lvl w:ilvl="8">
      <w:start w:val="1"/>
      <w:numFmt w:val="bullet"/>
      <w:lvlText w:val=""/>
      <w:lvlJc w:val="left"/>
      <w:pPr>
        <w:ind w:left="7048" w:hanging="360"/>
      </w:pPr>
      <w:rPr>
        <w:rFonts w:ascii="Wingdings" w:hAnsi="Wingdings" w:cs="Wingdings" w:hint="default"/>
      </w:rPr>
    </w:lvl>
  </w:abstractNum>
  <w:abstractNum w:abstractNumId="7">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bs-Latn-B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bs-B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ind w:left="284" w:hanging="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850ff6"/>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semiHidden/>
    <w:unhideWhenUsed/>
    <w:qFormat/>
    <w:rsid w:val="00850ff6"/>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FootnoteTextChar" w:customStyle="1">
    <w:name w:val="Footnote Text Char"/>
    <w:basedOn w:val="DefaultParagraphFont"/>
    <w:link w:val="FootnoteText"/>
    <w:uiPriority w:val="99"/>
    <w:qFormat/>
    <w:rsid w:val="00850ff6"/>
    <w:rPr>
      <w:sz w:val="20"/>
      <w:szCs w:val="20"/>
      <w:lang w:val="en-GB"/>
    </w:rPr>
  </w:style>
  <w:style w:type="character" w:styleId="FootnoteCharacters">
    <w:name w:val="Footnote Characters"/>
    <w:basedOn w:val="DefaultParagraphFont"/>
    <w:uiPriority w:val="99"/>
    <w:unhideWhenUsed/>
    <w:qFormat/>
    <w:rsid w:val="00850ff6"/>
    <w:rPr>
      <w:vertAlign w:val="superscript"/>
    </w:rPr>
  </w:style>
  <w:style w:type="character" w:styleId="FootnoteAnchor">
    <w:name w:val="Footnote Anchor"/>
    <w:rPr>
      <w:vertAlign w:val="superscript"/>
    </w:rPr>
  </w:style>
  <w:style w:type="character" w:styleId="Heading1Char" w:customStyle="1">
    <w:name w:val="Heading 1 Char"/>
    <w:basedOn w:val="DefaultParagraphFont"/>
    <w:link w:val="Heading1"/>
    <w:uiPriority w:val="9"/>
    <w:qFormat/>
    <w:rsid w:val="00850ff6"/>
    <w:rPr>
      <w:rFonts w:ascii="Calibri Light" w:hAnsi="Calibri Light" w:eastAsia="" w:cs="" w:asciiTheme="majorHAnsi" w:cstheme="majorBidi" w:eastAsiaTheme="majorEastAsia" w:hAnsiTheme="majorHAnsi"/>
      <w:color w:val="2E74B5" w:themeColor="accent1" w:themeShade="bf"/>
      <w:sz w:val="32"/>
      <w:szCs w:val="32"/>
      <w:lang w:val="en-GB"/>
    </w:rPr>
  </w:style>
  <w:style w:type="character" w:styleId="InternetLink">
    <w:name w:val="Internet Link"/>
    <w:basedOn w:val="DefaultParagraphFont"/>
    <w:uiPriority w:val="99"/>
    <w:unhideWhenUsed/>
    <w:rsid w:val="00850ff6"/>
    <w:rPr>
      <w:color w:val="0563C1" w:themeColor="hyperlink"/>
      <w:u w:val="single"/>
    </w:rPr>
  </w:style>
  <w:style w:type="character" w:styleId="Heading2Char" w:customStyle="1">
    <w:name w:val="Heading 2 Char"/>
    <w:basedOn w:val="DefaultParagraphFont"/>
    <w:link w:val="Heading2"/>
    <w:uiPriority w:val="9"/>
    <w:semiHidden/>
    <w:qFormat/>
    <w:rsid w:val="00850ff6"/>
    <w:rPr>
      <w:rFonts w:ascii="Calibri Light" w:hAnsi="Calibri Light" w:eastAsia="" w:cs="" w:asciiTheme="majorHAnsi" w:cstheme="majorBidi" w:eastAsiaTheme="majorEastAsia" w:hAnsiTheme="majorHAnsi"/>
      <w:color w:val="2E74B5" w:themeColor="accent1" w:themeShade="bf"/>
      <w:sz w:val="26"/>
      <w:szCs w:val="26"/>
      <w:lang w:val="en-GB"/>
    </w:rPr>
  </w:style>
  <w:style w:type="character" w:styleId="Fontstyle01" w:customStyle="1">
    <w:name w:val="fontstyle01"/>
    <w:basedOn w:val="DefaultParagraphFont"/>
    <w:qFormat/>
    <w:rsid w:val="009d17e7"/>
    <w:rPr>
      <w:rFonts w:ascii="Times New Roman" w:hAnsi="Times New Roman" w:cs="Times New Roman"/>
      <w:b w:val="false"/>
      <w:bCs w:val="false"/>
      <w:i w:val="false"/>
      <w:iCs w:val="false"/>
      <w:color w:val="000000"/>
      <w:sz w:val="24"/>
      <w:szCs w:val="24"/>
    </w:rPr>
  </w:style>
  <w:style w:type="character" w:styleId="Fontstyle11" w:customStyle="1">
    <w:name w:val="fontstyle11"/>
    <w:basedOn w:val="DefaultParagraphFont"/>
    <w:qFormat/>
    <w:rsid w:val="009d17e7"/>
    <w:rPr>
      <w:rFonts w:ascii="Times New Roman" w:hAnsi="Times New Roman" w:cs="Times New Roman"/>
      <w:b/>
      <w:bCs/>
      <w:i/>
      <w:iCs/>
      <w:color w:val="000000"/>
      <w:sz w:val="24"/>
      <w:szCs w:val="24"/>
    </w:rPr>
  </w:style>
  <w:style w:type="character" w:styleId="BalloonTextChar" w:customStyle="1">
    <w:name w:val="Balloon Text Char"/>
    <w:basedOn w:val="DefaultParagraphFont"/>
    <w:link w:val="BalloonText"/>
    <w:uiPriority w:val="99"/>
    <w:semiHidden/>
    <w:qFormat/>
    <w:rsid w:val="00f95b7f"/>
    <w:rPr>
      <w:rFonts w:ascii="Segoe UI" w:hAnsi="Segoe UI" w:cs="Segoe UI"/>
      <w:sz w:val="18"/>
      <w:szCs w:val="18"/>
      <w:lang w:val="en-GB"/>
    </w:rPr>
  </w:style>
  <w:style w:type="character" w:styleId="HeaderChar" w:customStyle="1">
    <w:name w:val="Header Char"/>
    <w:basedOn w:val="DefaultParagraphFont"/>
    <w:link w:val="Header"/>
    <w:uiPriority w:val="99"/>
    <w:qFormat/>
    <w:rsid w:val="00da6cd4"/>
    <w:rPr>
      <w:lang w:val="en-GB"/>
    </w:rPr>
  </w:style>
  <w:style w:type="character" w:styleId="FooterChar" w:customStyle="1">
    <w:name w:val="Footer Char"/>
    <w:basedOn w:val="DefaultParagraphFont"/>
    <w:link w:val="Footer"/>
    <w:uiPriority w:val="99"/>
    <w:qFormat/>
    <w:rsid w:val="00da6cd4"/>
    <w:rPr>
      <w:lang w:val="en-GB"/>
    </w:rPr>
  </w:style>
  <w:style w:type="character" w:styleId="Annotationreference">
    <w:name w:val="annotation reference"/>
    <w:basedOn w:val="DefaultParagraphFont"/>
    <w:uiPriority w:val="99"/>
    <w:semiHidden/>
    <w:unhideWhenUsed/>
    <w:qFormat/>
    <w:rsid w:val="00c10ae5"/>
    <w:rPr>
      <w:sz w:val="16"/>
      <w:szCs w:val="16"/>
    </w:rPr>
  </w:style>
  <w:style w:type="character" w:styleId="CommentTextChar" w:customStyle="1">
    <w:name w:val="Comment Text Char"/>
    <w:basedOn w:val="DefaultParagraphFont"/>
    <w:link w:val="CommentText"/>
    <w:uiPriority w:val="99"/>
    <w:semiHidden/>
    <w:qFormat/>
    <w:rsid w:val="00c10ae5"/>
    <w:rPr>
      <w:sz w:val="20"/>
      <w:szCs w:val="20"/>
      <w:lang w:val="en-GB"/>
    </w:rPr>
  </w:style>
  <w:style w:type="character" w:styleId="CommentSubjectChar" w:customStyle="1">
    <w:name w:val="Comment Subject Char"/>
    <w:basedOn w:val="CommentTextChar"/>
    <w:link w:val="CommentSubject"/>
    <w:uiPriority w:val="99"/>
    <w:semiHidden/>
    <w:qFormat/>
    <w:rsid w:val="00c10ae5"/>
    <w:rPr>
      <w:b/>
      <w:bCs/>
      <w:sz w:val="20"/>
      <w:szCs w:val="20"/>
      <w:lang w:val="en-GB"/>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Footnote">
    <w:name w:val="Footnote Text"/>
    <w:basedOn w:val="Normal"/>
    <w:link w:val="FootnoteTextChar"/>
    <w:uiPriority w:val="99"/>
    <w:unhideWhenUsed/>
    <w:rsid w:val="00850ff6"/>
    <w:pPr>
      <w:ind w:left="0" w:hanging="0"/>
    </w:pPr>
    <w:rPr>
      <w:sz w:val="20"/>
      <w:szCs w:val="20"/>
    </w:rPr>
  </w:style>
  <w:style w:type="paragraph" w:styleId="ListParagraph">
    <w:name w:val="List Paragraph"/>
    <w:basedOn w:val="Normal"/>
    <w:uiPriority w:val="34"/>
    <w:qFormat/>
    <w:rsid w:val="00850ff6"/>
    <w:pPr>
      <w:spacing w:before="0" w:after="0"/>
      <w:ind w:left="720" w:hanging="0"/>
      <w:contextualSpacing/>
    </w:pPr>
    <w:rPr/>
  </w:style>
  <w:style w:type="paragraph" w:styleId="TOCHeading">
    <w:name w:val="TOC Heading"/>
    <w:basedOn w:val="Heading1"/>
    <w:next w:val="Normal"/>
    <w:uiPriority w:val="39"/>
    <w:unhideWhenUsed/>
    <w:qFormat/>
    <w:rsid w:val="00850ff6"/>
    <w:pPr>
      <w:spacing w:lineRule="auto" w:line="259"/>
      <w:ind w:left="0" w:hanging="0"/>
    </w:pPr>
    <w:rPr>
      <w:lang w:val="en-US"/>
    </w:rPr>
  </w:style>
  <w:style w:type="paragraph" w:styleId="Contents2">
    <w:name w:val="TOC 2"/>
    <w:basedOn w:val="Normal"/>
    <w:next w:val="Normal"/>
    <w:autoRedefine/>
    <w:uiPriority w:val="39"/>
    <w:unhideWhenUsed/>
    <w:rsid w:val="00850ff6"/>
    <w:pPr>
      <w:spacing w:before="0" w:after="100"/>
      <w:ind w:left="220" w:hanging="0"/>
    </w:pPr>
    <w:rPr/>
  </w:style>
  <w:style w:type="paragraph" w:styleId="Contents3">
    <w:name w:val="TOC 3"/>
    <w:basedOn w:val="Normal"/>
    <w:next w:val="Normal"/>
    <w:autoRedefine/>
    <w:uiPriority w:val="39"/>
    <w:unhideWhenUsed/>
    <w:rsid w:val="00850ff6"/>
    <w:pPr>
      <w:spacing w:before="0" w:after="100"/>
      <w:ind w:left="440" w:hanging="0"/>
    </w:pPr>
    <w:rPr/>
  </w:style>
  <w:style w:type="paragraph" w:styleId="BalloonText">
    <w:name w:val="Balloon Text"/>
    <w:basedOn w:val="Normal"/>
    <w:link w:val="BalloonTextChar"/>
    <w:uiPriority w:val="99"/>
    <w:semiHidden/>
    <w:unhideWhenUsed/>
    <w:qFormat/>
    <w:rsid w:val="00f95b7f"/>
    <w:pPr/>
    <w:rPr>
      <w:rFonts w:ascii="Segoe UI" w:hAnsi="Segoe UI" w:cs="Segoe UI"/>
      <w:sz w:val="18"/>
      <w:szCs w:val="18"/>
    </w:rPr>
  </w:style>
  <w:style w:type="paragraph" w:styleId="HeaderandFooter">
    <w:name w:val="Header and Footer"/>
    <w:basedOn w:val="Normal"/>
    <w:qFormat/>
    <w:pPr/>
    <w:rPr/>
  </w:style>
  <w:style w:type="paragraph" w:styleId="Header">
    <w:name w:val="Header"/>
    <w:basedOn w:val="Normal"/>
    <w:link w:val="HeaderChar"/>
    <w:uiPriority w:val="99"/>
    <w:unhideWhenUsed/>
    <w:rsid w:val="00da6cd4"/>
    <w:pPr>
      <w:tabs>
        <w:tab w:val="clear" w:pos="708"/>
        <w:tab w:val="center" w:pos="4513" w:leader="none"/>
        <w:tab w:val="right" w:pos="9026" w:leader="none"/>
      </w:tabs>
    </w:pPr>
    <w:rPr/>
  </w:style>
  <w:style w:type="paragraph" w:styleId="Footer">
    <w:name w:val="Footer"/>
    <w:basedOn w:val="Normal"/>
    <w:link w:val="FooterChar"/>
    <w:uiPriority w:val="99"/>
    <w:unhideWhenUsed/>
    <w:rsid w:val="00da6cd4"/>
    <w:pPr>
      <w:tabs>
        <w:tab w:val="clear" w:pos="708"/>
        <w:tab w:val="center" w:pos="4513" w:leader="none"/>
        <w:tab w:val="right" w:pos="9026" w:leader="none"/>
      </w:tabs>
    </w:pPr>
    <w:rPr/>
  </w:style>
  <w:style w:type="paragraph" w:styleId="Annotationtext">
    <w:name w:val="annotation text"/>
    <w:basedOn w:val="Normal"/>
    <w:link w:val="CommentTextChar"/>
    <w:uiPriority w:val="99"/>
    <w:semiHidden/>
    <w:unhideWhenUsed/>
    <w:qFormat/>
    <w:rsid w:val="00c10ae5"/>
    <w:pPr/>
    <w:rPr>
      <w:sz w:val="20"/>
      <w:szCs w:val="20"/>
    </w:rPr>
  </w:style>
  <w:style w:type="paragraph" w:styleId="Annotationsubject">
    <w:name w:val="annotation subject"/>
    <w:basedOn w:val="Annotationtext"/>
    <w:next w:val="Annotationtext"/>
    <w:link w:val="CommentSubjectChar"/>
    <w:uiPriority w:val="99"/>
    <w:semiHidden/>
    <w:unhideWhenUsed/>
    <w:qFormat/>
    <w:rsid w:val="00c10ae5"/>
    <w:pPr/>
    <w:rPr>
      <w:b/>
      <w:bCs/>
    </w:rPr>
  </w:style>
  <w:style w:type="paragraph" w:styleId="Revision">
    <w:name w:val="Revision"/>
    <w:uiPriority w:val="99"/>
    <w:semiHidden/>
    <w:qFormat/>
    <w:rsid w:val="00c822d4"/>
    <w:pPr>
      <w:widowControl/>
      <w:bidi w:val="0"/>
      <w:ind w:left="0" w:hanging="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850ff6"/>
    <w:pPr/>
    <w:rPr>
      <w:lang w:val="en-GB"/>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98C9B-8BDE-4D38-802D-FAA16CC8A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LibreOffice/6.3.1.2$Windows_X86_64 LibreOffice_project/b79626edf0065ac373bd1df5c28bd630b4424273</Application>
  <Pages>18</Pages>
  <Words>3048</Words>
  <Characters>18973</Characters>
  <CharactersWithSpaces>21699</CharactersWithSpaces>
  <Paragraphs>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2021-07-01T08:52:00Z</dcterms:created>
  <dc:creator>User</dc:creator>
  <dc:description/>
  <dc:language>bs-BA</dc:language>
  <cp:lastModifiedBy>Amela Trozic</cp:lastModifiedBy>
  <cp:lastPrinted>2021-04-23T10:00:00Z</cp:lastPrinted>
  <dcterms:modified xsi:type="dcterms:W3CDTF">2021-07-01T08:52:00Z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