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B0EC" w14:textId="4120D5EA" w:rsidR="00850FF6" w:rsidRPr="00BD07AC" w:rsidRDefault="00760375" w:rsidP="00BD07A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Toc29479783"/>
      <w:bookmarkStart w:id="1" w:name="_Toc39666945"/>
      <w:r w:rsidRPr="00BD07AC">
        <w:rPr>
          <w:rFonts w:ascii="Arial" w:hAnsi="Arial" w:cs="Arial"/>
          <w:b/>
          <w:bCs/>
          <w:sz w:val="24"/>
          <w:szCs w:val="24"/>
        </w:rPr>
        <w:t>Bosna i Hercegovina</w:t>
      </w:r>
    </w:p>
    <w:p w14:paraId="23BB4EC5" w14:textId="3F80500F" w:rsidR="00760375" w:rsidRPr="00BD07AC" w:rsidRDefault="00760375" w:rsidP="00BD07A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D07AC">
        <w:rPr>
          <w:rFonts w:ascii="Arial" w:hAnsi="Arial" w:cs="Arial"/>
          <w:b/>
          <w:bCs/>
          <w:sz w:val="24"/>
          <w:szCs w:val="24"/>
        </w:rPr>
        <w:t>Federacija Bosne i Hercegovine</w:t>
      </w:r>
    </w:p>
    <w:p w14:paraId="388C21FC" w14:textId="6AFDF89B" w:rsidR="00760375" w:rsidRPr="00BD07AC" w:rsidRDefault="00760375" w:rsidP="00BD07A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D07AC">
        <w:rPr>
          <w:rFonts w:ascii="Arial" w:hAnsi="Arial" w:cs="Arial"/>
          <w:b/>
          <w:bCs/>
          <w:sz w:val="24"/>
          <w:szCs w:val="24"/>
        </w:rPr>
        <w:t>Kantonalni sud u Odžaku</w:t>
      </w:r>
    </w:p>
    <w:p w14:paraId="6C878423" w14:textId="217572D8" w:rsidR="00760375" w:rsidRPr="00BD07AC" w:rsidRDefault="00760375" w:rsidP="00BD07AC">
      <w:pPr>
        <w:spacing w:line="276" w:lineRule="auto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Broj:002-0-Su-22-000 018</w:t>
      </w:r>
    </w:p>
    <w:p w14:paraId="06DE178B" w14:textId="77777777" w:rsidR="00850FF6" w:rsidRPr="009701D8" w:rsidRDefault="00850FF6" w:rsidP="00BD07AC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139DFC1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7449A1B0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7CCCE14" w14:textId="77777777" w:rsidR="009416D8" w:rsidRPr="009701D8" w:rsidRDefault="009416D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70AB9E6" w14:textId="631C272A" w:rsidR="009416D8" w:rsidRDefault="009416D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A17521F" w14:textId="77777777" w:rsidR="00DF721C" w:rsidRDefault="00DF721C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39A0A664" w14:textId="77777777" w:rsidR="00DF721C" w:rsidRPr="009701D8" w:rsidRDefault="00DF721C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18A5DDC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043F8855" w14:textId="5AC6F40A" w:rsidR="00850FF6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1D8D1C0C" w14:textId="77777777" w:rsidR="003E7538" w:rsidRDefault="003E753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B58AB40" w14:textId="77777777" w:rsidR="009701D8" w:rsidRPr="009701D8" w:rsidRDefault="009701D8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32CFE554" w14:textId="71391BC7" w:rsidR="00C80EA6" w:rsidRDefault="00C80EA6" w:rsidP="00BD07AC">
      <w:pPr>
        <w:spacing w:before="40" w:line="276" w:lineRule="auto"/>
        <w:ind w:left="0"/>
        <w:jc w:val="center"/>
        <w:rPr>
          <w:rFonts w:ascii="Arial" w:hAnsi="Arial" w:cs="Arial"/>
          <w:b/>
          <w:bCs/>
          <w:color w:val="0070C0"/>
          <w:w w:val="95"/>
          <w:sz w:val="56"/>
          <w:szCs w:val="56"/>
          <w:lang w:val="hr-HR"/>
        </w:rPr>
      </w:pPr>
      <w:r w:rsidRPr="00BD07AC">
        <w:rPr>
          <w:rFonts w:ascii="Arial" w:hAnsi="Arial" w:cs="Arial"/>
          <w:b/>
          <w:bCs/>
          <w:color w:val="767171" w:themeColor="background2" w:themeShade="80"/>
          <w:w w:val="95"/>
          <w:sz w:val="56"/>
          <w:szCs w:val="56"/>
          <w:shd w:val="clear" w:color="auto" w:fill="FFFFFF" w:themeFill="background1"/>
          <w:lang w:val="hr-HR"/>
        </w:rPr>
        <w:t>Strateški plan rada</w:t>
      </w:r>
    </w:p>
    <w:p w14:paraId="36EB9984" w14:textId="3CEFF2CB" w:rsidR="00C80EA6" w:rsidRPr="00C80EA6" w:rsidRDefault="00C80EA6" w:rsidP="00BD07AC">
      <w:pPr>
        <w:spacing w:before="40" w:line="276" w:lineRule="auto"/>
        <w:ind w:left="0"/>
        <w:jc w:val="center"/>
        <w:rPr>
          <w:rFonts w:ascii="Arial" w:hAnsi="Arial" w:cs="Arial"/>
          <w:b/>
          <w:bCs/>
          <w:w w:val="95"/>
          <w:sz w:val="56"/>
          <w:szCs w:val="56"/>
          <w:lang w:val="hr-HR"/>
        </w:rPr>
      </w:pPr>
      <w:r w:rsidRPr="00C80EA6">
        <w:rPr>
          <w:rFonts w:ascii="Arial" w:hAnsi="Arial" w:cs="Arial"/>
          <w:b/>
          <w:bCs/>
          <w:w w:val="95"/>
          <w:sz w:val="56"/>
          <w:szCs w:val="56"/>
          <w:lang w:val="hr-HR"/>
        </w:rPr>
        <w:t>2022 - 2024</w:t>
      </w:r>
    </w:p>
    <w:p w14:paraId="393FAC6F" w14:textId="67F8EAD4" w:rsidR="003E7538" w:rsidRPr="00BD07AC" w:rsidRDefault="009701D8" w:rsidP="00BD07AC">
      <w:pPr>
        <w:spacing w:before="40" w:line="276" w:lineRule="auto"/>
        <w:ind w:left="0"/>
        <w:jc w:val="center"/>
        <w:rPr>
          <w:rFonts w:ascii="Arial" w:hAnsi="Arial" w:cs="Arial"/>
          <w:b/>
          <w:bCs/>
          <w:color w:val="767171" w:themeColor="background2" w:themeShade="80"/>
          <w:w w:val="95"/>
          <w:sz w:val="56"/>
          <w:szCs w:val="56"/>
          <w:lang w:val="hr-HR"/>
        </w:rPr>
      </w:pPr>
      <w:r w:rsidRPr="00BD07AC">
        <w:rPr>
          <w:rFonts w:ascii="Arial" w:hAnsi="Arial" w:cs="Arial"/>
          <w:b/>
          <w:bCs/>
          <w:color w:val="767171" w:themeColor="background2" w:themeShade="80"/>
          <w:w w:val="95"/>
          <w:sz w:val="56"/>
          <w:szCs w:val="56"/>
          <w:lang w:val="hr-HR"/>
        </w:rPr>
        <w:t>Godišnji program rada</w:t>
      </w:r>
    </w:p>
    <w:p w14:paraId="5355BC6D" w14:textId="556A1F11" w:rsidR="00C80EA6" w:rsidRDefault="00C80EA6" w:rsidP="00BD07AC">
      <w:pPr>
        <w:spacing w:before="40" w:line="276" w:lineRule="auto"/>
        <w:ind w:left="0"/>
        <w:jc w:val="center"/>
        <w:rPr>
          <w:rFonts w:ascii="Arial" w:hAnsi="Arial" w:cs="Arial"/>
          <w:b/>
          <w:bCs/>
          <w:w w:val="95"/>
          <w:sz w:val="56"/>
          <w:szCs w:val="56"/>
          <w:lang w:val="hr-HR"/>
        </w:rPr>
      </w:pPr>
      <w:r w:rsidRPr="00C80EA6">
        <w:rPr>
          <w:rFonts w:ascii="Arial" w:hAnsi="Arial" w:cs="Arial"/>
          <w:b/>
          <w:bCs/>
          <w:w w:val="95"/>
          <w:sz w:val="56"/>
          <w:szCs w:val="56"/>
          <w:lang w:val="hr-HR"/>
        </w:rPr>
        <w:t>za 2022. godinu</w:t>
      </w:r>
    </w:p>
    <w:p w14:paraId="5D2B116D" w14:textId="5FD51720" w:rsidR="009701D8" w:rsidRPr="003E7538" w:rsidRDefault="00EF1B95" w:rsidP="00BD07AC">
      <w:pPr>
        <w:spacing w:before="40" w:line="276" w:lineRule="auto"/>
        <w:ind w:left="0"/>
        <w:jc w:val="center"/>
        <w:rPr>
          <w:rFonts w:ascii="Arial" w:hAnsi="Arial" w:cs="Arial"/>
          <w:b/>
          <w:bCs/>
          <w:w w:val="95"/>
          <w:sz w:val="48"/>
          <w:szCs w:val="48"/>
          <w:lang w:val="hr-HR"/>
        </w:rPr>
      </w:pPr>
      <w:r>
        <w:rPr>
          <w:rFonts w:ascii="Arial" w:hAnsi="Arial" w:cs="Arial"/>
          <w:b/>
          <w:bCs/>
          <w:w w:val="95"/>
          <w:sz w:val="48"/>
          <w:szCs w:val="48"/>
          <w:lang w:val="hr-HR"/>
        </w:rPr>
        <w:t>KANTONALNI SUD U ODŽAKU</w:t>
      </w:r>
    </w:p>
    <w:bookmarkEnd w:id="0"/>
    <w:bookmarkEnd w:id="1"/>
    <w:p w14:paraId="52D72846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447B6C1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0E3AD69E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02483056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5F887F38" w14:textId="77777777" w:rsidR="00850FF6" w:rsidRPr="009701D8" w:rsidRDefault="00850FF6" w:rsidP="009701D8">
      <w:pPr>
        <w:spacing w:before="40"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60561ABE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365FC180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184AAFC6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09CD78D4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00A65C14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3C0CD99F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70B6E36E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33D9CC9D" w14:textId="77777777" w:rsidR="00BD07AC" w:rsidRDefault="00BD07AC" w:rsidP="009701D8">
      <w:pPr>
        <w:spacing w:before="40" w:line="276" w:lineRule="auto"/>
        <w:ind w:left="0"/>
        <w:jc w:val="center"/>
        <w:rPr>
          <w:rFonts w:ascii="Arial" w:hAnsi="Arial" w:cs="Arial"/>
          <w:w w:val="95"/>
          <w:sz w:val="24"/>
          <w:szCs w:val="24"/>
          <w:lang w:val="hr-HR"/>
        </w:rPr>
      </w:pPr>
    </w:p>
    <w:p w14:paraId="76492F4D" w14:textId="7EA3E052" w:rsidR="00B829AF" w:rsidRPr="00BD07AC" w:rsidRDefault="00EF1B95" w:rsidP="00BD07AC">
      <w:pPr>
        <w:jc w:val="center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siječanj/januar</w:t>
      </w:r>
      <w:r w:rsidR="00C80EA6" w:rsidRPr="00BD07AC">
        <w:rPr>
          <w:rFonts w:ascii="Arial" w:hAnsi="Arial" w:cs="Arial"/>
          <w:sz w:val="24"/>
          <w:szCs w:val="24"/>
        </w:rPr>
        <w:t xml:space="preserve"> 2022</w:t>
      </w:r>
      <w:r w:rsidR="009701D8" w:rsidRPr="00BD07AC">
        <w:rPr>
          <w:rFonts w:ascii="Arial" w:hAnsi="Arial" w:cs="Arial"/>
          <w:sz w:val="24"/>
          <w:szCs w:val="24"/>
        </w:rPr>
        <w:t>. godine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w w:val="100"/>
          <w:sz w:val="22"/>
          <w:szCs w:val="22"/>
          <w:lang w:val="en-GB"/>
        </w:rPr>
        <w:id w:val="-221673831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24"/>
          <w:szCs w:val="24"/>
          <w:lang w:val="hr-HR"/>
        </w:rPr>
      </w:sdtEndPr>
      <w:sdtContent>
        <w:p w14:paraId="711764D1" w14:textId="77777777" w:rsidR="00850FF6" w:rsidRPr="00092CE8" w:rsidRDefault="006E51F2" w:rsidP="00A222AE">
          <w:pPr>
            <w:pStyle w:val="TOCHeading"/>
            <w:rPr>
              <w:color w:val="767171" w:themeColor="background2" w:themeShade="80"/>
            </w:rPr>
          </w:pPr>
          <w:r w:rsidRPr="00092CE8">
            <w:rPr>
              <w:color w:val="767171" w:themeColor="background2" w:themeShade="80"/>
            </w:rPr>
            <w:t>SADRŽAJ</w:t>
          </w:r>
        </w:p>
        <w:p w14:paraId="423EEA3A" w14:textId="1E5B1FE2" w:rsidR="00B36A86" w:rsidRDefault="00B36A86" w:rsidP="00B36A86">
          <w:pPr>
            <w:pStyle w:val="TOC1"/>
            <w:rPr>
              <w:noProof/>
              <w:w w:val="95"/>
              <w:lang w:val="hr-HR"/>
            </w:rPr>
          </w:pPr>
        </w:p>
        <w:p w14:paraId="28E2F52C" w14:textId="77777777" w:rsidR="00DF721C" w:rsidRPr="00386A46" w:rsidRDefault="00DF721C" w:rsidP="00DF721C">
          <w:pPr>
            <w:ind w:left="0"/>
            <w:rPr>
              <w:rFonts w:ascii="Arial" w:hAnsi="Arial" w:cs="Arial"/>
              <w:lang w:val="hr-HR"/>
            </w:rPr>
          </w:pPr>
        </w:p>
        <w:p w14:paraId="4D56479C" w14:textId="422C9100" w:rsidR="00386A46" w:rsidRPr="00C36415" w:rsidRDefault="00850FF6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fldChar w:fldCharType="begin"/>
          </w: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instrText xml:space="preserve"> TOC \o "1-3" \h \z \u </w:instrText>
          </w: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fldChar w:fldCharType="separate"/>
          </w:r>
          <w:hyperlink w:anchor="_Toc91766450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A. </w:t>
            </w:r>
            <w:r w:rsidR="00386A46" w:rsidRPr="00C36415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ab/>
            </w:r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Uvod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_Toc91766450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60C09" w14:textId="5F75362B" w:rsidR="00386A46" w:rsidRPr="00C36415" w:rsidRDefault="006E72F0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91766451" w:history="1">
            <w:r w:rsidR="00386A46" w:rsidRPr="00C36415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1)</w:t>
            </w:r>
            <w:r w:rsidR="00386A46" w:rsidRPr="00C36415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ab/>
            </w:r>
            <w:r w:rsidR="00386A46" w:rsidRPr="00C36415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Opis nadležnosti suda, s vizijom i izjavom o misiji. Mandat, misija i vizija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_Toc91766451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85903" w14:textId="157E3627" w:rsidR="00386A46" w:rsidRPr="00C36415" w:rsidRDefault="006E72F0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91766452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2)</w:t>
            </w:r>
            <w:r w:rsidR="00386A46" w:rsidRPr="00C36415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ab/>
            </w:r>
            <w:r w:rsidR="00386A46" w:rsidRPr="00C36415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Sažetak analize strateškog okvira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_Toc91766452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B9439" w14:textId="0AA8430A" w:rsidR="00386A46" w:rsidRPr="00C36415" w:rsidRDefault="006E72F0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91766453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3)</w:t>
            </w:r>
            <w:r w:rsidR="00386A46" w:rsidRPr="00C36415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ab/>
            </w:r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Pregled strateških / trogodišnjih</w:t>
            </w:r>
            <w:r w:rsidR="00386A46" w:rsidRPr="00C36415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 xml:space="preserve"> ciljeva za period strateškog planiranja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_Toc91766453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8207CD" w14:textId="1DB2D91E" w:rsidR="00386A46" w:rsidRPr="00C36415" w:rsidRDefault="006E72F0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91766454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4)</w:t>
            </w:r>
            <w:r w:rsidR="00386A46" w:rsidRPr="00C36415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ab/>
            </w:r>
            <w:r w:rsidR="00386A46" w:rsidRPr="00C36415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Sažetak prioriteta za plansku godinu, kao i procjene mogućih problema i rizika u realizaciji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_Toc91766454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722D0C" w14:textId="4061FFCE" w:rsidR="00386A46" w:rsidRPr="00C36415" w:rsidRDefault="006E72F0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91766455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4)</w:t>
            </w:r>
            <w:r w:rsidR="00386A46" w:rsidRPr="00C36415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ab/>
            </w:r>
            <w:r w:rsidR="00386A46" w:rsidRPr="00C36415">
              <w:rPr>
                <w:rStyle w:val="Hyperlink"/>
                <w:rFonts w:ascii="Arial" w:eastAsia="Calibri" w:hAnsi="Arial" w:cs="Arial"/>
                <w:noProof/>
                <w:sz w:val="24"/>
                <w:szCs w:val="24"/>
              </w:rPr>
              <w:t>Analiza unutarnjeg i vanjskog okruženja u kojem radi sud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_Toc91766455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36FC94" w14:textId="1FB7C012" w:rsidR="00386A46" w:rsidRPr="00C36415" w:rsidRDefault="006E72F0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91766456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B. Pregled ciljeva i godišnjih aktivnosti po strateškim i trogodišnjim ciljevima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_Toc91766456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47DBA" w14:textId="0D80C312" w:rsidR="00386A46" w:rsidRPr="00C36415" w:rsidRDefault="006E72F0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  <w:lang w:val="en-US"/>
            </w:rPr>
          </w:pPr>
          <w:hyperlink w:anchor="_Toc91766457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C.</w:t>
            </w:r>
            <w:r w:rsidR="00386A46" w:rsidRPr="00C36415">
              <w:rPr>
                <w:rFonts w:ascii="Arial" w:eastAsiaTheme="minorEastAsia" w:hAnsi="Arial" w:cs="Arial"/>
                <w:noProof/>
                <w:sz w:val="24"/>
                <w:szCs w:val="24"/>
                <w:lang w:val="en-US"/>
              </w:rPr>
              <w:tab/>
            </w:r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Godišnji plan rješavanja sudskih predmeta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_Toc91766457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818BF" w14:textId="60580E6F" w:rsidR="00386A46" w:rsidRPr="00386A46" w:rsidRDefault="006E72F0">
          <w:pPr>
            <w:pStyle w:val="TOC1"/>
            <w:rPr>
              <w:rFonts w:ascii="Arial" w:eastAsiaTheme="minorEastAsia" w:hAnsi="Arial" w:cs="Arial"/>
              <w:noProof/>
              <w:lang w:val="en-US"/>
            </w:rPr>
          </w:pPr>
          <w:hyperlink w:anchor="_Toc91766458" w:history="1">
            <w:r w:rsidR="00386A46" w:rsidRPr="00C3641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D. Ostale informacije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_Toc91766458 \h </w:instrTex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7058B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386A46" w:rsidRPr="00C3641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B8AC5" w14:textId="494A9581" w:rsidR="00850FF6" w:rsidRPr="000D7707" w:rsidRDefault="00850FF6" w:rsidP="004B6F87">
          <w:pPr>
            <w:ind w:left="0"/>
            <w:rPr>
              <w:rFonts w:ascii="Arial" w:hAnsi="Arial" w:cs="Arial"/>
              <w:w w:val="95"/>
              <w:sz w:val="24"/>
              <w:szCs w:val="24"/>
              <w:lang w:val="hr-HR"/>
            </w:rPr>
          </w:pPr>
          <w:r w:rsidRPr="00386A46">
            <w:rPr>
              <w:rFonts w:ascii="Arial" w:hAnsi="Arial" w:cs="Arial"/>
              <w:b/>
              <w:bCs/>
              <w:noProof/>
              <w:w w:val="95"/>
              <w:lang w:val="hr-HR"/>
            </w:rPr>
            <w:fldChar w:fldCharType="end"/>
          </w:r>
        </w:p>
      </w:sdtContent>
    </w:sdt>
    <w:p w14:paraId="73A76AA0" w14:textId="77777777" w:rsidR="00850FF6" w:rsidRPr="003E7538" w:rsidRDefault="00850FF6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78B26BC4" w14:textId="77777777" w:rsidR="009D17E7" w:rsidRPr="009336F9" w:rsidRDefault="009D17E7" w:rsidP="004B6F87">
      <w:pPr>
        <w:ind w:left="0"/>
        <w:rPr>
          <w:rFonts w:ascii="Arial" w:eastAsia="Times New Roman" w:hAnsi="Arial" w:cs="Arial"/>
          <w:w w:val="95"/>
          <w:sz w:val="24"/>
          <w:szCs w:val="24"/>
          <w:lang w:val="hr-HR"/>
        </w:rPr>
      </w:pPr>
      <w:bookmarkStart w:id="2" w:name="_Toc29479784"/>
      <w:bookmarkStart w:id="3" w:name="_Toc39666946"/>
      <w:r w:rsidRPr="009336F9">
        <w:rPr>
          <w:rFonts w:ascii="Arial" w:eastAsia="Times New Roman" w:hAnsi="Arial" w:cs="Arial"/>
          <w:w w:val="95"/>
          <w:sz w:val="24"/>
          <w:szCs w:val="24"/>
          <w:lang w:val="hr-HR"/>
        </w:rPr>
        <w:br w:type="page"/>
      </w:r>
    </w:p>
    <w:p w14:paraId="6FDD30EA" w14:textId="29474CF1" w:rsidR="00850FF6" w:rsidRPr="00092CE8" w:rsidRDefault="00850FF6" w:rsidP="00F538C5">
      <w:pPr>
        <w:pStyle w:val="Heading1"/>
        <w:numPr>
          <w:ilvl w:val="0"/>
          <w:numId w:val="36"/>
        </w:numPr>
        <w:rPr>
          <w:color w:val="767171" w:themeColor="background2" w:themeShade="80"/>
        </w:rPr>
      </w:pPr>
      <w:bookmarkStart w:id="4" w:name="_Toc91766450"/>
      <w:r w:rsidRPr="00092CE8">
        <w:rPr>
          <w:color w:val="767171" w:themeColor="background2" w:themeShade="80"/>
        </w:rPr>
        <w:lastRenderedPageBreak/>
        <w:t>Uvod</w:t>
      </w:r>
      <w:bookmarkEnd w:id="2"/>
      <w:bookmarkEnd w:id="3"/>
      <w:bookmarkEnd w:id="4"/>
    </w:p>
    <w:p w14:paraId="4B4E309B" w14:textId="77777777" w:rsidR="00F538C5" w:rsidRPr="002950DC" w:rsidRDefault="00F538C5" w:rsidP="00F538C5">
      <w:pPr>
        <w:rPr>
          <w:sz w:val="24"/>
          <w:szCs w:val="24"/>
          <w:lang w:val="hr-HR"/>
        </w:rPr>
      </w:pPr>
    </w:p>
    <w:p w14:paraId="2F832783" w14:textId="3D38C846" w:rsidR="00F538C5" w:rsidRPr="00BD07AC" w:rsidRDefault="00F538C5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Svrha i cilj strateškog planiranja i izrade godišnjeg programa rada je povećati učinkovitost rada suda i tako doprinijeti ostvarenju principa vladavine prava kroz pravično suđenje i suđenje u razumnom roku, kao i jednak pristup pravdi svakog građanina.</w:t>
      </w:r>
      <w:r w:rsidR="009B7E67" w:rsidRPr="00BD07AC">
        <w:rPr>
          <w:rFonts w:ascii="Arial" w:hAnsi="Arial" w:cs="Arial"/>
          <w:sz w:val="24"/>
          <w:szCs w:val="24"/>
        </w:rPr>
        <w:t xml:space="preserve"> Također, svrha strateškog planiranja </w:t>
      </w:r>
      <w:r w:rsidR="006868BB" w:rsidRPr="00BD07AC">
        <w:rPr>
          <w:rFonts w:ascii="Arial" w:hAnsi="Arial" w:cs="Arial"/>
          <w:sz w:val="24"/>
          <w:szCs w:val="24"/>
        </w:rPr>
        <w:t>je otvorenost i dostupnost informacija o radu pravosudnih institucija, odnosno Kantonalnog suda Odžak široj javnosti kroz proaktivne odnose sa građanima i medijima, s ciljem vraćanja povjerenja javnosti u pravosudni sustav.</w:t>
      </w:r>
    </w:p>
    <w:p w14:paraId="6355EF0C" w14:textId="77777777" w:rsidR="00F538C5" w:rsidRPr="00BD07AC" w:rsidRDefault="00F538C5" w:rsidP="00EB168A">
      <w:pPr>
        <w:jc w:val="both"/>
        <w:rPr>
          <w:rFonts w:ascii="Arial" w:hAnsi="Arial" w:cs="Arial"/>
          <w:sz w:val="24"/>
          <w:szCs w:val="24"/>
        </w:rPr>
      </w:pPr>
    </w:p>
    <w:p w14:paraId="213C59D9" w14:textId="62DD488C" w:rsidR="00435F07" w:rsidRPr="00BD07AC" w:rsidRDefault="00F538C5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 Zakonom o sudovima u FBIH </w:t>
      </w:r>
      <w:r w:rsidR="009B7E67" w:rsidRPr="00BD07AC">
        <w:rPr>
          <w:rFonts w:ascii="Arial" w:hAnsi="Arial" w:cs="Arial"/>
          <w:sz w:val="24"/>
          <w:szCs w:val="24"/>
        </w:rPr>
        <w:t>( S</w:t>
      </w:r>
      <w:r w:rsidRPr="00BD07AC">
        <w:rPr>
          <w:rFonts w:ascii="Arial" w:hAnsi="Arial" w:cs="Arial"/>
          <w:sz w:val="24"/>
          <w:szCs w:val="24"/>
        </w:rPr>
        <w:t xml:space="preserve">l. novine FBIH broj 38/05, 22/06, 63/10, 72/10, 07/13, 52/14), </w:t>
      </w:r>
      <w:r w:rsidR="009B7E67" w:rsidRPr="00BD07AC">
        <w:rPr>
          <w:rFonts w:ascii="Arial" w:hAnsi="Arial" w:cs="Arial"/>
          <w:sz w:val="24"/>
          <w:szCs w:val="24"/>
        </w:rPr>
        <w:t>uređena je organizacija, nadležnost, financiranje</w:t>
      </w:r>
      <w:r w:rsidR="00370E72" w:rsidRPr="00BD07AC">
        <w:rPr>
          <w:rFonts w:ascii="Arial" w:hAnsi="Arial" w:cs="Arial"/>
          <w:sz w:val="24"/>
          <w:szCs w:val="24"/>
        </w:rPr>
        <w:t>,</w:t>
      </w:r>
      <w:r w:rsidR="009B7E67" w:rsidRPr="00BD07AC">
        <w:rPr>
          <w:rFonts w:ascii="Arial" w:hAnsi="Arial" w:cs="Arial"/>
          <w:sz w:val="24"/>
          <w:szCs w:val="24"/>
        </w:rPr>
        <w:t xml:space="preserve"> pravosudna uprava i druga pitanja od značaja za organizaciju općinskih sudova, kantonalnih sudova i Vrhovnog suda FBIH ( članak 1. Zakona).</w:t>
      </w:r>
      <w:r w:rsidR="00370E72" w:rsidRPr="00BD07AC">
        <w:rPr>
          <w:rFonts w:ascii="Arial" w:hAnsi="Arial" w:cs="Arial"/>
          <w:sz w:val="24"/>
          <w:szCs w:val="24"/>
        </w:rPr>
        <w:t xml:space="preserve"> Tim zakonom je propisana i stvarna nadležnost kantonalnih sudova, pa tako i Ka</w:t>
      </w:r>
      <w:r w:rsidR="00C9139F" w:rsidRPr="00BD07AC">
        <w:rPr>
          <w:rFonts w:ascii="Arial" w:hAnsi="Arial" w:cs="Arial"/>
          <w:sz w:val="24"/>
          <w:szCs w:val="24"/>
        </w:rPr>
        <w:t>ntonalnog suda Odžak ( članak 28</w:t>
      </w:r>
      <w:r w:rsidR="00370E72" w:rsidRPr="00BD07AC">
        <w:rPr>
          <w:rFonts w:ascii="Arial" w:hAnsi="Arial" w:cs="Arial"/>
          <w:sz w:val="24"/>
          <w:szCs w:val="24"/>
        </w:rPr>
        <w:t>. Zakona), a člankom 31. toga zakona  propisane su dužnosti  predsjednika suda.</w:t>
      </w:r>
    </w:p>
    <w:p w14:paraId="53E9DC41" w14:textId="77777777" w:rsidR="00435F07" w:rsidRPr="00BD07AC" w:rsidRDefault="00435F07" w:rsidP="00EB168A">
      <w:pPr>
        <w:jc w:val="both"/>
        <w:rPr>
          <w:rFonts w:ascii="Arial" w:hAnsi="Arial" w:cs="Arial"/>
          <w:sz w:val="24"/>
          <w:szCs w:val="24"/>
        </w:rPr>
      </w:pPr>
    </w:p>
    <w:p w14:paraId="18556BEE" w14:textId="77777777" w:rsidR="00435F07" w:rsidRPr="00BD07AC" w:rsidRDefault="00435F07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Člankom 1. Pravilnika o unutarnjem sudskom poslovanju ( Sl. glasnik BIH broj 66/12, 40/14, 54/17), uređeno je ustrojstvo i način unutarnjeg poslovanja u sudovima kao i druga pitanja značajna za unutarnje sudsko poslovanje.</w:t>
      </w:r>
    </w:p>
    <w:p w14:paraId="684DA212" w14:textId="77777777" w:rsidR="007961E4" w:rsidRPr="00BD07AC" w:rsidRDefault="00435F07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Člankom 3. toga Pravilnika propisano je da se unutarnje sudsko poslovanje  organizira tako da sud može zakonito, pravovremeno i učinkovito obavljati svoju funkciju,  </w:t>
      </w:r>
      <w:r w:rsidR="007961E4" w:rsidRPr="00BD07AC">
        <w:rPr>
          <w:rFonts w:ascii="Arial" w:hAnsi="Arial" w:cs="Arial"/>
          <w:sz w:val="24"/>
          <w:szCs w:val="24"/>
        </w:rPr>
        <w:t>a sve s ciljem kako bi se strankama omogućilo brzo i ekonomično ostvarenje njihovih prava koja im po zakonu pripadaju, te ispunjenje njihovih obveza.</w:t>
      </w:r>
    </w:p>
    <w:p w14:paraId="445088F9" w14:textId="77777777" w:rsidR="00C9139F" w:rsidRPr="00BD07AC" w:rsidRDefault="007961E4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Člankom 7. Pravilnika uređena je oblast sudske uprave, a člankom 8. dužnosti predsjednika suda, među ostalim i dužnost donošenja</w:t>
      </w:r>
      <w:r w:rsidR="00C9139F" w:rsidRPr="00BD07AC">
        <w:rPr>
          <w:rFonts w:ascii="Arial" w:hAnsi="Arial" w:cs="Arial"/>
          <w:sz w:val="24"/>
          <w:szCs w:val="24"/>
        </w:rPr>
        <w:t xml:space="preserve"> godišnjeg programa rada suda ( članak 8. točka f. Pravilnika).</w:t>
      </w:r>
    </w:p>
    <w:p w14:paraId="77BC30DE" w14:textId="77777777" w:rsidR="00C9139F" w:rsidRPr="00BD07AC" w:rsidRDefault="00C9139F" w:rsidP="00EB168A">
      <w:pPr>
        <w:jc w:val="both"/>
        <w:rPr>
          <w:rFonts w:ascii="Arial" w:hAnsi="Arial" w:cs="Arial"/>
          <w:sz w:val="24"/>
          <w:szCs w:val="24"/>
        </w:rPr>
      </w:pPr>
    </w:p>
    <w:p w14:paraId="3C497098" w14:textId="77777777" w:rsidR="008640DB" w:rsidRPr="00BD07AC" w:rsidRDefault="00C9139F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Kantonalni sud u Odžaku je utemeljen Zakonom o sudovima FBiH, z</w:t>
      </w:r>
      <w:r w:rsidR="004F16DB" w:rsidRPr="00BD07AC">
        <w:rPr>
          <w:rFonts w:ascii="Arial" w:hAnsi="Arial" w:cs="Arial"/>
          <w:sz w:val="24"/>
          <w:szCs w:val="24"/>
        </w:rPr>
        <w:t>a područje Posavskog kantona (članak 25. Zakona). Isti pokriva samo jedan Općinski sud – Općinski sud u Orašju, koji ima izdvojeno Prekršajno odjeljenje u Odžaku. Prije utemeljenja ovoga suda 2005. godine, sud je funkcionirao kao Županijski sud u Odžaku, koji je osnovan Zakonom o sudovima Županije Posavske iz 1997. godine, nakon donošenja Ustava Federacije i ustroja Federacije B</w:t>
      </w:r>
      <w:r w:rsidR="008640DB" w:rsidRPr="00BD07AC">
        <w:rPr>
          <w:rFonts w:ascii="Arial" w:hAnsi="Arial" w:cs="Arial"/>
          <w:sz w:val="24"/>
          <w:szCs w:val="24"/>
        </w:rPr>
        <w:t>i</w:t>
      </w:r>
      <w:r w:rsidR="004F16DB" w:rsidRPr="00BD07AC">
        <w:rPr>
          <w:rFonts w:ascii="Arial" w:hAnsi="Arial" w:cs="Arial"/>
          <w:sz w:val="24"/>
          <w:szCs w:val="24"/>
        </w:rPr>
        <w:t>H.</w:t>
      </w:r>
      <w:r w:rsidR="008640DB" w:rsidRPr="00BD07AC">
        <w:rPr>
          <w:rFonts w:ascii="Arial" w:hAnsi="Arial" w:cs="Arial"/>
          <w:sz w:val="24"/>
          <w:szCs w:val="24"/>
        </w:rPr>
        <w:t xml:space="preserve"> Županijski sud je tada imao 5 sudaca i birala ih je Skupština Županije Posavske. Što se tiče nadležnosti, Županijski sud je imao istu nadležnost kao i sada Kantonalni sud u Odžaku. </w:t>
      </w:r>
    </w:p>
    <w:p w14:paraId="0E5104F0" w14:textId="032DD025" w:rsidR="00C80EA6" w:rsidRPr="00370E72" w:rsidRDefault="008640DB" w:rsidP="00EB168A">
      <w:pPr>
        <w:jc w:val="both"/>
        <w:rPr>
          <w:w w:val="95"/>
          <w:sz w:val="28"/>
          <w:szCs w:val="28"/>
          <w:lang w:val="hr-HR"/>
        </w:rPr>
      </w:pPr>
      <w:r w:rsidRPr="00BD07AC">
        <w:rPr>
          <w:rFonts w:ascii="Arial" w:hAnsi="Arial" w:cs="Arial"/>
          <w:sz w:val="24"/>
          <w:szCs w:val="24"/>
        </w:rPr>
        <w:t>U reformi pravosudnog sustava, VSTV BIH je u 2003. godini donio Odluku,  po kojoj Županijski/Kantonalni sud u Odžaku ima 4 suca ( zajedno sa predsjednikom suda), u kojem sastavu sud i danas funkcionira.</w:t>
      </w:r>
      <w:r w:rsidRPr="00BD07AC">
        <w:rPr>
          <w:rFonts w:ascii="Arial" w:hAnsi="Arial" w:cs="Arial"/>
          <w:w w:val="95"/>
          <w:sz w:val="24"/>
          <w:szCs w:val="24"/>
          <w:lang w:val="hr-HR"/>
        </w:rPr>
        <w:t xml:space="preserve"> </w:t>
      </w:r>
      <w:r w:rsidR="00C80EA6" w:rsidRPr="00F538C5">
        <w:rPr>
          <w:rFonts w:eastAsia="Calibri"/>
          <w:sz w:val="28"/>
          <w:szCs w:val="28"/>
        </w:rPr>
        <w:br w:type="page"/>
      </w:r>
    </w:p>
    <w:p w14:paraId="63A483BF" w14:textId="3F581E48" w:rsidR="00850FF6" w:rsidRPr="00C36415" w:rsidRDefault="009336F9" w:rsidP="00EB168A">
      <w:pPr>
        <w:pStyle w:val="Heading1"/>
        <w:jc w:val="both"/>
        <w:rPr>
          <w:rFonts w:eastAsia="Calibri"/>
        </w:rPr>
      </w:pPr>
      <w:bookmarkStart w:id="5" w:name="_Toc91766451"/>
      <w:r w:rsidRPr="00092CE8">
        <w:rPr>
          <w:rFonts w:eastAsia="Calibri"/>
          <w:color w:val="767171" w:themeColor="background2" w:themeShade="80"/>
        </w:rPr>
        <w:lastRenderedPageBreak/>
        <w:t>1)</w:t>
      </w:r>
      <w:r w:rsidRPr="00092CE8">
        <w:rPr>
          <w:rFonts w:eastAsia="Calibri"/>
          <w:color w:val="767171" w:themeColor="background2" w:themeShade="80"/>
        </w:rPr>
        <w:tab/>
      </w:r>
      <w:r w:rsidR="00850FF6" w:rsidRPr="00092CE8">
        <w:rPr>
          <w:rFonts w:eastAsia="Calibri"/>
          <w:color w:val="767171" w:themeColor="background2" w:themeShade="80"/>
        </w:rPr>
        <w:t>Opis nadležnosti suda, s vizijom i izjavom o misiji. Mandat, misija i vizija</w:t>
      </w:r>
      <w:bookmarkEnd w:id="5"/>
    </w:p>
    <w:p w14:paraId="328E9131" w14:textId="77777777" w:rsidR="00C36415" w:rsidRPr="00C36415" w:rsidRDefault="00C36415" w:rsidP="00EB168A">
      <w:pPr>
        <w:jc w:val="both"/>
        <w:rPr>
          <w:lang w:val="hr-HR"/>
        </w:rPr>
      </w:pPr>
    </w:p>
    <w:p w14:paraId="1546E81D" w14:textId="77777777" w:rsidR="00147DD8" w:rsidRPr="002950DC" w:rsidRDefault="00147DD8" w:rsidP="00EB168A">
      <w:pPr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66F1BF79" w14:textId="77777777" w:rsidR="002950DC" w:rsidRPr="00C36415" w:rsidRDefault="002950DC" w:rsidP="00EB16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C36415">
        <w:rPr>
          <w:rFonts w:ascii="Arial" w:hAnsi="Arial" w:cs="Arial"/>
          <w:b/>
          <w:bCs/>
          <w:sz w:val="24"/>
          <w:szCs w:val="24"/>
          <w:lang w:val="hr-HR"/>
        </w:rPr>
        <w:t xml:space="preserve">MANDAT: </w:t>
      </w:r>
    </w:p>
    <w:p w14:paraId="634B85E8" w14:textId="77777777" w:rsidR="002950DC" w:rsidRPr="00C36415" w:rsidRDefault="002950DC" w:rsidP="00EB168A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35D0645" w14:textId="77777777" w:rsidR="002950DC" w:rsidRPr="00C36415" w:rsidRDefault="002950DC" w:rsidP="00EB168A">
      <w:pPr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Kantonalni sud u Odžaku utemeljen je Zakonom o sudovima u Federaciji Bosne i Hercegovine („Službene novine Federacije BiH“, br. 38/05., 22/06., 63/10., 72/10., 7/13. i 52/14), za područje Posavskog kantona. </w:t>
      </w:r>
    </w:p>
    <w:p w14:paraId="02C681FA" w14:textId="77777777" w:rsidR="002950DC" w:rsidRPr="00C36415" w:rsidRDefault="002950DC" w:rsidP="00EB168A">
      <w:pPr>
        <w:spacing w:after="65" w:line="256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1474FF6E" w14:textId="77777777" w:rsidR="002950DC" w:rsidRPr="00C36415" w:rsidRDefault="002950DC" w:rsidP="00EB168A">
      <w:pPr>
        <w:spacing w:after="82"/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Sukladno članku 28. Zakona o sudovima u Federaciji Bosne i Hercegovine definirana je stvarna nadležnost kantonalnih sudova, i to: </w:t>
      </w:r>
    </w:p>
    <w:p w14:paraId="6777EDDC" w14:textId="77777777" w:rsidR="002950DC" w:rsidRPr="00C36415" w:rsidRDefault="002950DC" w:rsidP="00EB168A">
      <w:pPr>
        <w:numPr>
          <w:ilvl w:val="0"/>
          <w:numId w:val="37"/>
        </w:numPr>
        <w:spacing w:after="7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Prvostupanjska nadležnost </w:t>
      </w:r>
    </w:p>
    <w:p w14:paraId="7EED0C07" w14:textId="77777777" w:rsidR="002950DC" w:rsidRPr="00C36415" w:rsidRDefault="002950DC" w:rsidP="00EB168A">
      <w:pPr>
        <w:numPr>
          <w:ilvl w:val="1"/>
          <w:numId w:val="38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sudi za kaznena djela za koja je Zakonom propisana kazna zatvora preko 10 godina ili dugotrajni zatvor, ako Zakonom nije propisana nadležnost drugog suda; </w:t>
      </w:r>
    </w:p>
    <w:p w14:paraId="66F35317" w14:textId="77777777" w:rsidR="002950DC" w:rsidRPr="00C36415" w:rsidRDefault="002950DC" w:rsidP="00EB168A">
      <w:pPr>
        <w:numPr>
          <w:ilvl w:val="1"/>
          <w:numId w:val="38"/>
        </w:numPr>
        <w:spacing w:after="17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postupa u tijeku istrage i nakon podizanja optužnice, sukladno Zakonu; </w:t>
      </w:r>
    </w:p>
    <w:p w14:paraId="1FC77E96" w14:textId="77777777" w:rsidR="002950DC" w:rsidRPr="00C36415" w:rsidRDefault="002950DC" w:rsidP="00EB168A">
      <w:pPr>
        <w:numPr>
          <w:ilvl w:val="1"/>
          <w:numId w:val="38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sudi za kaznena djela za koja je Sud Bosne i Hercegovine prenio nadležnost na kantonalne sudove i </w:t>
      </w:r>
    </w:p>
    <w:p w14:paraId="4350032E" w14:textId="77777777" w:rsidR="002950DC" w:rsidRPr="00C36415" w:rsidRDefault="002950DC" w:rsidP="00EB168A">
      <w:pPr>
        <w:numPr>
          <w:ilvl w:val="1"/>
          <w:numId w:val="38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odlučuje u svim upravnim sporovima, kao i o zahtjevima za zaštitu sloboda i prava utvrđenih Ustavom, ako su takve slobode i prava povrijeđeni konačnim pojedinačnim aktom ili radnjom službene osobe u tijelima uprave, odnosno odgovorne osobe u poduzeću, ustanovi ili drugoj pravnoj osobi, kada za zaštitu tih prava nije osigurana druga sudska zašita. </w:t>
      </w:r>
    </w:p>
    <w:p w14:paraId="6F96C883" w14:textId="77777777" w:rsidR="002950DC" w:rsidRPr="00C36415" w:rsidRDefault="002950DC" w:rsidP="00EB168A">
      <w:pPr>
        <w:numPr>
          <w:ilvl w:val="0"/>
          <w:numId w:val="37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Drugostupanjska nadležnost </w:t>
      </w:r>
    </w:p>
    <w:p w14:paraId="06972A67" w14:textId="77777777" w:rsidR="002950DC" w:rsidRPr="00C36415" w:rsidRDefault="002950DC" w:rsidP="00EB168A">
      <w:pPr>
        <w:numPr>
          <w:ilvl w:val="1"/>
          <w:numId w:val="39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odlučuje o žalbama protiv odluka općinskih sudova; </w:t>
      </w:r>
    </w:p>
    <w:p w14:paraId="7042589A" w14:textId="77777777" w:rsidR="002950DC" w:rsidRPr="00C36415" w:rsidRDefault="002950DC" w:rsidP="00EB168A">
      <w:pPr>
        <w:numPr>
          <w:ilvl w:val="1"/>
          <w:numId w:val="39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odlučuje o žalbama izjavljenim na rješenja o prekršajima; </w:t>
      </w:r>
    </w:p>
    <w:p w14:paraId="3C4E0C13" w14:textId="77777777" w:rsidR="002950DC" w:rsidRPr="00C36415" w:rsidRDefault="002950DC" w:rsidP="00EB168A">
      <w:pPr>
        <w:numPr>
          <w:ilvl w:val="1"/>
          <w:numId w:val="39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odlučuje o drugim redovnim i izvanrednim pravnim lijekovima, ako je to određeno Zakonom. </w:t>
      </w:r>
    </w:p>
    <w:p w14:paraId="1931FFC2" w14:textId="77777777" w:rsidR="002950DC" w:rsidRPr="00C36415" w:rsidRDefault="002950DC" w:rsidP="00EB168A">
      <w:pPr>
        <w:numPr>
          <w:ilvl w:val="0"/>
          <w:numId w:val="37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Ostalo </w:t>
      </w:r>
    </w:p>
    <w:p w14:paraId="2E2D7A90" w14:textId="77777777" w:rsidR="002950DC" w:rsidRPr="00C36415" w:rsidRDefault="002950DC" w:rsidP="00EB168A">
      <w:pPr>
        <w:numPr>
          <w:ilvl w:val="1"/>
          <w:numId w:val="40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rješava o sukobu mjesne nadležnosti između općinskih sudova s područja kantona; </w:t>
      </w:r>
    </w:p>
    <w:p w14:paraId="21C3ABEC" w14:textId="77777777" w:rsidR="002950DC" w:rsidRPr="00C36415" w:rsidRDefault="002950DC" w:rsidP="00EB168A">
      <w:pPr>
        <w:numPr>
          <w:ilvl w:val="1"/>
          <w:numId w:val="40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odlučuje o prijenosu mjesne nadležnosti s jednog općinskog suda na drugi općinski sud na području kantona; </w:t>
      </w:r>
    </w:p>
    <w:p w14:paraId="6AA74CC1" w14:textId="77777777" w:rsidR="002950DC" w:rsidRPr="00C36415" w:rsidRDefault="002950DC" w:rsidP="00EB168A">
      <w:pPr>
        <w:numPr>
          <w:ilvl w:val="1"/>
          <w:numId w:val="40"/>
        </w:numPr>
        <w:spacing w:after="7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odlučuje o brisanju osude i prestanku mjera sigurnosti i pravnih posljedica osude, na temelju sudske odluke; </w:t>
      </w:r>
    </w:p>
    <w:p w14:paraId="2F388804" w14:textId="77777777" w:rsidR="002950DC" w:rsidRPr="00C36415" w:rsidRDefault="002950DC" w:rsidP="00EB168A">
      <w:pPr>
        <w:numPr>
          <w:ilvl w:val="1"/>
          <w:numId w:val="40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postupa po molbama za pomilovanje, sukladno Zakonu; </w:t>
      </w:r>
    </w:p>
    <w:p w14:paraId="26C6DD9E" w14:textId="77777777" w:rsidR="002950DC" w:rsidRPr="00C36415" w:rsidRDefault="002950DC" w:rsidP="00EB168A">
      <w:pPr>
        <w:numPr>
          <w:ilvl w:val="1"/>
          <w:numId w:val="40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rješava o priznanju odluka stranih sudova, stranih trgovačkih sudova i stranih arbitraža; </w:t>
      </w:r>
    </w:p>
    <w:p w14:paraId="3630B9E9" w14:textId="77777777" w:rsidR="002950DC" w:rsidRPr="00C36415" w:rsidRDefault="002950DC" w:rsidP="00EB168A">
      <w:pPr>
        <w:numPr>
          <w:ilvl w:val="1"/>
          <w:numId w:val="40"/>
        </w:numPr>
        <w:spacing w:after="10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pruža međunarodnu pravnu pomoć u kaznenim predmetima i </w:t>
      </w:r>
    </w:p>
    <w:p w14:paraId="0658EC60" w14:textId="77777777" w:rsidR="002950DC" w:rsidRPr="00C36415" w:rsidRDefault="002950DC" w:rsidP="00EB168A">
      <w:pPr>
        <w:numPr>
          <w:ilvl w:val="1"/>
          <w:numId w:val="40"/>
        </w:numPr>
        <w:spacing w:after="44" w:line="268" w:lineRule="auto"/>
        <w:ind w:right="4" w:hanging="360"/>
        <w:jc w:val="both"/>
        <w:rPr>
          <w:rFonts w:ascii="Arial" w:hAnsi="Arial" w:cs="Arial"/>
          <w:sz w:val="24"/>
          <w:szCs w:val="24"/>
          <w:lang w:val="hr-HR"/>
        </w:rPr>
      </w:pPr>
      <w:r w:rsidRPr="00C36415">
        <w:rPr>
          <w:rFonts w:ascii="Arial" w:hAnsi="Arial" w:cs="Arial"/>
          <w:sz w:val="24"/>
          <w:szCs w:val="24"/>
          <w:lang w:val="hr-HR"/>
        </w:rPr>
        <w:t xml:space="preserve">da obavlja druge poslove propisane Zakonom. </w:t>
      </w:r>
    </w:p>
    <w:p w14:paraId="1C70D25A" w14:textId="77777777" w:rsidR="002950DC" w:rsidRPr="002950DC" w:rsidRDefault="002950DC" w:rsidP="00EB168A">
      <w:pPr>
        <w:spacing w:line="256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11C91812" w14:textId="77777777" w:rsidR="002950DC" w:rsidRDefault="002950DC" w:rsidP="00EB168A">
      <w:pPr>
        <w:spacing w:line="256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1FBD0A0D" w14:textId="77777777" w:rsidR="002950DC" w:rsidRDefault="002950DC" w:rsidP="00EB168A">
      <w:pPr>
        <w:spacing w:line="256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63910D5" w14:textId="77777777" w:rsidR="002950DC" w:rsidRDefault="002950DC" w:rsidP="00EB168A">
      <w:pPr>
        <w:spacing w:line="256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59D699B1" w14:textId="77777777" w:rsidR="002950DC" w:rsidRDefault="002950DC" w:rsidP="00EB168A">
      <w:pPr>
        <w:spacing w:line="256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2F42985E" w14:textId="607D9A89" w:rsidR="002950DC" w:rsidRDefault="002950DC" w:rsidP="00EB168A">
      <w:pPr>
        <w:spacing w:line="256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950DC">
        <w:rPr>
          <w:rFonts w:ascii="Arial" w:hAnsi="Arial" w:cs="Arial"/>
          <w:b/>
          <w:bCs/>
          <w:sz w:val="24"/>
          <w:szCs w:val="24"/>
          <w:lang w:val="hr-HR"/>
        </w:rPr>
        <w:t xml:space="preserve">MISIJA: </w:t>
      </w:r>
    </w:p>
    <w:p w14:paraId="4D9E5D59" w14:textId="77777777" w:rsidR="002950DC" w:rsidRPr="002950DC" w:rsidRDefault="002950DC" w:rsidP="00EB168A">
      <w:pPr>
        <w:spacing w:line="256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14:paraId="28DC278A" w14:textId="77777777" w:rsidR="002950DC" w:rsidRPr="002950DC" w:rsidRDefault="002950DC" w:rsidP="00EB168A">
      <w:pPr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sz w:val="24"/>
          <w:szCs w:val="24"/>
          <w:lang w:val="hr-HR"/>
        </w:rPr>
        <w:t xml:space="preserve">Kantonalni sud u Odžaku, u okviru svoje nadležnosti propisane Zakonom o sudovima F BiH, osigurava građanima na području Posavskog kantona efikasan sistem pravde zasnovan na pravilnoj primjeni zakona, uz poštivanje i zaštitu ljudskih prava i osnovnih sloboda u sudskom postupku, kao i jednak pristup pravdi u skladu sa evropskim standardima. </w:t>
      </w:r>
    </w:p>
    <w:p w14:paraId="0814E6BD" w14:textId="77777777" w:rsidR="002950DC" w:rsidRDefault="002950DC" w:rsidP="00EB168A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52402D" w14:textId="7D643367" w:rsidR="002950DC" w:rsidRDefault="002950DC" w:rsidP="00EB16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950DC">
        <w:rPr>
          <w:rFonts w:ascii="Arial" w:hAnsi="Arial" w:cs="Arial"/>
          <w:b/>
          <w:bCs/>
          <w:sz w:val="24"/>
          <w:szCs w:val="24"/>
          <w:lang w:val="hr-HR"/>
        </w:rPr>
        <w:t xml:space="preserve">VIZIJA: </w:t>
      </w:r>
    </w:p>
    <w:p w14:paraId="64263A75" w14:textId="77777777" w:rsidR="002950DC" w:rsidRPr="002950DC" w:rsidRDefault="002950DC" w:rsidP="00EB168A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7EE82BE4" w14:textId="2276040D" w:rsidR="00C36415" w:rsidRDefault="002950DC" w:rsidP="00EB168A">
      <w:pPr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sz w:val="24"/>
          <w:szCs w:val="24"/>
          <w:lang w:val="hr-HR"/>
        </w:rPr>
        <w:t>Kantonalni sud u Odžaku, kao profesionalno, učinkovito i neovisno pravosudno tijelo, doprinosi vladavini prava u Posavskom kantonu, te kroz pravično suđenje i suđenje u razumnom roku ostvaruje princip vladavine prava kao ključni segment pravnog sistema.</w:t>
      </w:r>
      <w:bookmarkStart w:id="6" w:name="_Toc91766452"/>
    </w:p>
    <w:p w14:paraId="24863B05" w14:textId="77777777" w:rsidR="00EB168A" w:rsidRDefault="00EB168A" w:rsidP="00EB168A">
      <w:pPr>
        <w:ind w:left="-5" w:right="4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p w14:paraId="4227F28E" w14:textId="61D68CE6" w:rsidR="00850FF6" w:rsidRPr="00092CE8" w:rsidRDefault="00A90E77" w:rsidP="00EB168A">
      <w:pPr>
        <w:pStyle w:val="Heading1"/>
        <w:jc w:val="both"/>
        <w:rPr>
          <w:rFonts w:eastAsiaTheme="minorHAnsi"/>
          <w:color w:val="767171" w:themeColor="background2" w:themeShade="80"/>
        </w:rPr>
      </w:pPr>
      <w:r w:rsidRPr="00092CE8">
        <w:rPr>
          <w:color w:val="767171" w:themeColor="background2" w:themeShade="80"/>
        </w:rPr>
        <w:t>2)</w:t>
      </w:r>
      <w:r w:rsidRPr="00092CE8">
        <w:rPr>
          <w:color w:val="767171" w:themeColor="background2" w:themeShade="80"/>
        </w:rPr>
        <w:tab/>
      </w:r>
      <w:r w:rsidR="00850FF6" w:rsidRPr="00092CE8">
        <w:rPr>
          <w:rFonts w:eastAsia="Calibri"/>
          <w:color w:val="767171" w:themeColor="background2" w:themeShade="80"/>
        </w:rPr>
        <w:t>Sažetak analize strateškog okvira</w:t>
      </w:r>
      <w:bookmarkEnd w:id="6"/>
    </w:p>
    <w:p w14:paraId="11910AE7" w14:textId="42A184AC" w:rsidR="00850FF6" w:rsidRPr="00F17AF0" w:rsidRDefault="00850FF6" w:rsidP="00EB168A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754A1D5E" w14:textId="77777777" w:rsidR="002950DC" w:rsidRPr="002950DC" w:rsidRDefault="002950DC" w:rsidP="00EB168A">
      <w:pPr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sz w:val="24"/>
          <w:szCs w:val="24"/>
          <w:lang w:val="hr-HR"/>
        </w:rPr>
        <w:t xml:space="preserve">Strateški okvir za izradu strateškog plana, odnosno programa rada Kantonalnog suda u Odžaku čine relevantni strateški dokumenti u oblasti pravosuđa. Strateški okvir obuhvaća slijedeće dokumente: </w:t>
      </w:r>
    </w:p>
    <w:p w14:paraId="37558D5E" w14:textId="77777777" w:rsidR="002950DC" w:rsidRPr="002950DC" w:rsidRDefault="002950DC" w:rsidP="00EB168A">
      <w:pPr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</w:p>
    <w:p w14:paraId="681D307A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Ustav Bosne i Hercegovine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 je temeljni pravni akt države s kojim moraju biti u skladu svi zakoni, i Ustavom se određuju najviši organi vlasti i njihovi međusobni odnosi, a kroz podjelu vlasti na zakonodavnu, izvršnu i sudsku određuje se princip neovisnog i nepristranog pravosuđa u Bosni i Hercegovini. </w:t>
      </w:r>
    </w:p>
    <w:p w14:paraId="42D9B6A6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Ustav Federacije Bosne i Hercegovine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 u odnosu na Ustav Bosne i Hercegovine detaljnije definira sudsku vlast u Federaciji Bosne i Hercegovine, a u stavku V točka 4. određuje i nadležnost kantonalnih sudova. </w:t>
      </w:r>
    </w:p>
    <w:p w14:paraId="3540E196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Zakon o Visokom sudbenom i tužiteljskom vijeću Bosne i Hercegovine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. Ovim zakonom propisana je nadležnost Visokog sudbenog i tužiteljskog vijeća BiH kao nezavisnog i samostalnog organa u smislu osiguranja nezavisnog, nepristranog i profesionalnog pravosuđa kroz njegovu nadležnost utvrđenu u članku 17. Zakona u kojem su detaljno precizirane njegove nadležnosti, a između ostalog i nadležnost imenovanja sudaca. </w:t>
      </w:r>
    </w:p>
    <w:p w14:paraId="151B04D2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 xml:space="preserve">Strateški plan VSTV-a. </w:t>
      </w:r>
    </w:p>
    <w:p w14:paraId="4894B126" w14:textId="77777777" w:rsidR="002950DC" w:rsidRPr="002950DC" w:rsidRDefault="002950DC" w:rsidP="00EB168A">
      <w:pPr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sz w:val="24"/>
          <w:szCs w:val="24"/>
          <w:lang w:val="hr-HR"/>
        </w:rPr>
        <w:t xml:space="preserve">Ovo je ključni dokument  prema kojem se usklađuju strateški ciljevi svih pravosudnih institucija u Bosni i Hercegovini. </w:t>
      </w:r>
    </w:p>
    <w:p w14:paraId="0B5CD5E0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Zakon o sudovima u Federaciji Bosne i Hercegovine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- člankom 2. ovog Zakona propisano je da sudovi vrše sudsku vlast u Federaciji Bosne i Hercegovine, dok je u članku 25. istog Zakona propisana mjesna nadležnost sudova, a stvarna nadležnost kantonalnih sudova u članku 28. Zakona, a što se odnosi i na Kantonalni sud u Odžaku, jer stvarna nadležnost ujedno predstavlja i mandat ovog suda. </w:t>
      </w:r>
    </w:p>
    <w:p w14:paraId="0385A867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lastRenderedPageBreak/>
        <w:t>Revidirana Državna strategija za procesuiranje predmeta ratnih zločina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. Ova strategija je donesena s ciljem da se iznađe sustavni pristup problematici rješavanja velikog broja predmeta ratnih zločina. </w:t>
      </w:r>
    </w:p>
    <w:p w14:paraId="399A2979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Strategija za reformu sektora pravde u Bosni i Hercegovini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 2014. – 2018. god - predstavlja strateški dokument svih institucija pravde u Bosni i Hercegovini, u kojem su definirana četiri ključna načela na kojima se zasniva funkcionalno pravosuđe: efikasnost, kvaliteta, odgovornost i neovisnost. Strategija za reformu sektora pravde u Bosni i Hercegovini obuhvata pet oblasti, a za svaku oblast reforme definirani su dugoročni prioriteti čiji je cilj jačati i održavati neovisnost, odgovornost, efikasnost, profesionalnost i usklađenost pravosudnog sistema koji osigurava vladavinu prava. Dugoročni strateški ciljevi detaljno razrađeni u Strategiji tiču se rada pravosudnih institucija, prije svega efikasnosti sudova kroz strateške programe smanjenja starosti neriješenih predmeta, sprečavanje nastupanja zastarjelosti predmeta u sudovima, efikasnog procesuiranja predmeta ratnih zločina, rasterećenja pravosudnih institucija izmještanjem pojedinih postupaka i prijenos ovlaštenja, unapređenje kvaliteta rada pravosuđa u Bosni i Hercegovine kroz objavljivanje važećih propisa, izabranih sudskih odluka i stručnih publikacija na jednom mjestu nosiocima pravosudnih funkcija, stručno usavršavanje sudaca i posebno rad na usuglašavanju sudske prakse. Jedan od vrlo bitnih strateških ciljeva je unapređenje otvorenosti i dostupnosti informacija o radu pravosudnih institucija u Bosni i Hercegovini, stručnoj i široj javnosti kroz proaktivne odnose sa građanima i medijima, s ciljem vraćanja povjerenja javnosti u pravosudni sistem. Postizanje tog strateškog cilja ostvarit će se kroz uspostavu prakse informiranja javnosti o ulozi pravosudnih institucija u Bosni i Hercegovini. </w:t>
      </w:r>
    </w:p>
    <w:p w14:paraId="6A35C751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 xml:space="preserve">Strategija za borbu protiv korupcije za period 2016. – 2019. </w:t>
      </w:r>
    </w:p>
    <w:p w14:paraId="2C2C6FC1" w14:textId="77777777" w:rsidR="002950DC" w:rsidRPr="002950DC" w:rsidRDefault="002950DC" w:rsidP="00EB168A">
      <w:pPr>
        <w:ind w:left="1080"/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sz w:val="24"/>
          <w:szCs w:val="24"/>
          <w:lang w:val="hr-HR"/>
        </w:rPr>
        <w:t xml:space="preserve">Strategija u četverogodišnjem periodu obuhvaća niz mjera i aktivnosti koje trebaju poduzeti javni organi s ciljem smanjivanja mogućnosti korupcije putem uspostavljanja suvremenog i efikasnog administrativnog i pravnog okvira za javni sektor. </w:t>
      </w:r>
    </w:p>
    <w:p w14:paraId="3FC80638" w14:textId="77777777" w:rsidR="002950DC" w:rsidRPr="002950DC" w:rsidRDefault="002950DC" w:rsidP="00EB168A">
      <w:pPr>
        <w:pStyle w:val="ListParagraph"/>
        <w:numPr>
          <w:ilvl w:val="0"/>
          <w:numId w:val="41"/>
        </w:numPr>
        <w:spacing w:after="44" w:line="271" w:lineRule="auto"/>
        <w:ind w:right="8"/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Strategija za provedbu Konvencije Vijeća Europe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 o prevenciji i borbi protiv nasilja nad ženama i nasilja u obitelji.</w:t>
      </w:r>
    </w:p>
    <w:p w14:paraId="77A37AA4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Strategija suprotstavljanja trgovini ljudima u BiH</w:t>
      </w:r>
      <w:r w:rsidRPr="002950DC">
        <w:rPr>
          <w:rFonts w:ascii="Arial" w:hAnsi="Arial" w:cs="Arial"/>
          <w:sz w:val="24"/>
          <w:szCs w:val="24"/>
          <w:lang w:val="hr-HR"/>
        </w:rPr>
        <w:t xml:space="preserve"> i Akcijski plan implementacije u BiH. </w:t>
      </w:r>
    </w:p>
    <w:p w14:paraId="55A4DFC9" w14:textId="77777777" w:rsidR="002950DC" w:rsidRPr="002950DC" w:rsidRDefault="002950DC" w:rsidP="00EB168A">
      <w:pPr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950DC">
        <w:rPr>
          <w:rFonts w:ascii="Arial" w:hAnsi="Arial" w:cs="Arial"/>
          <w:b/>
          <w:sz w:val="24"/>
          <w:szCs w:val="24"/>
          <w:lang w:val="hr-HR"/>
        </w:rPr>
        <w:t>Strategija borbe protiv maloljetničke delinkvencije.</w:t>
      </w:r>
    </w:p>
    <w:p w14:paraId="4AAEDBB5" w14:textId="77777777" w:rsidR="00850FF6" w:rsidRPr="00F17AF0" w:rsidRDefault="00850FF6" w:rsidP="00EB168A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3F073329" w14:textId="77777777" w:rsidR="00850FF6" w:rsidRPr="00F17AF0" w:rsidRDefault="00850FF6" w:rsidP="00EB168A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12429386" w14:textId="77777777" w:rsidR="00AA716E" w:rsidRPr="00F17AF0" w:rsidRDefault="00AA716E" w:rsidP="00EB168A">
      <w:pPr>
        <w:spacing w:before="40" w:line="276" w:lineRule="auto"/>
        <w:ind w:left="0"/>
        <w:jc w:val="both"/>
        <w:rPr>
          <w:rFonts w:ascii="Arial" w:eastAsia="Verdana" w:hAnsi="Arial" w:cs="Arial"/>
          <w:bCs/>
          <w:w w:val="95"/>
          <w:sz w:val="24"/>
          <w:szCs w:val="24"/>
          <w:lang w:val="hr-HR"/>
        </w:rPr>
      </w:pPr>
    </w:p>
    <w:p w14:paraId="1F22372D" w14:textId="77777777" w:rsidR="00AA716E" w:rsidRPr="009336F9" w:rsidRDefault="00AA716E" w:rsidP="00EB168A">
      <w:pPr>
        <w:spacing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  <w:r w:rsidRPr="009336F9">
        <w:rPr>
          <w:rFonts w:ascii="Arial" w:eastAsia="Calibri" w:hAnsi="Arial" w:cs="Arial"/>
          <w:w w:val="95"/>
          <w:sz w:val="24"/>
          <w:szCs w:val="24"/>
          <w:lang w:val="hr-HR"/>
        </w:rPr>
        <w:br w:type="page"/>
      </w:r>
    </w:p>
    <w:p w14:paraId="7A312F46" w14:textId="02B7E471" w:rsidR="00054E8D" w:rsidRPr="00092CE8" w:rsidRDefault="00054E8D" w:rsidP="00EB168A">
      <w:pPr>
        <w:pStyle w:val="Heading1"/>
        <w:jc w:val="both"/>
        <w:rPr>
          <w:rFonts w:eastAsia="Calibri"/>
          <w:color w:val="767171" w:themeColor="background2" w:themeShade="80"/>
        </w:rPr>
      </w:pPr>
      <w:r w:rsidRPr="00092CE8">
        <w:rPr>
          <w:color w:val="767171" w:themeColor="background2" w:themeShade="80"/>
        </w:rPr>
        <w:lastRenderedPageBreak/>
        <w:t>3)</w:t>
      </w:r>
      <w:bookmarkStart w:id="7" w:name="_Toc91766453"/>
      <w:r w:rsidR="00C36415" w:rsidRPr="00092CE8">
        <w:rPr>
          <w:color w:val="767171" w:themeColor="background2" w:themeShade="80"/>
        </w:rPr>
        <w:t xml:space="preserve"> </w:t>
      </w:r>
      <w:r w:rsidR="00C80EA6" w:rsidRPr="00092CE8">
        <w:rPr>
          <w:color w:val="767171" w:themeColor="background2" w:themeShade="80"/>
        </w:rPr>
        <w:t xml:space="preserve">Pregled </w:t>
      </w:r>
      <w:r w:rsidR="00ED2361" w:rsidRPr="00092CE8">
        <w:rPr>
          <w:color w:val="767171" w:themeColor="background2" w:themeShade="80"/>
        </w:rPr>
        <w:t xml:space="preserve">strateških </w:t>
      </w:r>
      <w:r w:rsidR="00E165D6" w:rsidRPr="00092CE8">
        <w:rPr>
          <w:color w:val="767171" w:themeColor="background2" w:themeShade="80"/>
        </w:rPr>
        <w:t xml:space="preserve">i trogodišnjih </w:t>
      </w:r>
      <w:r w:rsidR="00C80EA6" w:rsidRPr="00092CE8">
        <w:rPr>
          <w:rFonts w:eastAsia="Calibri"/>
          <w:color w:val="767171" w:themeColor="background2" w:themeShade="80"/>
        </w:rPr>
        <w:t>ciljeva za period strateškog planiranja</w:t>
      </w:r>
      <w:bookmarkEnd w:id="7"/>
    </w:p>
    <w:p w14:paraId="62706468" w14:textId="77777777" w:rsidR="00054E8D" w:rsidRPr="00054E8D" w:rsidRDefault="00054E8D" w:rsidP="00EB168A">
      <w:pPr>
        <w:jc w:val="both"/>
        <w:rPr>
          <w:lang w:val="hr-HR"/>
        </w:rPr>
      </w:pPr>
    </w:p>
    <w:p w14:paraId="421B058C" w14:textId="5CF7CFE7" w:rsidR="00C80EA6" w:rsidRPr="00C36415" w:rsidRDefault="00054E8D" w:rsidP="00EB168A">
      <w:pPr>
        <w:ind w:left="0"/>
        <w:jc w:val="both"/>
        <w:rPr>
          <w:rFonts w:ascii="Arial" w:eastAsia="Calibri" w:hAnsi="Arial" w:cs="Arial"/>
          <w:sz w:val="24"/>
          <w:szCs w:val="24"/>
        </w:rPr>
      </w:pPr>
      <w:r w:rsidRPr="00C36415">
        <w:rPr>
          <w:rFonts w:ascii="Arial" w:hAnsi="Arial" w:cs="Arial"/>
          <w:sz w:val="24"/>
          <w:szCs w:val="24"/>
        </w:rPr>
        <w:t>Kantonalni sud u Odžaku je utvrdio 3 strateška cilja. To su:</w:t>
      </w:r>
      <w:r w:rsidR="00C80EA6" w:rsidRPr="00C36415">
        <w:rPr>
          <w:rFonts w:ascii="Arial" w:eastAsia="Calibri" w:hAnsi="Arial" w:cs="Arial"/>
          <w:sz w:val="24"/>
          <w:szCs w:val="24"/>
        </w:rPr>
        <w:t xml:space="preserve"> </w:t>
      </w:r>
    </w:p>
    <w:p w14:paraId="5F263659" w14:textId="77777777" w:rsidR="00054E8D" w:rsidRPr="00054E8D" w:rsidRDefault="00054E8D" w:rsidP="00EB168A">
      <w:pPr>
        <w:pStyle w:val="ListParagraph"/>
        <w:jc w:val="both"/>
        <w:rPr>
          <w:lang w:val="hr-HR"/>
        </w:rPr>
      </w:pPr>
    </w:p>
    <w:p w14:paraId="0C41D7B6" w14:textId="6B2761BE" w:rsidR="00147DD8" w:rsidRDefault="00147DD8" w:rsidP="00EB168A">
      <w:pPr>
        <w:jc w:val="both"/>
        <w:rPr>
          <w:lang w:val="hr-HR"/>
        </w:rPr>
      </w:pPr>
    </w:p>
    <w:p w14:paraId="5DF50434" w14:textId="05F90060" w:rsidR="008A7A67" w:rsidRPr="004C3B38" w:rsidRDefault="008A7A67" w:rsidP="00EB168A">
      <w:pPr>
        <w:spacing w:after="86" w:line="259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u w:color="000000"/>
          <w:lang w:val="hr-HR"/>
        </w:rPr>
        <w:t>Strateški cilj 1:</w:t>
      </w: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1BAF173C" w14:textId="77777777" w:rsidR="008A7A67" w:rsidRPr="004C3B38" w:rsidRDefault="008A7A67" w:rsidP="00EB16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lang w:val="hr-HR"/>
        </w:rPr>
        <w:t>„Povećati učinkovitost u rješavanju predmeta ratnih zločina u sudu“</w:t>
      </w:r>
    </w:p>
    <w:p w14:paraId="271B1232" w14:textId="77777777" w:rsidR="008A7A67" w:rsidRPr="004C3B38" w:rsidRDefault="008A7A67" w:rsidP="00EB168A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5495C0E2" w14:textId="7310FEE5" w:rsidR="008A7A67" w:rsidRPr="004C3B38" w:rsidRDefault="008A7A67" w:rsidP="00EB16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>Navedeni cilj je predviđen revidiranom</w:t>
      </w:r>
      <w:r w:rsidR="00FE56F7">
        <w:rPr>
          <w:rFonts w:ascii="Arial" w:hAnsi="Arial" w:cs="Arial"/>
          <w:sz w:val="24"/>
          <w:szCs w:val="24"/>
          <w:lang w:val="hr-HR"/>
        </w:rPr>
        <w:t xml:space="preserve"> Državnom s</w:t>
      </w:r>
      <w:r w:rsidRPr="004C3B38">
        <w:rPr>
          <w:rFonts w:ascii="Arial" w:hAnsi="Arial" w:cs="Arial"/>
          <w:sz w:val="24"/>
          <w:szCs w:val="24"/>
          <w:lang w:val="hr-HR"/>
        </w:rPr>
        <w:t>trategijom za rješavanje predmeta ratnih zločina u sudovi</w:t>
      </w:r>
      <w:r>
        <w:rPr>
          <w:rFonts w:ascii="Arial" w:hAnsi="Arial" w:cs="Arial"/>
          <w:sz w:val="24"/>
          <w:szCs w:val="24"/>
          <w:lang w:val="hr-HR"/>
        </w:rPr>
        <w:t>ma u BiH, usvojene 2020. godine, po kojoj se predmeti ratnih zločina trebaju riješiti do kraja 2023. godine.</w:t>
      </w:r>
      <w:r w:rsidR="002B6CE3">
        <w:rPr>
          <w:rFonts w:ascii="Arial" w:hAnsi="Arial" w:cs="Arial"/>
          <w:sz w:val="24"/>
          <w:szCs w:val="24"/>
          <w:lang w:val="hr-HR"/>
        </w:rPr>
        <w:t xml:space="preserve"> </w:t>
      </w:r>
      <w:r w:rsidRPr="004C3B38">
        <w:rPr>
          <w:rFonts w:ascii="Arial" w:hAnsi="Arial" w:cs="Arial"/>
          <w:sz w:val="24"/>
          <w:szCs w:val="24"/>
          <w:lang w:val="hr-HR"/>
        </w:rPr>
        <w:t>Ostvarivanje navedenog strateškog cilja Kantonalni sud u Odžaku  će nastojati realizirati kroz svoje trogodišnje ciljeve:</w:t>
      </w:r>
    </w:p>
    <w:p w14:paraId="10158B33" w14:textId="77777777" w:rsidR="008A7A67" w:rsidRPr="004C3B38" w:rsidRDefault="008A7A67" w:rsidP="00EB168A">
      <w:pPr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</w:p>
    <w:p w14:paraId="2589E8FD" w14:textId="0F659684" w:rsidR="008A7A67" w:rsidRPr="004C3B38" w:rsidRDefault="008A7A67" w:rsidP="00EB168A">
      <w:pPr>
        <w:pStyle w:val="ListParagraph"/>
        <w:numPr>
          <w:ilvl w:val="0"/>
          <w:numId w:val="41"/>
        </w:numPr>
        <w:spacing w:after="44" w:line="271" w:lineRule="auto"/>
        <w:ind w:right="4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Trogodišnji cilj 1 : - </w:t>
      </w:r>
      <w:r w:rsidRPr="004C3B38">
        <w:rPr>
          <w:rFonts w:ascii="Arial" w:hAnsi="Arial" w:cs="Arial"/>
          <w:b/>
          <w:bCs/>
          <w:sz w:val="24"/>
          <w:szCs w:val="24"/>
          <w:lang w:val="hr-HR"/>
        </w:rPr>
        <w:t>Smanjenje broja neriješenih predmeta ratnih zločina u sudu.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 ovom trenutku, odnosno na početku 2022. godine, u sudu se nalaze 4 neriješena predmeta ratnih zločina. To su 2 prvostupanjska kaznena predmeta “K“ i 2 predmeta prethodnog saslušanja „Kps“.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U 2 prvostupanjska kaznena pre</w:t>
      </w:r>
      <w:r>
        <w:rPr>
          <w:rFonts w:ascii="Arial" w:hAnsi="Arial" w:cs="Arial"/>
          <w:sz w:val="24"/>
          <w:szCs w:val="24"/>
          <w:lang w:val="hr-HR"/>
        </w:rPr>
        <w:t xml:space="preserve">dmeta „K“ postupci su pri kraju i očekuje se rješavanje 1 predmeta odmah početkom godine </w:t>
      </w:r>
      <w:r w:rsidR="00054E8D">
        <w:rPr>
          <w:rFonts w:ascii="Arial" w:hAnsi="Arial" w:cs="Arial"/>
          <w:sz w:val="24"/>
          <w:szCs w:val="24"/>
          <w:lang w:val="hr-HR"/>
        </w:rPr>
        <w:t>a drugog do sredine 2022. godine.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Što se tič</w:t>
      </w:r>
      <w:r w:rsidR="00054E8D">
        <w:rPr>
          <w:rFonts w:ascii="Arial" w:hAnsi="Arial" w:cs="Arial"/>
          <w:sz w:val="24"/>
          <w:szCs w:val="24"/>
          <w:lang w:val="hr-HR"/>
        </w:rPr>
        <w:t>e 2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neriješena  „Kps„ predmeta, valja istaći da je u jednom ovom predmetu prekinut postupak na 2 godine i 6 mjeseci, zbog duš</w:t>
      </w:r>
      <w:r w:rsidR="00054E8D">
        <w:rPr>
          <w:rFonts w:ascii="Arial" w:hAnsi="Arial" w:cs="Arial"/>
          <w:sz w:val="24"/>
          <w:szCs w:val="24"/>
          <w:lang w:val="hr-HR"/>
        </w:rPr>
        <w:t>evnog oboljenja optuženog, a u 1 predmetu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traje postupak međunarodne prav</w:t>
      </w:r>
      <w:r w:rsidR="00054E8D">
        <w:rPr>
          <w:rFonts w:ascii="Arial" w:hAnsi="Arial" w:cs="Arial"/>
          <w:sz w:val="24"/>
          <w:szCs w:val="24"/>
          <w:lang w:val="hr-HR"/>
        </w:rPr>
        <w:t>ne pomoći (osumnjičeni se nalazi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u inozemstvu).</w:t>
      </w:r>
      <w:r w:rsidR="00054E8D">
        <w:rPr>
          <w:rFonts w:ascii="Arial" w:hAnsi="Arial" w:cs="Arial"/>
          <w:sz w:val="24"/>
          <w:szCs w:val="24"/>
          <w:lang w:val="hr-HR"/>
        </w:rPr>
        <w:t xml:space="preserve"> Što se tiče predmeta </w:t>
      </w:r>
      <w:r w:rsidR="00FE56F7">
        <w:rPr>
          <w:rFonts w:ascii="Arial" w:hAnsi="Arial" w:cs="Arial"/>
          <w:sz w:val="24"/>
          <w:szCs w:val="24"/>
          <w:lang w:val="hr-HR"/>
        </w:rPr>
        <w:t>„</w:t>
      </w:r>
      <w:r w:rsidR="00054E8D">
        <w:rPr>
          <w:rFonts w:ascii="Arial" w:hAnsi="Arial" w:cs="Arial"/>
          <w:sz w:val="24"/>
          <w:szCs w:val="24"/>
          <w:lang w:val="hr-HR"/>
        </w:rPr>
        <w:t>Kps</w:t>
      </w:r>
      <w:r w:rsidR="00FE56F7">
        <w:rPr>
          <w:rFonts w:ascii="Arial" w:hAnsi="Arial" w:cs="Arial"/>
          <w:sz w:val="24"/>
          <w:szCs w:val="24"/>
          <w:lang w:val="hr-HR"/>
        </w:rPr>
        <w:t>“</w:t>
      </w:r>
      <w:r w:rsidR="00054E8D">
        <w:rPr>
          <w:rFonts w:ascii="Arial" w:hAnsi="Arial" w:cs="Arial"/>
          <w:sz w:val="24"/>
          <w:szCs w:val="24"/>
          <w:lang w:val="hr-HR"/>
        </w:rPr>
        <w:t xml:space="preserve"> u kojem traje prekid postupka, sud u periodu prekida ne može poduzimati niti jednu radnju pa se rješavanje tog predmeta ne može planirati u naredne 3 godine. U predmetu </w:t>
      </w:r>
      <w:r w:rsidR="00FE56F7">
        <w:rPr>
          <w:rFonts w:ascii="Arial" w:hAnsi="Arial" w:cs="Arial"/>
          <w:sz w:val="24"/>
          <w:szCs w:val="24"/>
          <w:lang w:val="hr-HR"/>
        </w:rPr>
        <w:t>„</w:t>
      </w:r>
      <w:r w:rsidR="00054E8D">
        <w:rPr>
          <w:rFonts w:ascii="Arial" w:hAnsi="Arial" w:cs="Arial"/>
          <w:sz w:val="24"/>
          <w:szCs w:val="24"/>
          <w:lang w:val="hr-HR"/>
        </w:rPr>
        <w:t>Kps</w:t>
      </w:r>
      <w:r w:rsidR="00FE56F7">
        <w:rPr>
          <w:rFonts w:ascii="Arial" w:hAnsi="Arial" w:cs="Arial"/>
          <w:sz w:val="24"/>
          <w:szCs w:val="24"/>
          <w:lang w:val="hr-HR"/>
        </w:rPr>
        <w:t>“</w:t>
      </w:r>
      <w:r w:rsidR="00054E8D">
        <w:rPr>
          <w:rFonts w:ascii="Arial" w:hAnsi="Arial" w:cs="Arial"/>
          <w:sz w:val="24"/>
          <w:szCs w:val="24"/>
          <w:lang w:val="hr-HR"/>
        </w:rPr>
        <w:t xml:space="preserve"> po međunarodnoj pravnoj pomoći, s</w:t>
      </w:r>
      <w:r w:rsidRPr="004C3B38">
        <w:rPr>
          <w:rFonts w:ascii="Arial" w:hAnsi="Arial" w:cs="Arial"/>
          <w:sz w:val="24"/>
          <w:szCs w:val="24"/>
          <w:lang w:val="hr-HR"/>
        </w:rPr>
        <w:t>ud će</w:t>
      </w:r>
      <w:r w:rsidR="00054E8D">
        <w:rPr>
          <w:rFonts w:ascii="Arial" w:hAnsi="Arial" w:cs="Arial"/>
          <w:sz w:val="24"/>
          <w:szCs w:val="24"/>
          <w:lang w:val="hr-HR"/>
        </w:rPr>
        <w:t xml:space="preserve"> urgencijama svaka 3 mjeseca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nastojati putem nadležnih institucija ubrzati postupak pružanja međunarod</w:t>
      </w:r>
      <w:r w:rsidR="00054E8D">
        <w:rPr>
          <w:rFonts w:ascii="Arial" w:hAnsi="Arial" w:cs="Arial"/>
          <w:sz w:val="24"/>
          <w:szCs w:val="24"/>
          <w:lang w:val="hr-HR"/>
        </w:rPr>
        <w:t xml:space="preserve">ne pravne pomoći, tako da se i ovaj predmet 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</w:t>
      </w:r>
      <w:r w:rsidR="00054E8D">
        <w:rPr>
          <w:rFonts w:ascii="Arial" w:hAnsi="Arial" w:cs="Arial"/>
          <w:sz w:val="24"/>
          <w:szCs w:val="24"/>
          <w:lang w:val="hr-HR"/>
        </w:rPr>
        <w:t>riješi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u naznačenom periodu.</w:t>
      </w:r>
    </w:p>
    <w:p w14:paraId="36BBF3FF" w14:textId="05F80340" w:rsidR="008A7A67" w:rsidRPr="004C3B38" w:rsidRDefault="008A7A67" w:rsidP="008A7A67">
      <w:pPr>
        <w:pStyle w:val="ListParagraph"/>
        <w:numPr>
          <w:ilvl w:val="0"/>
          <w:numId w:val="41"/>
        </w:numPr>
        <w:spacing w:after="44" w:line="271" w:lineRule="auto"/>
        <w:ind w:right="4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>Trogodišnji cilj 2 :  -</w:t>
      </w: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 Smanjenje duljine trajanja predmeta ratnih zločina.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Ovaj cilj je postavljen uzimajući u obzir sveukupni cilj pravosudnog sektora, tj. učinkovitost i skraćenje vremena trajanja postupka. Iz Izvješća o poštivanju optimal</w:t>
      </w:r>
      <w:r w:rsidR="004D3036">
        <w:rPr>
          <w:rFonts w:ascii="Arial" w:hAnsi="Arial" w:cs="Arial"/>
          <w:sz w:val="24"/>
          <w:szCs w:val="24"/>
          <w:lang w:val="hr-HR"/>
        </w:rPr>
        <w:t>nih i predvidivih rokova za 2021</w:t>
      </w:r>
      <w:r w:rsidRPr="004C3B38">
        <w:rPr>
          <w:rFonts w:ascii="Arial" w:hAnsi="Arial" w:cs="Arial"/>
          <w:sz w:val="24"/>
          <w:szCs w:val="24"/>
          <w:lang w:val="hr-HR"/>
        </w:rPr>
        <w:t>. godinu, proistječe da je duljina trajanja postupka općenito na kaznenom referatu, pa i na predmetima ratnih zločina znatno veća nego na drugim referatima. Zbog toga je potrebno poduzeti određene aktivnosti u navedenom trogodišnjem periodu da se duljina trajanja postupka u kaznenim predmetima, pa tako i na predmetima ratnih zločina skrati, na način da se češće zakazuju glavne rasprave, da se koncentriraju dokazi na glavnim raspravama, te da se glavni pretresi bespotrebno ne odlažu.</w:t>
      </w:r>
    </w:p>
    <w:p w14:paraId="638C5F6B" w14:textId="77777777" w:rsidR="008A7A67" w:rsidRPr="004C3B38" w:rsidRDefault="008A7A67" w:rsidP="008A7A67">
      <w:pPr>
        <w:ind w:right="4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1B356749" w14:textId="77777777" w:rsidR="008A7A67" w:rsidRPr="004C3B38" w:rsidRDefault="008A7A67" w:rsidP="008A7A67">
      <w:pPr>
        <w:ind w:right="4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AC82612" w14:textId="77777777" w:rsidR="008A7A67" w:rsidRPr="004C3B38" w:rsidRDefault="008A7A67" w:rsidP="008A7A67">
      <w:pPr>
        <w:rPr>
          <w:rFonts w:ascii="Arial" w:hAnsi="Arial" w:cs="Arial"/>
          <w:b/>
          <w:bCs/>
          <w:sz w:val="24"/>
          <w:szCs w:val="24"/>
          <w:u w:color="000000"/>
          <w:lang w:val="hr-HR"/>
        </w:rPr>
      </w:pPr>
    </w:p>
    <w:p w14:paraId="1B69767B" w14:textId="77777777" w:rsidR="008A7A67" w:rsidRDefault="008A7A67" w:rsidP="008A7A67">
      <w:pPr>
        <w:rPr>
          <w:rFonts w:ascii="Arial" w:hAnsi="Arial" w:cs="Arial"/>
          <w:b/>
          <w:bCs/>
          <w:sz w:val="24"/>
          <w:szCs w:val="24"/>
          <w:u w:color="000000"/>
          <w:lang w:val="hr-HR"/>
        </w:rPr>
      </w:pPr>
    </w:p>
    <w:p w14:paraId="7AD75931" w14:textId="77777777" w:rsidR="00C36415" w:rsidRDefault="00C36415" w:rsidP="00C36415">
      <w:pPr>
        <w:ind w:left="0"/>
        <w:rPr>
          <w:rFonts w:ascii="Arial" w:hAnsi="Arial" w:cs="Arial"/>
          <w:b/>
          <w:bCs/>
          <w:sz w:val="24"/>
          <w:szCs w:val="24"/>
          <w:u w:color="000000"/>
          <w:lang w:val="hr-HR"/>
        </w:rPr>
      </w:pPr>
    </w:p>
    <w:p w14:paraId="7FCFFCC5" w14:textId="7C16340A" w:rsidR="008A7A67" w:rsidRDefault="008A7A67" w:rsidP="002B6CE3">
      <w:pPr>
        <w:ind w:left="0"/>
        <w:jc w:val="both"/>
        <w:rPr>
          <w:rFonts w:ascii="Arial" w:hAnsi="Arial" w:cs="Arial"/>
          <w:b/>
          <w:bCs/>
          <w:sz w:val="24"/>
          <w:szCs w:val="24"/>
          <w:u w:color="000000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u w:color="000000"/>
          <w:lang w:val="hr-HR"/>
        </w:rPr>
        <w:lastRenderedPageBreak/>
        <w:t>Strateški cilj 2:</w:t>
      </w:r>
    </w:p>
    <w:p w14:paraId="69211750" w14:textId="77777777" w:rsidR="008A7A67" w:rsidRPr="004C3B38" w:rsidRDefault="008A7A67" w:rsidP="002B6CE3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35883ABE" w14:textId="77777777" w:rsidR="008A7A67" w:rsidRPr="004C3B38" w:rsidRDefault="008A7A67" w:rsidP="002B6CE3">
      <w:pPr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„Povećati stupanj ujednačenosti sudske prakse unutar suda i u sudovima u Kantonu“ </w:t>
      </w:r>
    </w:p>
    <w:p w14:paraId="46426D54" w14:textId="77777777" w:rsidR="008A7A67" w:rsidRPr="004C3B38" w:rsidRDefault="008A7A67" w:rsidP="002B6CE3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7D691557" w14:textId="77777777" w:rsidR="008A7A67" w:rsidRPr="004C3B38" w:rsidRDefault="008A7A67" w:rsidP="002B6CE3">
      <w:pPr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Sud će kroz svoje aktivnosti nastojati doprinijeti realizaciji ovog strateškog cilja koji je sastavni dio Strateškog plana VSTV BiH pod nazivom „Unaprijediti kvalitetu rada pravosuđa u BiH“ i Strategije za reformu sektora pravde u BiH. </w:t>
      </w:r>
    </w:p>
    <w:p w14:paraId="4364A50A" w14:textId="77777777" w:rsidR="008A7A67" w:rsidRPr="004C3B38" w:rsidRDefault="008A7A67" w:rsidP="002B6CE3">
      <w:pPr>
        <w:spacing w:line="259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071C42FC" w14:textId="77777777" w:rsidR="008A7A67" w:rsidRPr="004C3B38" w:rsidRDefault="008A7A67" w:rsidP="002B6CE3">
      <w:pPr>
        <w:spacing w:after="160"/>
        <w:ind w:left="-5" w:right="4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Ostvarenju navedenog strateškog cilja Kantonalni sud u Odžaku će nastojati realizirati kroz sljedeće trogodišnje ciljeve: </w:t>
      </w:r>
    </w:p>
    <w:p w14:paraId="6242628F" w14:textId="77777777" w:rsidR="008A7A67" w:rsidRPr="004C3B38" w:rsidRDefault="008A7A67" w:rsidP="002B6CE3">
      <w:pPr>
        <w:spacing w:after="54" w:line="268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>Trogodišnji cilj 1:</w:t>
      </w: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 Povećanje broja sjednica kolegija suda i broja sastanaka predsjednika sudova u kantonu.</w:t>
      </w:r>
    </w:p>
    <w:p w14:paraId="27CBFDD0" w14:textId="77777777" w:rsidR="008A7A67" w:rsidRPr="004C3B38" w:rsidRDefault="008A7A67" w:rsidP="002B6CE3">
      <w:pPr>
        <w:ind w:left="0" w:right="4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Trogodišnji cilj suda je postavljen s obzirom na njegov mandat, viziju i misiju, te uočene prioritete. Uočeno je da sudska praksa nije harmonizirana u dovoljnoj mjeri kako na razini ovoga suda, tako i  na razini sudova u Kantonu. Sud će nastojati kroz određene aktivnosti doprinijeti strateškom cilju povećanja stupnja harmonizacije sudske prakse. S tim u svezi potrebno je povećati broj sjednica kolegija-općih sjednica unutar  suda s ciljem raspravljanja i donošenja pravnih shvaćanja i stavova suda. Nastavno na to, potrebno je da predsjednik suda i suci ovoga suda na tematskim sjednicama s predsjednicima prvostupanjskih sudova i njihovim predsjednicima odjeljenja zauzmu zajedničke pravne stavove kako bi se u što većoj mjeri harmonizirala sudska praksa. U tom smislu potrebna je izrada smjernica, naputaka, objavljivanje pravnih stavova i shvaćanja i sl. Na sličan način nužno je pokretati i inicijative prema Vrhovnom sudu Federacije BiH kako bi se održavale slične sjednice s istim ciljem, tj. ujednačavanjem sudske prakse u Federaciji BiH. </w:t>
      </w:r>
    </w:p>
    <w:p w14:paraId="57D4E3B0" w14:textId="77777777" w:rsidR="008A7A67" w:rsidRPr="004C3B38" w:rsidRDefault="008A7A67" w:rsidP="002B6CE3">
      <w:pPr>
        <w:spacing w:after="62" w:line="259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1D2FA996" w14:textId="770F0473" w:rsidR="008A7A67" w:rsidRPr="004C3B38" w:rsidRDefault="004D3036" w:rsidP="002B6CE3">
      <w:pPr>
        <w:spacing w:after="62" w:line="259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Strateški cilj 3:</w:t>
      </w:r>
      <w:r w:rsidR="008A7A67"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4889A061" w14:textId="77777777" w:rsidR="008A7A67" w:rsidRPr="004C3B38" w:rsidRDefault="008A7A67" w:rsidP="002B6CE3">
      <w:pPr>
        <w:spacing w:after="62" w:line="259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b/>
          <w:bCs/>
          <w:sz w:val="24"/>
          <w:szCs w:val="24"/>
          <w:lang w:val="hr-HR"/>
        </w:rPr>
        <w:t xml:space="preserve">„Unapređenje transparentnosti i dostupnosti informacija o radu suda široj javnosti “ </w:t>
      </w:r>
    </w:p>
    <w:p w14:paraId="62DA8E9D" w14:textId="77777777" w:rsidR="008A7A67" w:rsidRPr="004C3B38" w:rsidRDefault="008A7A67" w:rsidP="002B6CE3">
      <w:pPr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759E1405" w14:textId="77777777" w:rsidR="008A7A67" w:rsidRPr="004C3B38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I ovaj strateški cilj preuzet je iz okvira Strateškog plana Visokog sudbenog i tužiteljskog vijeća Bosne i Hercegovine za period 2014. – 2018. godine pod nazivom „Unaprijediti otvorenost i dostupnost informacija o radu pravosudnih institucija u Bosni i Hercegovini stručnoj i široj javnosti“. </w:t>
      </w:r>
    </w:p>
    <w:p w14:paraId="4C72EEBD" w14:textId="2BAA9D01" w:rsidR="008A7A67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>Transparentnost pravosuđa je značajna za uspostavu i očuvanje vladavine prava i upoznavanje javnosti sa ostvarenim rezultatima je temelj na kojima je moguće graditi ugled pravosudnih institucija.</w:t>
      </w:r>
    </w:p>
    <w:p w14:paraId="4B55EEAD" w14:textId="77777777" w:rsidR="004D3036" w:rsidRDefault="004D3036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4D45115E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4D732E1B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1BAF0C5C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510C6400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39F2F5EB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470DBACA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13B49AE6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2FD8102A" w14:textId="77777777" w:rsidR="00C36415" w:rsidRDefault="00C36415" w:rsidP="00C36415">
      <w:pPr>
        <w:ind w:left="0"/>
        <w:rPr>
          <w:rFonts w:ascii="Arial" w:hAnsi="Arial" w:cs="Arial"/>
          <w:sz w:val="24"/>
          <w:szCs w:val="24"/>
          <w:lang w:val="hr-HR"/>
        </w:rPr>
      </w:pPr>
    </w:p>
    <w:p w14:paraId="703DAA4A" w14:textId="12A71B89" w:rsidR="008A7A67" w:rsidRPr="004C3B38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lastRenderedPageBreak/>
        <w:t>Kantonalni sud u Odžaku kroz svoje aktivnosti doprinijet će realizaciji ovog strateškog cilja kroz slijedeće trogodišnje ciljeve:</w:t>
      </w:r>
    </w:p>
    <w:p w14:paraId="08BACCBA" w14:textId="77777777" w:rsidR="008A7A67" w:rsidRPr="004C3B38" w:rsidRDefault="008A7A67" w:rsidP="002B6CE3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014CA828" w14:textId="77777777" w:rsidR="008A7A67" w:rsidRPr="004C3B38" w:rsidRDefault="008A7A67" w:rsidP="002B6CE3">
      <w:pPr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Trogodišnji cilj 1. – </w:t>
      </w:r>
      <w:r w:rsidRPr="004C3B38">
        <w:rPr>
          <w:rFonts w:ascii="Arial" w:hAnsi="Arial" w:cs="Arial"/>
          <w:b/>
          <w:bCs/>
          <w:sz w:val="24"/>
          <w:szCs w:val="24"/>
          <w:lang w:val="hr-HR"/>
        </w:rPr>
        <w:t>Objavljivanje statističkih podataka o radu suda na službenoj web. stranici</w:t>
      </w:r>
    </w:p>
    <w:p w14:paraId="74DBBCED" w14:textId="77777777" w:rsidR="008A7A67" w:rsidRPr="004C3B38" w:rsidRDefault="008A7A67" w:rsidP="002B6CE3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2CEBCB5B" w14:textId="78509CEE" w:rsidR="008A7A67" w:rsidRPr="004C3B38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>S ciljem unapređenja informiranja javnosti o radu Kantonalnog suda u Odžaku, sud će u narednom trogodišnjem periodu na službenoj web stranici objavljivati informacije</w:t>
      </w:r>
      <w:r w:rsidR="00EB168A">
        <w:rPr>
          <w:rFonts w:ascii="Arial" w:hAnsi="Arial" w:cs="Arial"/>
          <w:sz w:val="24"/>
          <w:szCs w:val="24"/>
          <w:lang w:val="hr-HR"/>
        </w:rPr>
        <w:t xml:space="preserve"> odnosno statističke podatke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o radu suda</w:t>
      </w:r>
      <w:r w:rsidR="00FE56F7">
        <w:rPr>
          <w:rFonts w:ascii="Arial" w:hAnsi="Arial" w:cs="Arial"/>
          <w:sz w:val="24"/>
          <w:szCs w:val="24"/>
          <w:lang w:val="hr-HR"/>
        </w:rPr>
        <w:t xml:space="preserve"> dva puta godišnje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i informacije o realizaciji donesenih planova rješavanja p</w:t>
      </w:r>
      <w:r w:rsidR="00EB168A">
        <w:rPr>
          <w:rFonts w:ascii="Arial" w:hAnsi="Arial" w:cs="Arial"/>
          <w:sz w:val="24"/>
          <w:szCs w:val="24"/>
          <w:lang w:val="hr-HR"/>
        </w:rPr>
        <w:t>redmeta koji su na snazi u sudu i to na kvartalnom nivou.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Na ovaj način će se povećati povjerenje stručne i šire javnosti u rad suda. </w:t>
      </w:r>
    </w:p>
    <w:p w14:paraId="6CE53FCB" w14:textId="77777777" w:rsidR="008A7A67" w:rsidRPr="004C3B38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14:paraId="31CD3181" w14:textId="77777777" w:rsidR="008A7A67" w:rsidRPr="004C3B38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Trogodišnji cilj 2. – </w:t>
      </w:r>
      <w:r w:rsidRPr="004C3B38">
        <w:rPr>
          <w:rFonts w:ascii="Arial" w:hAnsi="Arial" w:cs="Arial"/>
          <w:b/>
          <w:bCs/>
          <w:sz w:val="24"/>
          <w:szCs w:val="24"/>
          <w:lang w:val="hr-HR"/>
        </w:rPr>
        <w:t>Uspostaviti redovnu praksu objavljivanja saopćenja za medije u vidu konferencija, izjava ili pisanog izvještavanja</w:t>
      </w:r>
    </w:p>
    <w:p w14:paraId="27F0E4ED" w14:textId="77777777" w:rsidR="008A7A67" w:rsidRPr="004C3B38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Proaktivna uloga suda sastoji se u medijskom izvještavanju javnosti o radu suda i postignutim njegovim rezultatima. S tim u svezi, u narednom trogodišnjem periodu obaveza suda će biti da uspostavi redovnu praksu objavljivanja saopćenja za medije u vidu konferencija, izjava ili pisanog izvještavanja na koji način će se javnosti prezentirati ostvareni rezultati suda i aktivnosti koje se vode u sudu. </w:t>
      </w:r>
    </w:p>
    <w:p w14:paraId="5F8B2160" w14:textId="77777777" w:rsidR="008A7A67" w:rsidRPr="004C3B38" w:rsidRDefault="008A7A67" w:rsidP="002B6CE3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778C5270" w14:textId="77777777" w:rsidR="008A7A67" w:rsidRPr="004C3B38" w:rsidRDefault="008A7A67" w:rsidP="002B6CE3">
      <w:pPr>
        <w:ind w:left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 xml:space="preserve">Trogodišnji cilj 3. – </w:t>
      </w:r>
      <w:r w:rsidRPr="004C3B38">
        <w:rPr>
          <w:rFonts w:ascii="Arial" w:hAnsi="Arial" w:cs="Arial"/>
          <w:b/>
          <w:bCs/>
          <w:sz w:val="24"/>
          <w:szCs w:val="24"/>
          <w:lang w:val="hr-HR"/>
        </w:rPr>
        <w:t>Objavljivanje sudskih odluka u kaznenim predmetima od značaja za javnost na službenoj web stranici</w:t>
      </w:r>
    </w:p>
    <w:p w14:paraId="5D438879" w14:textId="651EC931" w:rsidR="008A7A67" w:rsidRPr="004C3B38" w:rsidRDefault="008A7A67" w:rsidP="002B6CE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4C3B38">
        <w:rPr>
          <w:rFonts w:ascii="Arial" w:hAnsi="Arial" w:cs="Arial"/>
          <w:sz w:val="24"/>
          <w:szCs w:val="24"/>
          <w:lang w:val="hr-HR"/>
        </w:rPr>
        <w:t>U cilju ostvarivanja transparentnosti rada suda i jačanja povjerenja građana u rad pravosudnih institucija, Kantonalni sud u Odžaku poduzet će aktivnosti da se odluke donesene u kaznenim predmetima, posebno u predmetima od značaja za širu javnost objavljuju</w:t>
      </w:r>
      <w:r w:rsidR="00EB168A">
        <w:rPr>
          <w:rFonts w:ascii="Arial" w:hAnsi="Arial" w:cs="Arial"/>
          <w:sz w:val="24"/>
          <w:szCs w:val="24"/>
          <w:lang w:val="hr-HR"/>
        </w:rPr>
        <w:t xml:space="preserve"> na službenoj web stranici suda, kao i presude na građanskom i upravnom referatu od značaja za širu javnost.</w:t>
      </w:r>
      <w:r w:rsidRPr="004C3B38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60DDB181" w14:textId="77777777" w:rsidR="008A7A67" w:rsidRDefault="008A7A67" w:rsidP="00147DD8">
      <w:pPr>
        <w:rPr>
          <w:lang w:val="hr-HR"/>
        </w:rPr>
      </w:pPr>
    </w:p>
    <w:p w14:paraId="13DB31E7" w14:textId="759117AF" w:rsidR="004C3B38" w:rsidRDefault="004C3B38" w:rsidP="00147DD8">
      <w:pPr>
        <w:rPr>
          <w:lang w:val="hr-HR"/>
        </w:rPr>
      </w:pPr>
    </w:p>
    <w:p w14:paraId="5A46880A" w14:textId="0E72A94E" w:rsidR="004C3B38" w:rsidRDefault="004C3B38" w:rsidP="00147DD8">
      <w:pPr>
        <w:rPr>
          <w:lang w:val="hr-HR"/>
        </w:rPr>
      </w:pPr>
    </w:p>
    <w:p w14:paraId="5FD5C151" w14:textId="40C94383" w:rsidR="004C3B38" w:rsidRPr="003C011D" w:rsidRDefault="004C3B38" w:rsidP="00147DD8">
      <w:pPr>
        <w:rPr>
          <w:rFonts w:ascii="Arial" w:hAnsi="Arial" w:cs="Arial"/>
          <w:sz w:val="24"/>
          <w:szCs w:val="24"/>
          <w:lang w:val="hr-HR"/>
        </w:rPr>
      </w:pPr>
    </w:p>
    <w:p w14:paraId="7457B0A0" w14:textId="53D0370B" w:rsidR="004C3B38" w:rsidRPr="003C011D" w:rsidRDefault="004C3B38" w:rsidP="00147DD8">
      <w:pPr>
        <w:rPr>
          <w:rFonts w:ascii="Arial" w:hAnsi="Arial" w:cs="Arial"/>
          <w:sz w:val="24"/>
          <w:szCs w:val="24"/>
          <w:lang w:val="hr-HR"/>
        </w:rPr>
      </w:pPr>
    </w:p>
    <w:p w14:paraId="75DC7297" w14:textId="48F582F3" w:rsidR="004C3B38" w:rsidRPr="003C011D" w:rsidRDefault="004C3B38" w:rsidP="00147DD8">
      <w:pPr>
        <w:rPr>
          <w:rFonts w:ascii="Arial" w:hAnsi="Arial" w:cs="Arial"/>
          <w:sz w:val="24"/>
          <w:szCs w:val="24"/>
          <w:lang w:val="hr-HR"/>
        </w:rPr>
      </w:pPr>
    </w:p>
    <w:p w14:paraId="0DAD6FCF" w14:textId="4D832A85" w:rsidR="004C3B38" w:rsidRPr="003C011D" w:rsidRDefault="004C3B38" w:rsidP="00147DD8">
      <w:pPr>
        <w:rPr>
          <w:sz w:val="24"/>
          <w:szCs w:val="24"/>
          <w:lang w:val="hr-HR"/>
        </w:rPr>
      </w:pPr>
    </w:p>
    <w:p w14:paraId="3C0316F8" w14:textId="332B9F81" w:rsidR="004C3B38" w:rsidRPr="003C011D" w:rsidRDefault="004C3B38" w:rsidP="00147DD8">
      <w:pPr>
        <w:rPr>
          <w:sz w:val="24"/>
          <w:szCs w:val="24"/>
          <w:lang w:val="hr-HR"/>
        </w:rPr>
      </w:pPr>
    </w:p>
    <w:p w14:paraId="2B92E14B" w14:textId="3D2B9F03" w:rsidR="004C3B38" w:rsidRDefault="004C3B38" w:rsidP="00147DD8">
      <w:pPr>
        <w:rPr>
          <w:lang w:val="hr-HR"/>
        </w:rPr>
      </w:pPr>
    </w:p>
    <w:p w14:paraId="4D8010E7" w14:textId="0101ADF1" w:rsidR="004C3B38" w:rsidRDefault="004C3B38" w:rsidP="00147DD8">
      <w:pPr>
        <w:rPr>
          <w:lang w:val="hr-HR"/>
        </w:rPr>
      </w:pPr>
    </w:p>
    <w:p w14:paraId="387AAC6D" w14:textId="515C6A8A" w:rsidR="004C3B38" w:rsidRDefault="004C3B38" w:rsidP="00147DD8">
      <w:pPr>
        <w:rPr>
          <w:lang w:val="hr-HR"/>
        </w:rPr>
      </w:pPr>
    </w:p>
    <w:p w14:paraId="617023F9" w14:textId="61D111EB" w:rsidR="004C3B38" w:rsidRDefault="004C3B38" w:rsidP="00147DD8">
      <w:pPr>
        <w:rPr>
          <w:lang w:val="hr-HR"/>
        </w:rPr>
      </w:pPr>
    </w:p>
    <w:p w14:paraId="2CA95224" w14:textId="03EF76C1" w:rsidR="004C3B38" w:rsidRDefault="004C3B38" w:rsidP="00147DD8">
      <w:pPr>
        <w:rPr>
          <w:lang w:val="hr-HR"/>
        </w:rPr>
      </w:pPr>
    </w:p>
    <w:p w14:paraId="14AB7D84" w14:textId="631B92E1" w:rsidR="004C3B38" w:rsidRDefault="004C3B38" w:rsidP="00147DD8">
      <w:pPr>
        <w:rPr>
          <w:lang w:val="hr-HR"/>
        </w:rPr>
      </w:pPr>
    </w:p>
    <w:p w14:paraId="33DEA7B7" w14:textId="51C1E175" w:rsidR="004C3B38" w:rsidRDefault="004C3B38" w:rsidP="00147DD8">
      <w:pPr>
        <w:rPr>
          <w:lang w:val="hr-HR"/>
        </w:rPr>
      </w:pPr>
    </w:p>
    <w:p w14:paraId="15F32AA9" w14:textId="59DE7E6E" w:rsidR="004C3B38" w:rsidRDefault="004C3B38" w:rsidP="00147DD8">
      <w:pPr>
        <w:rPr>
          <w:lang w:val="hr-HR"/>
        </w:rPr>
      </w:pPr>
    </w:p>
    <w:p w14:paraId="47A52DDC" w14:textId="1C28B5DE" w:rsidR="004C3B38" w:rsidRDefault="004C3B38" w:rsidP="00147DD8">
      <w:pPr>
        <w:rPr>
          <w:lang w:val="hr-HR"/>
        </w:rPr>
      </w:pPr>
    </w:p>
    <w:p w14:paraId="60D5BC1F" w14:textId="01815944" w:rsidR="004C3B38" w:rsidRDefault="004C3B38" w:rsidP="00147DD8">
      <w:pPr>
        <w:rPr>
          <w:lang w:val="hr-HR"/>
        </w:rPr>
      </w:pPr>
    </w:p>
    <w:p w14:paraId="5A4A3AFA" w14:textId="0E0F57C4" w:rsidR="004C3B38" w:rsidRDefault="004C3B38" w:rsidP="00147DD8">
      <w:pPr>
        <w:rPr>
          <w:lang w:val="hr-HR"/>
        </w:rPr>
      </w:pPr>
    </w:p>
    <w:p w14:paraId="7DA6A489" w14:textId="5B8B8C94" w:rsidR="004C3B38" w:rsidRDefault="004C3B38" w:rsidP="00147DD8">
      <w:pPr>
        <w:rPr>
          <w:lang w:val="hr-HR"/>
        </w:rPr>
      </w:pPr>
    </w:p>
    <w:p w14:paraId="06B3EFC2" w14:textId="7CD3609C" w:rsidR="004C3B38" w:rsidRDefault="004C3B38" w:rsidP="00C36415">
      <w:pPr>
        <w:ind w:left="0"/>
        <w:rPr>
          <w:lang w:val="hr-HR"/>
        </w:rPr>
      </w:pPr>
    </w:p>
    <w:p w14:paraId="7EAB755D" w14:textId="5A5C98CC" w:rsidR="00850FF6" w:rsidRPr="00092CE8" w:rsidRDefault="00C80EA6" w:rsidP="00F04805">
      <w:pPr>
        <w:pStyle w:val="Heading1"/>
        <w:ind w:left="420" w:hanging="420"/>
        <w:jc w:val="both"/>
        <w:rPr>
          <w:rFonts w:eastAsia="Calibri"/>
          <w:color w:val="767171" w:themeColor="background2" w:themeShade="80"/>
        </w:rPr>
      </w:pPr>
      <w:bookmarkStart w:id="8" w:name="_Toc91766454"/>
      <w:r w:rsidRPr="00092CE8">
        <w:rPr>
          <w:color w:val="767171" w:themeColor="background2" w:themeShade="80"/>
        </w:rPr>
        <w:lastRenderedPageBreak/>
        <w:t>4</w:t>
      </w:r>
      <w:r w:rsidR="0031411E" w:rsidRPr="00092CE8">
        <w:rPr>
          <w:color w:val="767171" w:themeColor="background2" w:themeShade="80"/>
        </w:rPr>
        <w:t>)</w:t>
      </w:r>
      <w:r w:rsidR="0031411E" w:rsidRPr="00092CE8">
        <w:rPr>
          <w:color w:val="767171" w:themeColor="background2" w:themeShade="80"/>
        </w:rPr>
        <w:tab/>
      </w:r>
      <w:r w:rsidR="00850FF6" w:rsidRPr="00092CE8">
        <w:rPr>
          <w:rFonts w:eastAsia="Calibri"/>
          <w:color w:val="767171" w:themeColor="background2" w:themeShade="80"/>
        </w:rPr>
        <w:t>Sažetak prioriteta za plansku godinu, kao i procjene mogućih problema i rizika u realizaciji</w:t>
      </w:r>
      <w:bookmarkEnd w:id="8"/>
      <w:r w:rsidR="00850FF6" w:rsidRPr="00092CE8">
        <w:rPr>
          <w:rFonts w:eastAsia="Calibri"/>
          <w:color w:val="767171" w:themeColor="background2" w:themeShade="80"/>
        </w:rPr>
        <w:t xml:space="preserve"> </w:t>
      </w:r>
    </w:p>
    <w:p w14:paraId="4DC0C8B3" w14:textId="77777777" w:rsidR="00C36415" w:rsidRDefault="00C36415" w:rsidP="004B6F87">
      <w:pPr>
        <w:spacing w:line="276" w:lineRule="auto"/>
        <w:ind w:left="0"/>
        <w:rPr>
          <w:rFonts w:ascii="Arial" w:hAnsi="Arial" w:cs="Arial"/>
          <w:w w:val="95"/>
          <w:sz w:val="24"/>
          <w:szCs w:val="24"/>
          <w:lang w:val="hr-HR"/>
        </w:rPr>
      </w:pPr>
    </w:p>
    <w:p w14:paraId="452249A4" w14:textId="46E61DF1" w:rsidR="003F547E" w:rsidRPr="00EB168A" w:rsidRDefault="003F547E" w:rsidP="00BD07AC">
      <w:pPr>
        <w:rPr>
          <w:rFonts w:ascii="Arial" w:hAnsi="Arial" w:cs="Arial"/>
          <w:b/>
          <w:sz w:val="24"/>
          <w:szCs w:val="24"/>
        </w:rPr>
      </w:pPr>
      <w:r w:rsidRPr="00EB168A">
        <w:rPr>
          <w:rFonts w:ascii="Arial" w:hAnsi="Arial" w:cs="Arial"/>
          <w:b/>
          <w:sz w:val="24"/>
          <w:szCs w:val="24"/>
        </w:rPr>
        <w:t>Strateški cilj</w:t>
      </w:r>
      <w:r w:rsidR="002B6CE3" w:rsidRPr="00EB168A">
        <w:rPr>
          <w:rFonts w:ascii="Arial" w:hAnsi="Arial" w:cs="Arial"/>
          <w:b/>
          <w:sz w:val="24"/>
          <w:szCs w:val="24"/>
        </w:rPr>
        <w:t xml:space="preserve"> </w:t>
      </w:r>
      <w:r w:rsidRPr="00EB168A">
        <w:rPr>
          <w:rFonts w:ascii="Arial" w:hAnsi="Arial" w:cs="Arial"/>
          <w:b/>
          <w:sz w:val="24"/>
          <w:szCs w:val="24"/>
        </w:rPr>
        <w:t>1</w:t>
      </w:r>
      <w:r w:rsidRPr="00BD07AC">
        <w:rPr>
          <w:rFonts w:ascii="Arial" w:hAnsi="Arial" w:cs="Arial"/>
          <w:sz w:val="24"/>
          <w:szCs w:val="24"/>
        </w:rPr>
        <w:t>:</w:t>
      </w:r>
      <w:r w:rsidR="002B6CE3" w:rsidRPr="00BD07AC">
        <w:rPr>
          <w:rFonts w:ascii="Arial" w:hAnsi="Arial" w:cs="Arial"/>
          <w:sz w:val="24"/>
          <w:szCs w:val="24"/>
        </w:rPr>
        <w:t xml:space="preserve"> </w:t>
      </w:r>
      <w:r w:rsidRPr="00BD07AC">
        <w:rPr>
          <w:rFonts w:ascii="Arial" w:hAnsi="Arial" w:cs="Arial"/>
          <w:sz w:val="24"/>
          <w:szCs w:val="24"/>
        </w:rPr>
        <w:t xml:space="preserve">- </w:t>
      </w:r>
      <w:r w:rsidRPr="00EB168A">
        <w:rPr>
          <w:rFonts w:ascii="Arial" w:hAnsi="Arial" w:cs="Arial"/>
          <w:b/>
          <w:sz w:val="24"/>
          <w:szCs w:val="24"/>
        </w:rPr>
        <w:t>Povećati učinkovitost u rješavanju predmeta ratnih zločina, sa trogodišnjim ciljevima: smanjenje broja neriješenih predmeta ratnih zločina i smanjenje duljine trajanja predmeta ratnih zločina-</w:t>
      </w:r>
    </w:p>
    <w:p w14:paraId="6A35750F" w14:textId="3689E32D" w:rsidR="003F547E" w:rsidRPr="00EB168A" w:rsidRDefault="003F547E" w:rsidP="00BD07AC">
      <w:pPr>
        <w:rPr>
          <w:rFonts w:ascii="Arial" w:hAnsi="Arial" w:cs="Arial"/>
          <w:b/>
          <w:sz w:val="24"/>
          <w:szCs w:val="24"/>
        </w:rPr>
      </w:pPr>
    </w:p>
    <w:p w14:paraId="62DCF69C" w14:textId="2CD16323" w:rsidR="003F547E" w:rsidRPr="00BD07AC" w:rsidRDefault="003F547E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U planskoj godini, odnosno 2022. godini, ovaj sud kao prioritet ima rješavanje neriješenih predmeta ratnih zločina, koji su ostali neriješeni na kraju 2021. godine. Radi se o ukupno 4 predmeta i to 2 prvostupanjska kaznena predmeta „K“ i </w:t>
      </w:r>
      <w:r w:rsidR="00EA372B" w:rsidRPr="00BD07AC">
        <w:rPr>
          <w:rFonts w:ascii="Arial" w:hAnsi="Arial" w:cs="Arial"/>
          <w:sz w:val="24"/>
          <w:szCs w:val="24"/>
        </w:rPr>
        <w:t xml:space="preserve"> </w:t>
      </w:r>
      <w:r w:rsidRPr="00BD07AC">
        <w:rPr>
          <w:rFonts w:ascii="Arial" w:hAnsi="Arial" w:cs="Arial"/>
          <w:sz w:val="24"/>
          <w:szCs w:val="24"/>
        </w:rPr>
        <w:t>2 predmeta  prethodnog saslušanja „Kps“. Ovaj sud planira u planskoj godini riješiti oba prvostupanjska predmeta ratnih zločina</w:t>
      </w:r>
      <w:r w:rsidR="008D1226">
        <w:rPr>
          <w:rFonts w:ascii="Arial" w:hAnsi="Arial" w:cs="Arial"/>
          <w:sz w:val="24"/>
          <w:szCs w:val="24"/>
        </w:rPr>
        <w:t xml:space="preserve"> ”</w:t>
      </w:r>
      <w:r w:rsidRPr="00BD07AC">
        <w:rPr>
          <w:rFonts w:ascii="Arial" w:hAnsi="Arial" w:cs="Arial"/>
          <w:sz w:val="24"/>
          <w:szCs w:val="24"/>
        </w:rPr>
        <w:t>K</w:t>
      </w:r>
      <w:r w:rsidR="008D1226">
        <w:rPr>
          <w:rFonts w:ascii="Arial" w:hAnsi="Arial" w:cs="Arial"/>
          <w:sz w:val="24"/>
          <w:szCs w:val="24"/>
        </w:rPr>
        <w:t>”</w:t>
      </w:r>
      <w:r w:rsidRPr="00BD07AC">
        <w:rPr>
          <w:rFonts w:ascii="Arial" w:hAnsi="Arial" w:cs="Arial"/>
          <w:sz w:val="24"/>
          <w:szCs w:val="24"/>
        </w:rPr>
        <w:t xml:space="preserve">. Naime, 1 ovakav predmet je u fazi presuđenja, </w:t>
      </w:r>
      <w:r w:rsidR="00EA372B" w:rsidRPr="00BD07AC">
        <w:rPr>
          <w:rFonts w:ascii="Arial" w:hAnsi="Arial" w:cs="Arial"/>
          <w:sz w:val="24"/>
          <w:szCs w:val="24"/>
        </w:rPr>
        <w:t xml:space="preserve">tako da se planira njegov završetak u veljači/ februaru 2022. godine. Drugi </w:t>
      </w:r>
      <w:r w:rsidR="008D1226">
        <w:rPr>
          <w:rFonts w:ascii="Arial" w:hAnsi="Arial" w:cs="Arial"/>
          <w:sz w:val="24"/>
          <w:szCs w:val="24"/>
        </w:rPr>
        <w:t>“</w:t>
      </w:r>
      <w:r w:rsidR="00EA372B" w:rsidRPr="00BD07AC">
        <w:rPr>
          <w:rFonts w:ascii="Arial" w:hAnsi="Arial" w:cs="Arial"/>
          <w:sz w:val="24"/>
          <w:szCs w:val="24"/>
        </w:rPr>
        <w:t>K</w:t>
      </w:r>
      <w:r w:rsidR="008D1226">
        <w:rPr>
          <w:rFonts w:ascii="Arial" w:hAnsi="Arial" w:cs="Arial"/>
          <w:sz w:val="24"/>
          <w:szCs w:val="24"/>
        </w:rPr>
        <w:t>”</w:t>
      </w:r>
      <w:r w:rsidR="00EA372B" w:rsidRPr="00BD07AC">
        <w:rPr>
          <w:rFonts w:ascii="Arial" w:hAnsi="Arial" w:cs="Arial"/>
          <w:sz w:val="24"/>
          <w:szCs w:val="24"/>
        </w:rPr>
        <w:t xml:space="preserve"> predmet se planira riješiti u prvoj polovini 2022. godine, s obzirom da se svjedok nalazi u inozemstvu pa se čeka njegov dolazak pred sud u proljeće 2022. godine.</w:t>
      </w:r>
    </w:p>
    <w:p w14:paraId="33BC58CC" w14:textId="4298E3ED" w:rsidR="00EA372B" w:rsidRPr="00BD07AC" w:rsidRDefault="00EA372B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Što se tiče 2 neriješena predmeta ratnih zločina u </w:t>
      </w:r>
      <w:r w:rsidR="008D1226">
        <w:rPr>
          <w:rFonts w:ascii="Arial" w:hAnsi="Arial" w:cs="Arial"/>
          <w:sz w:val="24"/>
          <w:szCs w:val="24"/>
        </w:rPr>
        <w:t>“</w:t>
      </w:r>
      <w:r w:rsidRPr="00BD07AC">
        <w:rPr>
          <w:rFonts w:ascii="Arial" w:hAnsi="Arial" w:cs="Arial"/>
          <w:sz w:val="24"/>
          <w:szCs w:val="24"/>
        </w:rPr>
        <w:t>Kps</w:t>
      </w:r>
      <w:r w:rsidR="008D1226">
        <w:rPr>
          <w:rFonts w:ascii="Arial" w:hAnsi="Arial" w:cs="Arial"/>
          <w:sz w:val="24"/>
          <w:szCs w:val="24"/>
        </w:rPr>
        <w:t>”</w:t>
      </w:r>
      <w:r w:rsidRPr="00BD07AC">
        <w:rPr>
          <w:rFonts w:ascii="Arial" w:hAnsi="Arial" w:cs="Arial"/>
          <w:sz w:val="24"/>
          <w:szCs w:val="24"/>
        </w:rPr>
        <w:t xml:space="preserve"> fazi ( potvrđiv</w:t>
      </w:r>
      <w:r w:rsidR="008D1226">
        <w:rPr>
          <w:rFonts w:ascii="Arial" w:hAnsi="Arial" w:cs="Arial"/>
          <w:sz w:val="24"/>
          <w:szCs w:val="24"/>
        </w:rPr>
        <w:t>anje optužnice i uzimanja izjave</w:t>
      </w:r>
      <w:r w:rsidRPr="00BD07AC">
        <w:rPr>
          <w:rFonts w:ascii="Arial" w:hAnsi="Arial" w:cs="Arial"/>
          <w:sz w:val="24"/>
          <w:szCs w:val="24"/>
        </w:rPr>
        <w:t xml:space="preserve"> o krivnji), u oba predmeta postoje određene zapreke za njihovo rješavanje. Naime, u 1 Kps predmetu postupak je prekinut na 2 godine i 6 mjeseci i to počev od 6. mjeseca 2021. godine, tako da je izvjesno da se navedeni predmet ne može riješiti u planskoj godini, jer  za vrijeme prekida postupka sud  ne može provoditi </w:t>
      </w:r>
      <w:r w:rsidR="00A60D32" w:rsidRPr="00BD07AC">
        <w:rPr>
          <w:rFonts w:ascii="Arial" w:hAnsi="Arial" w:cs="Arial"/>
          <w:sz w:val="24"/>
          <w:szCs w:val="24"/>
        </w:rPr>
        <w:t xml:space="preserve">niti jednu radnju u predmetu. </w:t>
      </w:r>
    </w:p>
    <w:p w14:paraId="45193251" w14:textId="51E924EA" w:rsidR="00A60D32" w:rsidRPr="00BD07AC" w:rsidRDefault="00A60D32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Sto se tiče drugog neriješenog </w:t>
      </w:r>
      <w:r w:rsidR="008D1226">
        <w:rPr>
          <w:rFonts w:ascii="Arial" w:hAnsi="Arial" w:cs="Arial"/>
          <w:sz w:val="24"/>
          <w:szCs w:val="24"/>
        </w:rPr>
        <w:t>“</w:t>
      </w:r>
      <w:r w:rsidRPr="00BD07AC">
        <w:rPr>
          <w:rFonts w:ascii="Arial" w:hAnsi="Arial" w:cs="Arial"/>
          <w:sz w:val="24"/>
          <w:szCs w:val="24"/>
        </w:rPr>
        <w:t>Kps</w:t>
      </w:r>
      <w:r w:rsidR="008D1226">
        <w:rPr>
          <w:rFonts w:ascii="Arial" w:hAnsi="Arial" w:cs="Arial"/>
          <w:sz w:val="24"/>
          <w:szCs w:val="24"/>
        </w:rPr>
        <w:t>”</w:t>
      </w:r>
      <w:r w:rsidRPr="00BD07AC">
        <w:rPr>
          <w:rFonts w:ascii="Arial" w:hAnsi="Arial" w:cs="Arial"/>
          <w:sz w:val="24"/>
          <w:szCs w:val="24"/>
        </w:rPr>
        <w:t xml:space="preserve"> predmeta, u tijeku je pružanje međunarodne pravne pomoći, odnosno uručivanje potvrđene optužnice optuženome koji se nalazi u inozemstvu- Republici Hrvatskoj, koja dostava još nije obavljena. U sljedećoj fazi ovoga predmeta optuženi mora biti pozvan pred ovaj sud radi izjašnjenja o krivnji, ali opet putem međunarodne pravne pomoći, koja inače dugo traje, tako da se ne može planirati rješavanje ovoga predmeta u planskoj godini, iako će sud poduzeti sve raspoložive mjere da se isti riješi u planskoj godini ( urgencije za međunarodnu pravnu pomoć).</w:t>
      </w:r>
    </w:p>
    <w:p w14:paraId="4AEDB9AF" w14:textId="6526D435" w:rsidR="00A60D32" w:rsidRPr="00BD07AC" w:rsidRDefault="00A60D32" w:rsidP="00EB168A">
      <w:pPr>
        <w:jc w:val="both"/>
        <w:rPr>
          <w:rFonts w:ascii="Arial" w:hAnsi="Arial" w:cs="Arial"/>
          <w:sz w:val="24"/>
          <w:szCs w:val="24"/>
        </w:rPr>
      </w:pPr>
    </w:p>
    <w:p w14:paraId="647B82F9" w14:textId="77777777" w:rsidR="001749CB" w:rsidRPr="00BD07AC" w:rsidRDefault="00A60D32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U svim ovim predmetima, sud odnosno zaduženi suci će nastojati da se predmeti što brže riješe, odnosno nastojati će se smanjiti duljina trajanja predmeta ratnih zloči</w:t>
      </w:r>
      <w:r w:rsidR="001749CB" w:rsidRPr="00BD07AC">
        <w:rPr>
          <w:rFonts w:ascii="Arial" w:hAnsi="Arial" w:cs="Arial"/>
          <w:sz w:val="24"/>
          <w:szCs w:val="24"/>
        </w:rPr>
        <w:t>na u sudu, iako to ovisi od niza</w:t>
      </w:r>
      <w:r w:rsidRPr="00BD07AC">
        <w:rPr>
          <w:rFonts w:ascii="Arial" w:hAnsi="Arial" w:cs="Arial"/>
          <w:sz w:val="24"/>
          <w:szCs w:val="24"/>
        </w:rPr>
        <w:t xml:space="preserve"> faktora </w:t>
      </w:r>
      <w:r w:rsidR="001749CB" w:rsidRPr="00BD07AC">
        <w:rPr>
          <w:rFonts w:ascii="Arial" w:hAnsi="Arial" w:cs="Arial"/>
          <w:sz w:val="24"/>
          <w:szCs w:val="24"/>
        </w:rPr>
        <w:t xml:space="preserve">koji su često </w:t>
      </w:r>
      <w:r w:rsidRPr="00BD07AC">
        <w:rPr>
          <w:rFonts w:ascii="Arial" w:hAnsi="Arial" w:cs="Arial"/>
          <w:sz w:val="24"/>
          <w:szCs w:val="24"/>
        </w:rPr>
        <w:t>izvan domene suca</w:t>
      </w:r>
      <w:r w:rsidR="001749CB" w:rsidRPr="00BD07AC">
        <w:rPr>
          <w:rFonts w:ascii="Arial" w:hAnsi="Arial" w:cs="Arial"/>
          <w:sz w:val="24"/>
          <w:szCs w:val="24"/>
        </w:rPr>
        <w:t xml:space="preserve"> ( npr. sudac ne može utjecati kada će se izvršiti međunarodna pravna pomoć). </w:t>
      </w:r>
    </w:p>
    <w:p w14:paraId="1DA7D71D" w14:textId="748434F7" w:rsidR="00A60D32" w:rsidRPr="00BD07AC" w:rsidRDefault="008D1226" w:rsidP="00EB16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svemu gore navedenom,</w:t>
      </w:r>
      <w:r w:rsidR="001749CB" w:rsidRPr="00BD07AC">
        <w:rPr>
          <w:rFonts w:ascii="Arial" w:hAnsi="Arial" w:cs="Arial"/>
          <w:sz w:val="24"/>
          <w:szCs w:val="24"/>
        </w:rPr>
        <w:t xml:space="preserve"> ogledaju se i moguće prepreke za realizaciju ovog strateškog cilja, a svakako sud ovim strateškim ciljem želi ostvariti cilj koji je zacrtan u Revidiranoj Državnoj strategiji za rješavanje </w:t>
      </w:r>
      <w:r w:rsidR="0055033E" w:rsidRPr="00BD07AC">
        <w:rPr>
          <w:rFonts w:ascii="Arial" w:hAnsi="Arial" w:cs="Arial"/>
          <w:sz w:val="24"/>
          <w:szCs w:val="24"/>
        </w:rPr>
        <w:t xml:space="preserve">predmeta </w:t>
      </w:r>
      <w:r w:rsidR="001749CB" w:rsidRPr="00BD07AC">
        <w:rPr>
          <w:rFonts w:ascii="Arial" w:hAnsi="Arial" w:cs="Arial"/>
          <w:sz w:val="24"/>
          <w:szCs w:val="24"/>
        </w:rPr>
        <w:t>ratnih zločina u sudovima. Naime, imajući u vidu rokove utvrđene Revidiranom državnom strategijom</w:t>
      </w:r>
      <w:r w:rsidR="0055033E" w:rsidRPr="00BD07AC">
        <w:rPr>
          <w:rFonts w:ascii="Arial" w:hAnsi="Arial" w:cs="Arial"/>
          <w:sz w:val="24"/>
          <w:szCs w:val="24"/>
        </w:rPr>
        <w:t xml:space="preserve"> ( riješiti ove predmete do kraja 2023. godine) </w:t>
      </w:r>
      <w:r w:rsidR="001749CB" w:rsidRPr="00BD07AC">
        <w:rPr>
          <w:rFonts w:ascii="Arial" w:hAnsi="Arial" w:cs="Arial"/>
          <w:sz w:val="24"/>
          <w:szCs w:val="24"/>
        </w:rPr>
        <w:t xml:space="preserve"> </w:t>
      </w:r>
      <w:r w:rsidR="0055033E" w:rsidRPr="00BD07AC">
        <w:rPr>
          <w:rFonts w:ascii="Arial" w:hAnsi="Arial" w:cs="Arial"/>
          <w:sz w:val="24"/>
          <w:szCs w:val="24"/>
        </w:rPr>
        <w:t>ovim predmetima sudovi moraju pristupiti  prioritetno što su i zaključci VSTV-a. Upravo zbog toga je ovaj sud i odredio kao strateški cilj povećanje  učinkovitosti u rješavanju predmeta ratnih zločina.</w:t>
      </w:r>
    </w:p>
    <w:p w14:paraId="06ECA1FD" w14:textId="3BEFE61A" w:rsidR="0055033E" w:rsidRPr="00BD07AC" w:rsidRDefault="0055033E" w:rsidP="00EB168A">
      <w:pPr>
        <w:jc w:val="both"/>
        <w:rPr>
          <w:rFonts w:ascii="Arial" w:hAnsi="Arial" w:cs="Arial"/>
          <w:sz w:val="24"/>
          <w:szCs w:val="24"/>
        </w:rPr>
      </w:pPr>
    </w:p>
    <w:p w14:paraId="7D5B4BDB" w14:textId="0F7C7710" w:rsidR="0055033E" w:rsidRPr="00BD07AC" w:rsidRDefault="0055033E" w:rsidP="00EB168A">
      <w:pPr>
        <w:jc w:val="both"/>
        <w:rPr>
          <w:rFonts w:ascii="Arial" w:hAnsi="Arial" w:cs="Arial"/>
          <w:sz w:val="24"/>
          <w:szCs w:val="24"/>
        </w:rPr>
      </w:pPr>
      <w:r w:rsidRPr="00EB168A">
        <w:rPr>
          <w:rFonts w:ascii="Arial" w:hAnsi="Arial" w:cs="Arial"/>
          <w:b/>
          <w:sz w:val="24"/>
          <w:szCs w:val="24"/>
        </w:rPr>
        <w:t>Strateški cilj 2: Povećati stupanj ujednačenosti sudske prakse unutar suda i u sudovima Kantona, sa trogodišnjim ciljem povećanja broja sjednica kolegija suda i broja sastanaka predsjednika sudova u Kantonu</w:t>
      </w:r>
      <w:r w:rsidRPr="00BD07AC">
        <w:rPr>
          <w:rFonts w:ascii="Arial" w:hAnsi="Arial" w:cs="Arial"/>
          <w:sz w:val="24"/>
          <w:szCs w:val="24"/>
        </w:rPr>
        <w:t>.</w:t>
      </w:r>
    </w:p>
    <w:p w14:paraId="34F05869" w14:textId="4DE94B87" w:rsidR="0055033E" w:rsidRPr="00BD07AC" w:rsidRDefault="0055033E" w:rsidP="00EB168A">
      <w:pPr>
        <w:jc w:val="both"/>
        <w:rPr>
          <w:rFonts w:ascii="Arial" w:hAnsi="Arial" w:cs="Arial"/>
          <w:sz w:val="24"/>
          <w:szCs w:val="24"/>
        </w:rPr>
      </w:pPr>
    </w:p>
    <w:p w14:paraId="0A0360C6" w14:textId="38A29294" w:rsidR="0055033E" w:rsidRPr="00BD07AC" w:rsidRDefault="00856938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I u planskoj 2022. godini, sud će poduzimati mjere na harmonizaciji sudske prakse unutar suda te  ovoga suda i Općinskog suda u Orašju. Ovaj sud je već u 2021. </w:t>
      </w:r>
      <w:r w:rsidRPr="00BD07AC">
        <w:rPr>
          <w:rFonts w:ascii="Arial" w:hAnsi="Arial" w:cs="Arial"/>
          <w:sz w:val="24"/>
          <w:szCs w:val="24"/>
        </w:rPr>
        <w:lastRenderedPageBreak/>
        <w:t xml:space="preserve">godini u tom smislu poduzeo mjere te na kolegiju sudaca zauzimao određene pravne stavove koji su proslijeđeni Općinskom sudu. </w:t>
      </w:r>
    </w:p>
    <w:p w14:paraId="76D5560C" w14:textId="7102BBD0" w:rsidR="00856938" w:rsidRPr="00BD07AC" w:rsidRDefault="00856938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Ovaj sud nema sudskih odjela na kojima bi se zauzimali pravni stavovi u svezi spornih pitanja, pa se to vrši na kolegiju sudaca. U tom smislu i u planskoj godini će se povećati  broj kolegija na kojima će se zauzimati ujednačeni pravni stavovi , pogotovo što suci ovoga suda po određenim referatima ( upravni sporovi ) rade kao suci pojedinci, pa je moguće da po istim pravnim pitanjima donose različite presude, što bi moglo izazvati nesigurnost kod stranaka. Stoga je ujednačenost sudske prakse u okviru suda vrlo bitna za ostvarenje načela vladavine prava i jednak pristup pravdi svih građana.</w:t>
      </w:r>
    </w:p>
    <w:p w14:paraId="10EC0A49" w14:textId="4DC4E3E8" w:rsidR="00856938" w:rsidRPr="00BD07AC" w:rsidRDefault="00856938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Također, </w:t>
      </w:r>
      <w:r w:rsidR="00E55878" w:rsidRPr="00BD07AC">
        <w:rPr>
          <w:rFonts w:ascii="Arial" w:hAnsi="Arial" w:cs="Arial"/>
          <w:sz w:val="24"/>
          <w:szCs w:val="24"/>
        </w:rPr>
        <w:t>v</w:t>
      </w:r>
      <w:r w:rsidRPr="00BD07AC">
        <w:rPr>
          <w:rFonts w:ascii="Arial" w:hAnsi="Arial" w:cs="Arial"/>
          <w:sz w:val="24"/>
          <w:szCs w:val="24"/>
        </w:rPr>
        <w:t xml:space="preserve">rlo je bitna ujednačenost sudske prakse između ovoga suda i Općinskog suda Orašje, pa će ovaj sud odnosno suci ovoga suda zajedno sa sucima </w:t>
      </w:r>
      <w:r w:rsidR="00E55878" w:rsidRPr="00BD07AC">
        <w:rPr>
          <w:rFonts w:ascii="Arial" w:hAnsi="Arial" w:cs="Arial"/>
          <w:sz w:val="24"/>
          <w:szCs w:val="24"/>
        </w:rPr>
        <w:t>odnosno predsjednicima odjela Općinskog suda u Orašju i u 2022. godini održavati zajedničke sastanke radi ujednačavanja sudske prakse. U tom smislu ovaj sud će nastojati izdati i određene zajedničke  smjernice , naputke i dr.</w:t>
      </w:r>
    </w:p>
    <w:p w14:paraId="15680E4E" w14:textId="11EC01F3" w:rsidR="00E55878" w:rsidRPr="00BD07AC" w:rsidRDefault="00E55878" w:rsidP="00EB168A">
      <w:pPr>
        <w:jc w:val="both"/>
        <w:rPr>
          <w:rFonts w:ascii="Arial" w:hAnsi="Arial" w:cs="Arial"/>
          <w:sz w:val="24"/>
          <w:szCs w:val="24"/>
        </w:rPr>
      </w:pPr>
    </w:p>
    <w:p w14:paraId="26138552" w14:textId="7BEBB691" w:rsidR="00E55878" w:rsidRPr="00BD07AC" w:rsidRDefault="00E55878" w:rsidP="00EB168A">
      <w:pPr>
        <w:jc w:val="both"/>
        <w:rPr>
          <w:rFonts w:ascii="Arial" w:hAnsi="Arial" w:cs="Arial"/>
          <w:sz w:val="24"/>
          <w:szCs w:val="24"/>
        </w:rPr>
      </w:pPr>
      <w:r w:rsidRPr="00EB168A">
        <w:rPr>
          <w:rFonts w:ascii="Arial" w:hAnsi="Arial" w:cs="Arial"/>
          <w:b/>
          <w:sz w:val="24"/>
          <w:szCs w:val="24"/>
        </w:rPr>
        <w:t>Strateški cilj 3: Unapređenje transparentnosti i dostupnosti informacija o radu suda široj javnosti, sa utvrđenim trogodišnjim ciljevima</w:t>
      </w:r>
      <w:r w:rsidRPr="00BD07AC">
        <w:rPr>
          <w:rFonts w:ascii="Arial" w:hAnsi="Arial" w:cs="Arial"/>
          <w:sz w:val="24"/>
          <w:szCs w:val="24"/>
        </w:rPr>
        <w:t>-</w:t>
      </w:r>
    </w:p>
    <w:p w14:paraId="1CC7D2E3" w14:textId="37AE3992" w:rsidR="00E55878" w:rsidRPr="00BD07AC" w:rsidRDefault="00E55878" w:rsidP="00EB168A">
      <w:pPr>
        <w:jc w:val="both"/>
        <w:rPr>
          <w:rFonts w:ascii="Arial" w:hAnsi="Arial" w:cs="Arial"/>
          <w:sz w:val="24"/>
          <w:szCs w:val="24"/>
        </w:rPr>
      </w:pPr>
    </w:p>
    <w:p w14:paraId="31E362EB" w14:textId="7B9DDD76" w:rsidR="00E55878" w:rsidRPr="00BD07AC" w:rsidRDefault="00E55878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Ovaj strateški cilj je preuzet iz Strateškog plana VSTV-a za period 2014. - 2018. godine, pod nazivom „Unaprijediti otvorenost i dostupnost informacija o radu pravosudnih institucija u BIH stručnoj i široj javnosti“. </w:t>
      </w:r>
    </w:p>
    <w:p w14:paraId="7245FC6A" w14:textId="74C2F757" w:rsidR="00E55878" w:rsidRPr="00BD07AC" w:rsidRDefault="00E55878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Ovaj sud će kroz svoje aktivnosti i u 2022. godini </w:t>
      </w:r>
      <w:r w:rsidR="003A0BDF" w:rsidRPr="00BD07AC">
        <w:rPr>
          <w:rFonts w:ascii="Arial" w:hAnsi="Arial" w:cs="Arial"/>
          <w:sz w:val="24"/>
          <w:szCs w:val="24"/>
        </w:rPr>
        <w:t xml:space="preserve">doprinijeti realizaciji ovog strateškog cilja kroz svoje trogodišnje ciljeve. </w:t>
      </w:r>
    </w:p>
    <w:p w14:paraId="7697AC3A" w14:textId="380AD504" w:rsidR="003A0BDF" w:rsidRPr="00BD07AC" w:rsidRDefault="003A0BDF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Što se tiče trogodišnjeg cilja:  Objavljivanje statističkih podataka o radu suda na službenoj WEB stranici suda, ovaj su</w:t>
      </w:r>
      <w:r w:rsidR="0066172D">
        <w:rPr>
          <w:rFonts w:ascii="Arial" w:hAnsi="Arial" w:cs="Arial"/>
          <w:sz w:val="24"/>
          <w:szCs w:val="24"/>
        </w:rPr>
        <w:t>d će i u planskoj godini svakih 6 mjeseci</w:t>
      </w:r>
      <w:r w:rsidRPr="00BD07AC">
        <w:rPr>
          <w:rFonts w:ascii="Arial" w:hAnsi="Arial" w:cs="Arial"/>
          <w:sz w:val="24"/>
          <w:szCs w:val="24"/>
        </w:rPr>
        <w:t xml:space="preserve"> objavljivati s</w:t>
      </w:r>
      <w:r w:rsidR="0066172D">
        <w:rPr>
          <w:rFonts w:ascii="Arial" w:hAnsi="Arial" w:cs="Arial"/>
          <w:sz w:val="24"/>
          <w:szCs w:val="24"/>
        </w:rPr>
        <w:t>tatističke podatke o radu suda a kvartalno o</w:t>
      </w:r>
      <w:r w:rsidRPr="00BD07AC">
        <w:rPr>
          <w:rFonts w:ascii="Arial" w:hAnsi="Arial" w:cs="Arial"/>
          <w:sz w:val="24"/>
          <w:szCs w:val="24"/>
        </w:rPr>
        <w:t xml:space="preserve"> realizaciji kvartalnih planova rješavanja predmeta u sudu. Također će objavljivati i godišnje rezultate rada suda kao i godišnju realizaciju planova rješavanja predmeta.</w:t>
      </w:r>
    </w:p>
    <w:p w14:paraId="2029F220" w14:textId="1962DF8A" w:rsidR="003A0BDF" w:rsidRPr="00BD07AC" w:rsidRDefault="003A0BDF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U odnosu na trogodišnji cilj: Objavljivanje saopćenja za medije u vidu konferencija, izjava ili pisanog izvještavanja, ovaj sud će u planskoj godini povećati broj takvih izvještavanja, što je do sada bilo u manjoj mjeri izraženo. U tom smislu zadužit će se stručni suradnik koji će brzo biti primljen u ovaj sud da redovno sačinjava takve izvještaje za medije.</w:t>
      </w:r>
    </w:p>
    <w:p w14:paraId="01267EC3" w14:textId="59CAF65B" w:rsidR="003A0BDF" w:rsidRPr="00BD07AC" w:rsidRDefault="003A0BDF" w:rsidP="00EB168A">
      <w:pPr>
        <w:jc w:val="both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Što se tiče trogodišnjeg cilja: Objavljivanje sudskih odluka u kaznenim predmetima od značaja za javnost </w:t>
      </w:r>
      <w:r w:rsidR="00B75BD6" w:rsidRPr="00BD07AC">
        <w:rPr>
          <w:rFonts w:ascii="Arial" w:hAnsi="Arial" w:cs="Arial"/>
          <w:sz w:val="24"/>
          <w:szCs w:val="24"/>
        </w:rPr>
        <w:t xml:space="preserve"> na službenoj WEB stranici suda, ovaj sud će i u planskoj 2022. godini što je moguće više objavljivati kaznene presude na web stranici suda ( iako je tu sud limitiran jer ima mali broj kaznenih predmeta u radu), kako bi se javnost upoznala sa istim. Pored kaznenih presuda, ovaj sud će objavljivati i neke građanske odnosno upravne odluke ukoliko budu značajne za upoznavanje šire javnosti.</w:t>
      </w:r>
    </w:p>
    <w:p w14:paraId="6723018F" w14:textId="77777777" w:rsidR="00E55878" w:rsidRDefault="00E55878" w:rsidP="00EB168A">
      <w:pPr>
        <w:spacing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p w14:paraId="75CA0EB8" w14:textId="53D59E2F" w:rsidR="00A15EC6" w:rsidRPr="009336F9" w:rsidRDefault="00A15EC6" w:rsidP="00EB168A">
      <w:pPr>
        <w:spacing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  <w:r w:rsidRPr="009336F9">
        <w:rPr>
          <w:rFonts w:ascii="Arial" w:eastAsia="Calibri" w:hAnsi="Arial" w:cs="Arial"/>
          <w:w w:val="95"/>
          <w:sz w:val="24"/>
          <w:szCs w:val="24"/>
          <w:lang w:val="hr-HR"/>
        </w:rPr>
        <w:br w:type="page"/>
      </w:r>
    </w:p>
    <w:p w14:paraId="63A3AA18" w14:textId="5EB85259" w:rsidR="00850FF6" w:rsidRPr="00092CE8" w:rsidRDefault="004C3B38" w:rsidP="00EB168A">
      <w:pPr>
        <w:pStyle w:val="Heading1"/>
        <w:jc w:val="both"/>
        <w:rPr>
          <w:rFonts w:eastAsia="Calibri"/>
          <w:color w:val="767171" w:themeColor="background2" w:themeShade="80"/>
        </w:rPr>
      </w:pPr>
      <w:bookmarkStart w:id="9" w:name="_Toc91766455"/>
      <w:r w:rsidRPr="00092CE8">
        <w:rPr>
          <w:color w:val="767171" w:themeColor="background2" w:themeShade="80"/>
        </w:rPr>
        <w:lastRenderedPageBreak/>
        <w:t>5</w:t>
      </w:r>
      <w:r w:rsidR="0031411E" w:rsidRPr="00092CE8">
        <w:rPr>
          <w:color w:val="767171" w:themeColor="background2" w:themeShade="80"/>
        </w:rPr>
        <w:t>)</w:t>
      </w:r>
      <w:r w:rsidR="0031411E" w:rsidRPr="00092CE8">
        <w:rPr>
          <w:color w:val="767171" w:themeColor="background2" w:themeShade="80"/>
        </w:rPr>
        <w:tab/>
      </w:r>
      <w:r w:rsidR="00850FF6" w:rsidRPr="00092CE8">
        <w:rPr>
          <w:rFonts w:eastAsia="Calibri"/>
          <w:color w:val="767171" w:themeColor="background2" w:themeShade="80"/>
        </w:rPr>
        <w:t>Analiza unut</w:t>
      </w:r>
      <w:r w:rsidR="0031411E" w:rsidRPr="00092CE8">
        <w:rPr>
          <w:rFonts w:eastAsia="Calibri"/>
          <w:color w:val="767171" w:themeColor="background2" w:themeShade="80"/>
        </w:rPr>
        <w:t>a</w:t>
      </w:r>
      <w:r w:rsidR="00850FF6" w:rsidRPr="00092CE8">
        <w:rPr>
          <w:rFonts w:eastAsia="Calibri"/>
          <w:color w:val="767171" w:themeColor="background2" w:themeShade="80"/>
        </w:rPr>
        <w:t>rnjeg i vanjskog okruženja u kojem radi sud</w:t>
      </w:r>
      <w:bookmarkEnd w:id="9"/>
    </w:p>
    <w:p w14:paraId="18C1414C" w14:textId="5DEA0295" w:rsidR="00850FF6" w:rsidRDefault="00850FF6" w:rsidP="00EB168A">
      <w:pPr>
        <w:pStyle w:val="ListParagraph"/>
        <w:shd w:val="clear" w:color="auto" w:fill="FFFFFF"/>
        <w:spacing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p w14:paraId="4E5461AF" w14:textId="0A6C3510" w:rsidR="00CD0437" w:rsidRPr="00CD0437" w:rsidRDefault="00CD0437" w:rsidP="00EB168A">
      <w:pPr>
        <w:spacing w:after="19" w:line="259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CD0437">
        <w:rPr>
          <w:rFonts w:ascii="Arial" w:hAnsi="Arial" w:cs="Arial"/>
          <w:sz w:val="24"/>
          <w:szCs w:val="24"/>
          <w:lang w:val="hr-HR"/>
        </w:rPr>
        <w:t xml:space="preserve">Ova analiza - SWOT analiza  identificira i analizira četiri aspekta, a to su : Snage, Slabosti, Prilike i Prijetnje. Promatranjem vlastitih snaga i slabosti u kombinaciji s prilikama i prijetnjama iz okruženja dolazimo do strateških saznanja kako bismo mogli poduzeti pravilne mjere i aktivnosti za postizanje željenih i drugih ciljeva. </w:t>
      </w:r>
    </w:p>
    <w:p w14:paraId="1F429D52" w14:textId="17D6ECA1" w:rsidR="0053565B" w:rsidRDefault="0053565B" w:rsidP="00EB168A">
      <w:pPr>
        <w:shd w:val="clear" w:color="auto" w:fill="FFFFFF"/>
        <w:spacing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p w14:paraId="2B40894C" w14:textId="77777777" w:rsidR="00CD0437" w:rsidRPr="009336F9" w:rsidRDefault="00CD0437" w:rsidP="00EB168A">
      <w:pPr>
        <w:shd w:val="clear" w:color="auto" w:fill="FFFFFF"/>
        <w:spacing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1E0" w:firstRow="1" w:lastRow="1" w:firstColumn="1" w:lastColumn="1" w:noHBand="0" w:noVBand="0"/>
      </w:tblPr>
      <w:tblGrid>
        <w:gridCol w:w="744"/>
        <w:gridCol w:w="4159"/>
        <w:gridCol w:w="4159"/>
      </w:tblGrid>
      <w:tr w:rsidR="008E4C14" w:rsidRPr="009336F9" w14:paraId="3A64C52D" w14:textId="77777777" w:rsidTr="00C80EA6">
        <w:trPr>
          <w:trHeight w:val="670"/>
        </w:trPr>
        <w:tc>
          <w:tcPr>
            <w:tcW w:w="410" w:type="pct"/>
            <w:vMerge w:val="restart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14:paraId="25C7B591" w14:textId="44D4818D" w:rsidR="008E4C14" w:rsidRPr="009336F9" w:rsidRDefault="008E4C14" w:rsidP="00EB168A">
            <w:pPr>
              <w:ind w:left="0"/>
              <w:jc w:val="both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 xml:space="preserve">UNUTARNJI </w:t>
            </w:r>
            <w:r w:rsidR="00C80EA6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FAKTORI/</w:t>
            </w:r>
            <w:r w:rsidRPr="009336F9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ČIMBENICI</w:t>
            </w:r>
          </w:p>
        </w:tc>
        <w:tc>
          <w:tcPr>
            <w:tcW w:w="2295" w:type="pct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76B53A2C" w14:textId="1A145C96" w:rsidR="008E4C14" w:rsidRPr="009336F9" w:rsidRDefault="008E4C14" w:rsidP="00EB168A">
            <w:pPr>
              <w:ind w:left="0"/>
              <w:jc w:val="both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SNAGE</w:t>
            </w:r>
            <w:r w:rsidR="004B6F87"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 xml:space="preserve"> (STRENGTHS)</w:t>
            </w:r>
          </w:p>
        </w:tc>
        <w:tc>
          <w:tcPr>
            <w:tcW w:w="2295" w:type="pct"/>
            <w:shd w:val="clear" w:color="auto" w:fill="0070C0"/>
            <w:vAlign w:val="center"/>
          </w:tcPr>
          <w:p w14:paraId="798D3CDC" w14:textId="6E0DB1FA" w:rsidR="008E4C14" w:rsidRPr="009336F9" w:rsidRDefault="008E4C14" w:rsidP="00EB168A">
            <w:pPr>
              <w:ind w:left="0"/>
              <w:jc w:val="both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SLABOSTI</w:t>
            </w:r>
            <w:r w:rsidR="009336F9"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 xml:space="preserve"> (WEAKNESSES)</w:t>
            </w:r>
          </w:p>
        </w:tc>
      </w:tr>
      <w:tr w:rsidR="008E4C14" w:rsidRPr="009336F9" w14:paraId="22994C57" w14:textId="77777777" w:rsidTr="00C80EA6">
        <w:trPr>
          <w:trHeight w:val="1670"/>
        </w:trPr>
        <w:tc>
          <w:tcPr>
            <w:tcW w:w="410" w:type="pct"/>
            <w:vMerge/>
            <w:tcBorders>
              <w:right w:val="single" w:sz="4" w:space="0" w:color="auto"/>
            </w:tcBorders>
            <w:shd w:val="clear" w:color="auto" w:fill="FFC000"/>
            <w:textDirection w:val="btLr"/>
          </w:tcPr>
          <w:p w14:paraId="46ED0F90" w14:textId="782745B6" w:rsidR="008E4C14" w:rsidRPr="009336F9" w:rsidRDefault="008E4C14" w:rsidP="00EB168A">
            <w:pPr>
              <w:numPr>
                <w:ilvl w:val="0"/>
                <w:numId w:val="5"/>
              </w:numPr>
              <w:spacing w:after="60"/>
              <w:ind w:left="0" w:hanging="357"/>
              <w:jc w:val="both"/>
              <w:rPr>
                <w:rFonts w:ascii="Arial" w:eastAsia="Calibri" w:hAnsi="Arial" w:cs="Arial"/>
                <w:noProof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2295" w:type="pct"/>
            <w:tcBorders>
              <w:left w:val="single" w:sz="4" w:space="0" w:color="auto"/>
            </w:tcBorders>
            <w:shd w:val="clear" w:color="auto" w:fill="FFFFFF"/>
          </w:tcPr>
          <w:p w14:paraId="40775786" w14:textId="77777777" w:rsidR="00CD0437" w:rsidRPr="00CD0437" w:rsidRDefault="00CD0437" w:rsidP="00EB16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Stručno i profesionalno osoblje suda,</w:t>
            </w:r>
          </w:p>
          <w:p w14:paraId="3D658DB7" w14:textId="77777777" w:rsidR="00CD0437" w:rsidRPr="00CD0437" w:rsidRDefault="00CD0437" w:rsidP="00EB16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Dobra materijalno-tehnička opremljenost suda,</w:t>
            </w:r>
          </w:p>
          <w:p w14:paraId="7BFA7DBE" w14:textId="77777777" w:rsidR="00CD0437" w:rsidRPr="00CD0437" w:rsidRDefault="00CD0437" w:rsidP="00EB16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Dostatno financiranje suda od strane Vlade Posavskog kantona,</w:t>
            </w:r>
          </w:p>
          <w:p w14:paraId="53B6E12D" w14:textId="77777777" w:rsidR="00CD0437" w:rsidRPr="00CD0437" w:rsidRDefault="00CD0437" w:rsidP="00EB16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Redovna isplata plaća i doprinosa za sve uposlenike suda,</w:t>
            </w:r>
          </w:p>
          <w:p w14:paraId="29E95EA1" w14:textId="77777777" w:rsidR="00CD0437" w:rsidRPr="00CD0437" w:rsidRDefault="00CD0437" w:rsidP="00EB16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Stalna edukacija sudaca i pripravnika-volontera,</w:t>
            </w:r>
          </w:p>
          <w:p w14:paraId="78E013D0" w14:textId="77777777" w:rsidR="00CD0437" w:rsidRPr="00CD0437" w:rsidRDefault="00CD0437" w:rsidP="00EB16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Dobra kvaliteta rada suda (sudskih odluka),</w:t>
            </w:r>
          </w:p>
          <w:p w14:paraId="4764FDC9" w14:textId="77777777" w:rsidR="00CD0437" w:rsidRPr="00CD0437" w:rsidRDefault="00CD0437" w:rsidP="00EB16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Poštivanje predvidivih i optimalnih rokova u predmetima, bez zastara postupaka.</w:t>
            </w:r>
          </w:p>
          <w:p w14:paraId="7105E528" w14:textId="104264B9" w:rsidR="008E4C14" w:rsidRPr="00741F1F" w:rsidRDefault="008E4C14" w:rsidP="00EB168A">
            <w:pPr>
              <w:pStyle w:val="ListParagraph"/>
              <w:spacing w:after="60"/>
              <w:ind w:left="360"/>
              <w:jc w:val="both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  <w:tc>
          <w:tcPr>
            <w:tcW w:w="2295" w:type="pct"/>
            <w:shd w:val="clear" w:color="auto" w:fill="FFFFFF"/>
          </w:tcPr>
          <w:p w14:paraId="7E541D55" w14:textId="6650F22B" w:rsidR="00CD0437" w:rsidRPr="00CD0437" w:rsidRDefault="00CD0437" w:rsidP="00EB168A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Veći broj</w:t>
            </w: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 xml:space="preserve"> neriješenih predmeta ratnih zločina, zbog sporijeg odvijanja međunarodne-pravne pomoći,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te nedostatka potrebnog broja sudaca</w:t>
            </w:r>
            <w:r w:rsidR="00BB46EB">
              <w:rPr>
                <w:rFonts w:ascii="Arial" w:hAnsi="Arial" w:cs="Arial"/>
                <w:sz w:val="18"/>
                <w:szCs w:val="18"/>
                <w:lang w:val="hr-HR"/>
              </w:rPr>
              <w:t>( jer je 1 sudac suspendiran).</w:t>
            </w:r>
          </w:p>
          <w:p w14:paraId="7BF6342C" w14:textId="77777777" w:rsidR="00CD0437" w:rsidRPr="00CD0437" w:rsidRDefault="00CD0437" w:rsidP="00EB168A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Kazneni predmeti se češće delegiraju u drugi kantonalni sud, zbog malog broja sudaca ovoga suda,</w:t>
            </w:r>
          </w:p>
          <w:p w14:paraId="2F3C6436" w14:textId="7236366C" w:rsidR="00CD0437" w:rsidRPr="00CD0437" w:rsidRDefault="00CD0437" w:rsidP="00EB168A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Nedostatak tehničke opreme u sudnici koja se odnosi na saslušanje svjedoka putem video-linka,</w:t>
            </w:r>
          </w:p>
          <w:p w14:paraId="3ADD3892" w14:textId="77777777" w:rsidR="00CD0437" w:rsidRPr="00CD0437" w:rsidRDefault="00CD0437" w:rsidP="00EB168A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Nedovoljna pro-aktivnost suda u objavama i informiranju javnosti o aktivnostima suda.</w:t>
            </w:r>
          </w:p>
          <w:p w14:paraId="53D0016B" w14:textId="77777777" w:rsidR="00CD0437" w:rsidRDefault="00CD0437" w:rsidP="00EB168A">
            <w:pPr>
              <w:jc w:val="both"/>
              <w:rPr>
                <w:sz w:val="18"/>
                <w:szCs w:val="18"/>
                <w:lang w:val="hr-HR"/>
              </w:rPr>
            </w:pPr>
          </w:p>
          <w:p w14:paraId="46C8DB7E" w14:textId="0870E292" w:rsidR="008E4C14" w:rsidRPr="00741F1F" w:rsidRDefault="008E4C14" w:rsidP="00EB168A">
            <w:pPr>
              <w:pStyle w:val="ListParagraph"/>
              <w:spacing w:after="60"/>
              <w:ind w:left="360"/>
              <w:jc w:val="both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</w:tr>
      <w:tr w:rsidR="008E4C14" w:rsidRPr="009336F9" w14:paraId="6CB88D54" w14:textId="77777777" w:rsidTr="00C80EA6">
        <w:trPr>
          <w:trHeight w:val="608"/>
        </w:trPr>
        <w:tc>
          <w:tcPr>
            <w:tcW w:w="410" w:type="pct"/>
            <w:vMerge w:val="restart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14:paraId="6E1257BB" w14:textId="68361083" w:rsidR="008E4C14" w:rsidRPr="009336F9" w:rsidRDefault="008E4C14" w:rsidP="004B6F87">
            <w:pPr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 xml:space="preserve">VANJSKI </w:t>
            </w:r>
            <w:r w:rsidR="00C80EA6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FAKTORI/</w:t>
            </w:r>
            <w:r w:rsidRPr="009336F9">
              <w:rPr>
                <w:rFonts w:ascii="Arial" w:eastAsia="Calibri" w:hAnsi="Arial" w:cs="Arial"/>
                <w:b/>
                <w:bCs/>
                <w:noProof/>
                <w:w w:val="95"/>
                <w:sz w:val="24"/>
                <w:szCs w:val="24"/>
                <w:lang w:val="hr-HR"/>
              </w:rPr>
              <w:t>ČIMBENICI</w:t>
            </w:r>
          </w:p>
        </w:tc>
        <w:tc>
          <w:tcPr>
            <w:tcW w:w="2295" w:type="pct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328D30C4" w14:textId="19863F5B" w:rsidR="008E4C14" w:rsidRPr="009336F9" w:rsidRDefault="008E4C14" w:rsidP="004B6F87">
            <w:pPr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PRILIKE</w:t>
            </w:r>
            <w:r w:rsidR="009336F9"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 xml:space="preserve"> (OPPORTUNITIES)</w:t>
            </w:r>
          </w:p>
        </w:tc>
        <w:tc>
          <w:tcPr>
            <w:tcW w:w="2295" w:type="pct"/>
            <w:shd w:val="clear" w:color="auto" w:fill="0070C0"/>
            <w:vAlign w:val="center"/>
          </w:tcPr>
          <w:p w14:paraId="50BC8EA1" w14:textId="5603B0B2" w:rsidR="008E4C14" w:rsidRPr="009336F9" w:rsidRDefault="008E4C14" w:rsidP="004B6F87">
            <w:pPr>
              <w:spacing w:after="120"/>
              <w:ind w:left="0"/>
              <w:jc w:val="center"/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</w:pPr>
            <w:r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>PRIJETNJE</w:t>
            </w:r>
            <w:r w:rsidR="009336F9" w:rsidRPr="009336F9">
              <w:rPr>
                <w:rFonts w:ascii="Arial" w:eastAsia="Calibri" w:hAnsi="Arial" w:cs="Arial"/>
                <w:b/>
                <w:bCs/>
                <w:noProof/>
                <w:color w:val="FFFFFF"/>
                <w:w w:val="95"/>
                <w:sz w:val="24"/>
                <w:szCs w:val="24"/>
                <w:lang w:val="hr-HR"/>
              </w:rPr>
              <w:t xml:space="preserve"> (THREATS)</w:t>
            </w:r>
          </w:p>
        </w:tc>
      </w:tr>
      <w:tr w:rsidR="008E4C14" w:rsidRPr="009336F9" w14:paraId="07DEE4F3" w14:textId="77777777" w:rsidTr="00C80EA6">
        <w:trPr>
          <w:trHeight w:val="1773"/>
        </w:trPr>
        <w:tc>
          <w:tcPr>
            <w:tcW w:w="410" w:type="pct"/>
            <w:vMerge/>
            <w:tcBorders>
              <w:right w:val="single" w:sz="4" w:space="0" w:color="auto"/>
            </w:tcBorders>
            <w:shd w:val="clear" w:color="auto" w:fill="92D050"/>
          </w:tcPr>
          <w:p w14:paraId="7F12BD5B" w14:textId="3563F064" w:rsidR="008E4C14" w:rsidRPr="009336F9" w:rsidRDefault="008E4C14" w:rsidP="004B6F87">
            <w:pPr>
              <w:numPr>
                <w:ilvl w:val="0"/>
                <w:numId w:val="7"/>
              </w:numPr>
              <w:spacing w:after="60"/>
              <w:ind w:left="0" w:hanging="357"/>
              <w:rPr>
                <w:rFonts w:ascii="Arial" w:eastAsia="Calibri" w:hAnsi="Arial" w:cs="Arial"/>
                <w:noProof/>
                <w:w w:val="95"/>
                <w:sz w:val="24"/>
                <w:szCs w:val="24"/>
                <w:lang w:val="hr-HR"/>
              </w:rPr>
            </w:pPr>
          </w:p>
        </w:tc>
        <w:tc>
          <w:tcPr>
            <w:tcW w:w="2295" w:type="pct"/>
            <w:tcBorders>
              <w:left w:val="single" w:sz="4" w:space="0" w:color="auto"/>
            </w:tcBorders>
            <w:shd w:val="clear" w:color="auto" w:fill="FFFFFF"/>
          </w:tcPr>
          <w:p w14:paraId="60A32567" w14:textId="77777777" w:rsidR="00CD0437" w:rsidRPr="00CD0437" w:rsidRDefault="00CD0437" w:rsidP="00CD043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Rast prosječne plaće u BiH,</w:t>
            </w:r>
          </w:p>
          <w:p w14:paraId="6DDEDA66" w14:textId="77777777" w:rsidR="00CD0437" w:rsidRPr="00CD0437" w:rsidRDefault="00CD0437" w:rsidP="00CD043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Mogućnost sudjelovanja u izmjenama zakonske regulative na nivou kantona kao i u F BiH,</w:t>
            </w:r>
          </w:p>
          <w:p w14:paraId="196D702C" w14:textId="77777777" w:rsidR="00CD0437" w:rsidRPr="00CD0437" w:rsidRDefault="00CD0437" w:rsidP="00CD043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Mogućnost učešća u projektnim aktivnostima međunarodnih donatora,</w:t>
            </w:r>
          </w:p>
          <w:p w14:paraId="1674F7DE" w14:textId="77777777" w:rsidR="00CD0437" w:rsidRPr="00CD0437" w:rsidRDefault="00CD0437" w:rsidP="00CD043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Edukacija sudaca i uposlenika putem webinara,</w:t>
            </w:r>
          </w:p>
          <w:p w14:paraId="2055B5C0" w14:textId="77777777" w:rsidR="00CD0437" w:rsidRPr="00CD0437" w:rsidRDefault="00CD0437" w:rsidP="00CD043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Interes medija za rad suda.</w:t>
            </w:r>
          </w:p>
          <w:p w14:paraId="4C46E897" w14:textId="70CD96AE" w:rsidR="008E4C14" w:rsidRPr="00741F1F" w:rsidRDefault="008E4C14" w:rsidP="00C80EA6">
            <w:pPr>
              <w:pStyle w:val="ListParagraph"/>
              <w:spacing w:after="60"/>
              <w:ind w:left="360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  <w:tc>
          <w:tcPr>
            <w:tcW w:w="2295" w:type="pct"/>
            <w:shd w:val="clear" w:color="auto" w:fill="FFFFFF"/>
          </w:tcPr>
          <w:p w14:paraId="6125F2B3" w14:textId="77777777" w:rsidR="00CD0437" w:rsidRPr="00CD0437" w:rsidRDefault="00CD0437" w:rsidP="00CD0437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Opća ekonomska i financijska kriza, što može rezultirati smanjenjem proračuna – budžeta suda,</w:t>
            </w:r>
          </w:p>
          <w:p w14:paraId="07DCB72A" w14:textId="77777777" w:rsidR="00CD0437" w:rsidRPr="00CD0437" w:rsidRDefault="00CD0437" w:rsidP="00CD0437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Mogućnost novoga „lockdown“, prouzročen virusom Covid-19, što može dovesti do smanjene  učinkovitosti u radu suda.,</w:t>
            </w:r>
          </w:p>
          <w:p w14:paraId="396B7C95" w14:textId="77777777" w:rsidR="00CD0437" w:rsidRPr="00CD0437" w:rsidRDefault="00CD0437" w:rsidP="00CD0437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 xml:space="preserve">Kompleksan politički sustav i njegovi akteri u BiH, odnosno mogućnost političkog pritiska na rad suda. </w:t>
            </w:r>
          </w:p>
          <w:p w14:paraId="6B972E0D" w14:textId="77777777" w:rsidR="00CD0437" w:rsidRPr="00CD0437" w:rsidRDefault="00CD0437" w:rsidP="00CD0437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D0437">
              <w:rPr>
                <w:rFonts w:ascii="Arial" w:hAnsi="Arial" w:cs="Arial"/>
                <w:sz w:val="18"/>
                <w:szCs w:val="18"/>
                <w:lang w:val="hr-HR"/>
              </w:rPr>
              <w:t>Mali broj predmeta u radu ovoga suda, što može rezultirati eventualnim ukidanjem suda.</w:t>
            </w:r>
          </w:p>
          <w:p w14:paraId="0CF7575B" w14:textId="44521648" w:rsidR="008E4C14" w:rsidRPr="00741F1F" w:rsidRDefault="008E4C14" w:rsidP="00C80EA6">
            <w:pPr>
              <w:pStyle w:val="ListParagraph"/>
              <w:spacing w:after="60"/>
              <w:ind w:left="360"/>
              <w:rPr>
                <w:rFonts w:ascii="Arial" w:eastAsia="Calibri" w:hAnsi="Arial" w:cs="Arial"/>
                <w:noProof/>
                <w:w w:val="95"/>
                <w:lang w:val="hr-HR"/>
              </w:rPr>
            </w:pPr>
          </w:p>
        </w:tc>
      </w:tr>
    </w:tbl>
    <w:p w14:paraId="71860996" w14:textId="4FACFBBE" w:rsidR="00CD0437" w:rsidRDefault="00CD0437" w:rsidP="00CD0437">
      <w:pPr>
        <w:rPr>
          <w:rFonts w:ascii="Arial" w:eastAsia="Times New Roman" w:hAnsi="Arial" w:cs="Arial"/>
          <w:b/>
          <w:bCs/>
          <w:color w:val="2E74B5" w:themeColor="accent1" w:themeShade="BF"/>
          <w:w w:val="95"/>
          <w:sz w:val="24"/>
          <w:szCs w:val="24"/>
          <w:lang w:val="hr-HR"/>
        </w:rPr>
      </w:pPr>
      <w:bookmarkStart w:id="10" w:name="_Toc29479786"/>
      <w:bookmarkStart w:id="11" w:name="_Toc39666948"/>
    </w:p>
    <w:p w14:paraId="3A429592" w14:textId="77777777" w:rsidR="00CD0437" w:rsidRDefault="00CD0437" w:rsidP="00BB46EB">
      <w:pPr>
        <w:jc w:val="both"/>
        <w:rPr>
          <w:rFonts w:ascii="Arial" w:eastAsia="Times New Roman" w:hAnsi="Arial" w:cs="Arial"/>
          <w:b/>
          <w:bCs/>
          <w:color w:val="2E74B5" w:themeColor="accent1" w:themeShade="BF"/>
          <w:w w:val="95"/>
          <w:sz w:val="24"/>
          <w:szCs w:val="24"/>
          <w:lang w:val="hr-HR"/>
        </w:rPr>
      </w:pPr>
    </w:p>
    <w:p w14:paraId="19076B07" w14:textId="77777777" w:rsidR="00CD0437" w:rsidRPr="00CD0437" w:rsidRDefault="00CD0437" w:rsidP="00BB46EB">
      <w:pPr>
        <w:jc w:val="both"/>
        <w:rPr>
          <w:rFonts w:ascii="Arial" w:hAnsi="Arial" w:cs="Arial"/>
          <w:b/>
          <w:i/>
          <w:sz w:val="24"/>
          <w:szCs w:val="24"/>
          <w:lang w:val="hr-HR"/>
        </w:rPr>
      </w:pPr>
      <w:r w:rsidRPr="00CD0437">
        <w:rPr>
          <w:rFonts w:ascii="Arial" w:hAnsi="Arial" w:cs="Arial"/>
          <w:sz w:val="24"/>
          <w:szCs w:val="24"/>
          <w:lang w:val="hr-HR"/>
        </w:rPr>
        <w:t>Temeljem gore navedenog, odnosno definiranih snaga, slabosti, prilika i prijetnji,  Kantonalni sud u Odžaku će u slijedećem razdoblju nastojati iskoristiti unutarnje snage i realizirati prilike, te eliminirati slabosti i smanjiti utjecaj prijetnji.</w:t>
      </w:r>
    </w:p>
    <w:p w14:paraId="4CA19F18" w14:textId="77777777" w:rsidR="00CD0437" w:rsidRPr="00CD0437" w:rsidRDefault="00CD0437" w:rsidP="00BB46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D0437">
        <w:rPr>
          <w:rFonts w:ascii="Arial" w:hAnsi="Arial" w:cs="Arial"/>
          <w:sz w:val="24"/>
          <w:szCs w:val="24"/>
          <w:lang w:val="hr-HR"/>
        </w:rPr>
        <w:t>Kao što je navedeno u prednjoj tabeli, Kantonalni sud Odžak kao svoje najveće snage ističe iskusne i educirane suce, kao i uposlenike suda, sigurno financiranje od strane Posavskog kantona, te dobru materijalno-tehničku opremljenost suda.</w:t>
      </w:r>
    </w:p>
    <w:p w14:paraId="6F61345B" w14:textId="77777777" w:rsidR="00CD0437" w:rsidRPr="00CD0437" w:rsidRDefault="00CD0437" w:rsidP="00BB46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D0437">
        <w:rPr>
          <w:rFonts w:ascii="Arial" w:hAnsi="Arial" w:cs="Arial"/>
          <w:sz w:val="24"/>
          <w:szCs w:val="24"/>
          <w:lang w:val="hr-HR"/>
        </w:rPr>
        <w:t>Kao snagu suda navodimo i kontinuiranu dobru kvalitetu sudskih odluka ovoga suda iz razloga što sud ima manji broj predmeta u radu, pa se suci mogu više posvetiti pripremi predmeta, te korištenju domaće i inozemne sudske prakse.  Također, ovaj sud skoro u cijelosti  rješava predmete u predvidivim i optimalnim rokovima, te nema zastara u postupcima.</w:t>
      </w:r>
    </w:p>
    <w:p w14:paraId="7F2282B0" w14:textId="77777777" w:rsidR="00CD0437" w:rsidRPr="00CD0437" w:rsidRDefault="00CD0437" w:rsidP="00BB46E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9FC8F0C" w14:textId="134BAACB" w:rsidR="00CD0437" w:rsidRPr="00CD0437" w:rsidRDefault="00CD0437" w:rsidP="00BB46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D0437">
        <w:rPr>
          <w:rFonts w:ascii="Arial" w:hAnsi="Arial" w:cs="Arial"/>
          <w:sz w:val="24"/>
          <w:szCs w:val="24"/>
          <w:lang w:val="hr-HR"/>
        </w:rPr>
        <w:t xml:space="preserve">Kao najveće slabosti u ovome sudu navodimo </w:t>
      </w:r>
      <w:r>
        <w:rPr>
          <w:rFonts w:ascii="Arial" w:hAnsi="Arial" w:cs="Arial"/>
          <w:sz w:val="24"/>
          <w:szCs w:val="24"/>
          <w:lang w:val="hr-HR"/>
        </w:rPr>
        <w:t>neriješene predmete</w:t>
      </w:r>
      <w:r w:rsidRPr="00CD0437">
        <w:rPr>
          <w:rFonts w:ascii="Arial" w:hAnsi="Arial" w:cs="Arial"/>
          <w:sz w:val="24"/>
          <w:szCs w:val="24"/>
          <w:lang w:val="hr-HR"/>
        </w:rPr>
        <w:t xml:space="preserve"> ratnih zločina, zbog sporijeg odvijanja međunarodne pravne pomoći</w:t>
      </w:r>
      <w:r w:rsidR="00BB46EB">
        <w:rPr>
          <w:rFonts w:ascii="Arial" w:hAnsi="Arial" w:cs="Arial"/>
          <w:sz w:val="24"/>
          <w:szCs w:val="24"/>
          <w:lang w:val="hr-HR"/>
        </w:rPr>
        <w:t xml:space="preserve">, nedostatak opreme u sudnici  </w:t>
      </w:r>
      <w:r w:rsidR="00BB46EB">
        <w:rPr>
          <w:rFonts w:ascii="Arial" w:hAnsi="Arial" w:cs="Arial"/>
          <w:sz w:val="24"/>
          <w:szCs w:val="24"/>
          <w:lang w:val="hr-HR"/>
        </w:rPr>
        <w:lastRenderedPageBreak/>
        <w:t xml:space="preserve">za saslušanje svjedoka iz inozemstva putem video linka, kao i  </w:t>
      </w:r>
      <w:r w:rsidRPr="00CD0437">
        <w:rPr>
          <w:rFonts w:ascii="Arial" w:hAnsi="Arial" w:cs="Arial"/>
          <w:sz w:val="24"/>
          <w:szCs w:val="24"/>
          <w:lang w:val="hr-HR"/>
        </w:rPr>
        <w:t>trenutnog stanja u sudu zbog nedovoljnog broja sudaca za rješavanje ovih predmeta (jedan sudac je suspendiran sa funkcije i ne zna se dokle će trajati suspenzija).  Također kao slabost navodimo što se neki kazneni predmeti, zbog nedovoljnog broja sudaca,  delegiraju na rješavanje u drugi kantonalni sud  u F BiH, što nekada izaziva negodovanje stranaka.</w:t>
      </w:r>
    </w:p>
    <w:p w14:paraId="1908BBF8" w14:textId="77777777" w:rsidR="00CD0437" w:rsidRPr="00CD0437" w:rsidRDefault="00CD0437" w:rsidP="00BB46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D0437">
        <w:rPr>
          <w:rFonts w:ascii="Arial" w:hAnsi="Arial" w:cs="Arial"/>
          <w:sz w:val="24"/>
          <w:szCs w:val="24"/>
          <w:lang w:val="hr-HR"/>
        </w:rPr>
        <w:t xml:space="preserve">Kada su u pitanju prilike ističemo kontinuirani rast prosječne plaće u  BIH, sudjelovanje u izmjenama zakonske regulative kako na području kantona tako i u Federaciji BiH, edukacije sudaca i uposlenika putem webinara, mogućnost učešća kod međunarodnih donatora i interes medija za rad suda.  </w:t>
      </w:r>
    </w:p>
    <w:p w14:paraId="0BC9190A" w14:textId="6F61AC37" w:rsidR="00CD0437" w:rsidRDefault="00CD0437" w:rsidP="00BB46E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D0437">
        <w:rPr>
          <w:rFonts w:ascii="Arial" w:hAnsi="Arial" w:cs="Arial"/>
          <w:sz w:val="24"/>
          <w:szCs w:val="24"/>
          <w:lang w:val="hr-HR"/>
        </w:rPr>
        <w:t>Što se tiče prijetnji koje bi mogle utjecati na učinkovitost i rad suda, navodimo opću ekonomsku i financijsku krizu, što može rezultirati smanjenjem proračuna ovoga suda, mogućnost novog „lockdown“ prouzročen virusom Covid-19, što može dovesti do smanjenja učinkovitosti rada suda, mogućnosti pritiska na rad suda, te eventualno ukidanje suda, zbog malog broj predmeta u radu.</w:t>
      </w:r>
    </w:p>
    <w:p w14:paraId="05EF401A" w14:textId="77777777" w:rsidR="00A84703" w:rsidRPr="00CD0437" w:rsidRDefault="00A84703" w:rsidP="00A84703">
      <w:pPr>
        <w:ind w:left="0"/>
        <w:jc w:val="both"/>
        <w:rPr>
          <w:rFonts w:ascii="Arial" w:hAnsi="Arial" w:cs="Arial"/>
          <w:sz w:val="24"/>
          <w:szCs w:val="24"/>
          <w:lang w:val="hr-HR"/>
        </w:rPr>
      </w:pPr>
    </w:p>
    <w:p w14:paraId="1B73B417" w14:textId="09358E4E" w:rsidR="00850FF6" w:rsidRPr="00092CE8" w:rsidRDefault="00C80EA6" w:rsidP="00BB46EB">
      <w:pPr>
        <w:pStyle w:val="Heading1"/>
        <w:numPr>
          <w:ilvl w:val="0"/>
          <w:numId w:val="36"/>
        </w:numPr>
        <w:jc w:val="both"/>
        <w:rPr>
          <w:color w:val="767171" w:themeColor="background2" w:themeShade="80"/>
        </w:rPr>
      </w:pPr>
      <w:bookmarkStart w:id="12" w:name="_Toc91766456"/>
      <w:r w:rsidRPr="00092CE8">
        <w:rPr>
          <w:color w:val="767171" w:themeColor="background2" w:themeShade="80"/>
        </w:rPr>
        <w:t>Pregled ciljeva</w:t>
      </w:r>
      <w:r w:rsidR="00850FF6" w:rsidRPr="00092CE8">
        <w:rPr>
          <w:color w:val="767171" w:themeColor="background2" w:themeShade="80"/>
        </w:rPr>
        <w:t xml:space="preserve"> i </w:t>
      </w:r>
      <w:r w:rsidRPr="00092CE8">
        <w:rPr>
          <w:color w:val="767171" w:themeColor="background2" w:themeShade="80"/>
        </w:rPr>
        <w:t xml:space="preserve">godišnjih </w:t>
      </w:r>
      <w:r w:rsidR="00850FF6" w:rsidRPr="00092CE8">
        <w:rPr>
          <w:color w:val="767171" w:themeColor="background2" w:themeShade="80"/>
        </w:rPr>
        <w:t>aktivnosti po strateškim</w:t>
      </w:r>
      <w:r w:rsidR="00F04805" w:rsidRPr="00092CE8">
        <w:rPr>
          <w:color w:val="767171" w:themeColor="background2" w:themeShade="80"/>
        </w:rPr>
        <w:t xml:space="preserve"> i trogodišnjim</w:t>
      </w:r>
      <w:r w:rsidR="00850FF6" w:rsidRPr="00092CE8">
        <w:rPr>
          <w:color w:val="767171" w:themeColor="background2" w:themeShade="80"/>
        </w:rPr>
        <w:t xml:space="preserve"> ciljevima</w:t>
      </w:r>
      <w:bookmarkEnd w:id="10"/>
      <w:bookmarkEnd w:id="11"/>
      <w:bookmarkEnd w:id="12"/>
    </w:p>
    <w:p w14:paraId="0F1E20AB" w14:textId="77777777" w:rsidR="00BB46EB" w:rsidRPr="00BB46EB" w:rsidRDefault="00BB46EB" w:rsidP="00BB46EB">
      <w:pPr>
        <w:pStyle w:val="ListParagraph"/>
        <w:ind w:left="780"/>
        <w:rPr>
          <w:lang w:val="hr-HR"/>
        </w:rPr>
      </w:pPr>
    </w:p>
    <w:p w14:paraId="119797A1" w14:textId="77777777" w:rsidR="005F572A" w:rsidRPr="00C47935" w:rsidRDefault="005F572A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053"/>
        <w:gridCol w:w="2008"/>
        <w:gridCol w:w="1005"/>
        <w:gridCol w:w="1004"/>
        <w:gridCol w:w="2009"/>
      </w:tblGrid>
      <w:tr w:rsidR="00850FF6" w:rsidRPr="00C47935" w14:paraId="30BC3539" w14:textId="77777777" w:rsidTr="002B6CE3">
        <w:trPr>
          <w:trHeight w:val="579"/>
        </w:trPr>
        <w:tc>
          <w:tcPr>
            <w:tcW w:w="3041" w:type="dxa"/>
            <w:gridSpan w:val="2"/>
            <w:shd w:val="clear" w:color="auto" w:fill="E7E6E6" w:themeFill="background2"/>
          </w:tcPr>
          <w:p w14:paraId="7516DC20" w14:textId="77777777" w:rsidR="002B6CE3" w:rsidRPr="00BD07AC" w:rsidRDefault="002B6CE3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38325" w14:textId="6E0FF42A" w:rsidR="00850FF6" w:rsidRPr="00BD07AC" w:rsidRDefault="00850FF6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7AC">
              <w:rPr>
                <w:rFonts w:ascii="Arial" w:hAnsi="Arial" w:cs="Arial"/>
                <w:b/>
                <w:bCs/>
                <w:sz w:val="18"/>
                <w:szCs w:val="18"/>
              </w:rPr>
              <w:t>Strateški cilj 1</w:t>
            </w:r>
          </w:p>
        </w:tc>
        <w:tc>
          <w:tcPr>
            <w:tcW w:w="6026" w:type="dxa"/>
            <w:gridSpan w:val="4"/>
            <w:shd w:val="clear" w:color="auto" w:fill="E7E6E6" w:themeFill="background2"/>
            <w:vAlign w:val="center"/>
          </w:tcPr>
          <w:p w14:paraId="21FAE1FC" w14:textId="57BF5C07" w:rsidR="00850FF6" w:rsidRPr="00BD07AC" w:rsidRDefault="00BB46EB" w:rsidP="00BD07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7AC">
              <w:rPr>
                <w:rFonts w:ascii="Arial" w:hAnsi="Arial" w:cs="Arial"/>
                <w:b/>
                <w:bCs/>
                <w:sz w:val="18"/>
                <w:szCs w:val="18"/>
              </w:rPr>
              <w:t>Povećati učinkovitost u rješavanju predmeta ratnih zločina u sudu</w:t>
            </w:r>
          </w:p>
        </w:tc>
      </w:tr>
      <w:tr w:rsidR="00850FF6" w:rsidRPr="009336F9" w14:paraId="3035F2F6" w14:textId="77777777" w:rsidTr="0024058E">
        <w:trPr>
          <w:trHeight w:val="557"/>
        </w:trPr>
        <w:tc>
          <w:tcPr>
            <w:tcW w:w="3041" w:type="dxa"/>
            <w:gridSpan w:val="2"/>
            <w:shd w:val="clear" w:color="auto" w:fill="E7E6E6" w:themeFill="background2"/>
          </w:tcPr>
          <w:p w14:paraId="71CAAC51" w14:textId="77777777" w:rsidR="002B6CE3" w:rsidRPr="00BD07AC" w:rsidRDefault="002B6CE3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A6E071" w14:textId="0517815E" w:rsidR="00882F22" w:rsidRPr="00BD07AC" w:rsidRDefault="00850FF6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7AC">
              <w:rPr>
                <w:rFonts w:ascii="Arial" w:hAnsi="Arial" w:cs="Arial"/>
                <w:b/>
                <w:bCs/>
                <w:sz w:val="18"/>
                <w:szCs w:val="18"/>
              </w:rPr>
              <w:t>Trogodišnji cilj 1.1.</w:t>
            </w:r>
          </w:p>
          <w:p w14:paraId="3F5299C8" w14:textId="78E78A05" w:rsidR="007C76A5" w:rsidRPr="00BD07AC" w:rsidRDefault="007C76A5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6" w:type="dxa"/>
            <w:gridSpan w:val="4"/>
            <w:shd w:val="clear" w:color="auto" w:fill="E7E6E6" w:themeFill="background2"/>
            <w:vAlign w:val="center"/>
          </w:tcPr>
          <w:p w14:paraId="5EE271D5" w14:textId="6968DA7A" w:rsidR="00882F22" w:rsidRPr="00EB168A" w:rsidRDefault="00BB46EB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EB168A">
              <w:rPr>
                <w:rFonts w:ascii="Arial" w:hAnsi="Arial" w:cs="Arial"/>
                <w:sz w:val="18"/>
                <w:szCs w:val="18"/>
              </w:rPr>
              <w:t>Smanjenje broja neriješenih predmeta ratnih zločina</w:t>
            </w:r>
          </w:p>
        </w:tc>
      </w:tr>
      <w:tr w:rsidR="00850FF6" w:rsidRPr="009336F9" w14:paraId="58E2FF4D" w14:textId="77777777" w:rsidTr="0024058E">
        <w:trPr>
          <w:trHeight w:val="410"/>
        </w:trPr>
        <w:tc>
          <w:tcPr>
            <w:tcW w:w="3041" w:type="dxa"/>
            <w:gridSpan w:val="2"/>
            <w:vMerge w:val="restart"/>
            <w:shd w:val="clear" w:color="auto" w:fill="E7E6E6" w:themeFill="background2"/>
          </w:tcPr>
          <w:p w14:paraId="793CF056" w14:textId="77777777" w:rsidR="002B6CE3" w:rsidRPr="00BD07AC" w:rsidRDefault="002B6CE3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B6A781" w14:textId="07418FF9" w:rsidR="00850FF6" w:rsidRPr="00BD07AC" w:rsidRDefault="00850FF6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7AC">
              <w:rPr>
                <w:rFonts w:ascii="Arial" w:hAnsi="Arial" w:cs="Arial"/>
                <w:b/>
                <w:bCs/>
                <w:sz w:val="18"/>
                <w:szCs w:val="18"/>
              </w:rPr>
              <w:t>Pokazatelji za izlazne rezultate</w:t>
            </w:r>
          </w:p>
        </w:tc>
        <w:tc>
          <w:tcPr>
            <w:tcW w:w="6026" w:type="dxa"/>
            <w:gridSpan w:val="4"/>
            <w:shd w:val="clear" w:color="auto" w:fill="E7E6E6" w:themeFill="background2"/>
            <w:vAlign w:val="center"/>
          </w:tcPr>
          <w:p w14:paraId="1A44B511" w14:textId="77777777" w:rsidR="00850FF6" w:rsidRPr="00BD07AC" w:rsidRDefault="00850FF6" w:rsidP="00BD0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7AC">
              <w:rPr>
                <w:rFonts w:ascii="Arial" w:hAnsi="Arial" w:cs="Arial"/>
                <w:b/>
                <w:bCs/>
                <w:sz w:val="18"/>
                <w:szCs w:val="18"/>
              </w:rPr>
              <w:t>Očekivani rezultati po godinama</w:t>
            </w:r>
          </w:p>
        </w:tc>
      </w:tr>
      <w:tr w:rsidR="00850FF6" w:rsidRPr="009336F9" w14:paraId="1D4F7F4C" w14:textId="77777777" w:rsidTr="0024058E">
        <w:trPr>
          <w:trHeight w:val="314"/>
        </w:trPr>
        <w:tc>
          <w:tcPr>
            <w:tcW w:w="3041" w:type="dxa"/>
            <w:gridSpan w:val="2"/>
            <w:vMerge/>
            <w:shd w:val="clear" w:color="auto" w:fill="E7E6E6" w:themeFill="background2"/>
          </w:tcPr>
          <w:p w14:paraId="17691AAC" w14:textId="77777777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E7E6E6" w:themeFill="background2"/>
            <w:vAlign w:val="center"/>
          </w:tcPr>
          <w:p w14:paraId="3630E8F7" w14:textId="6A4F2F57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202</w:t>
            </w:r>
            <w:r w:rsidR="00C80EA6" w:rsidRPr="00BD07AC">
              <w:rPr>
                <w:rFonts w:ascii="Arial" w:hAnsi="Arial" w:cs="Arial"/>
                <w:sz w:val="18"/>
                <w:szCs w:val="18"/>
              </w:rPr>
              <w:t>2</w:t>
            </w:r>
            <w:r w:rsidRPr="00BD07AC">
              <w:rPr>
                <w:rFonts w:ascii="Arial" w:hAnsi="Arial" w:cs="Arial"/>
                <w:sz w:val="18"/>
                <w:szCs w:val="18"/>
              </w:rPr>
              <w:t xml:space="preserve"> (n)</w:t>
            </w:r>
          </w:p>
        </w:tc>
        <w:tc>
          <w:tcPr>
            <w:tcW w:w="2009" w:type="dxa"/>
            <w:gridSpan w:val="2"/>
            <w:shd w:val="clear" w:color="auto" w:fill="E7E6E6" w:themeFill="background2"/>
            <w:vAlign w:val="center"/>
          </w:tcPr>
          <w:p w14:paraId="0D661337" w14:textId="1A30A908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202</w:t>
            </w:r>
            <w:r w:rsidR="00C80EA6" w:rsidRPr="00BD07AC">
              <w:rPr>
                <w:rFonts w:ascii="Arial" w:hAnsi="Arial" w:cs="Arial"/>
                <w:sz w:val="18"/>
                <w:szCs w:val="18"/>
              </w:rPr>
              <w:t>3</w:t>
            </w:r>
            <w:r w:rsidRPr="00BD07AC">
              <w:rPr>
                <w:rFonts w:ascii="Arial" w:hAnsi="Arial" w:cs="Arial"/>
                <w:sz w:val="18"/>
                <w:szCs w:val="18"/>
              </w:rPr>
              <w:t xml:space="preserve"> (n+1)</w:t>
            </w:r>
          </w:p>
        </w:tc>
        <w:tc>
          <w:tcPr>
            <w:tcW w:w="2009" w:type="dxa"/>
            <w:shd w:val="clear" w:color="auto" w:fill="E7E6E6" w:themeFill="background2"/>
            <w:vAlign w:val="center"/>
          </w:tcPr>
          <w:p w14:paraId="1FFBE366" w14:textId="599F6C58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202</w:t>
            </w:r>
            <w:r w:rsidR="00C80EA6" w:rsidRPr="00BD07AC">
              <w:rPr>
                <w:rFonts w:ascii="Arial" w:hAnsi="Arial" w:cs="Arial"/>
                <w:sz w:val="18"/>
                <w:szCs w:val="18"/>
              </w:rPr>
              <w:t>4</w:t>
            </w:r>
            <w:r w:rsidRPr="00BD07AC">
              <w:rPr>
                <w:rFonts w:ascii="Arial" w:hAnsi="Arial" w:cs="Arial"/>
                <w:sz w:val="18"/>
                <w:szCs w:val="18"/>
              </w:rPr>
              <w:t xml:space="preserve"> (n+2)</w:t>
            </w:r>
          </w:p>
        </w:tc>
      </w:tr>
      <w:tr w:rsidR="00850FF6" w:rsidRPr="009336F9" w14:paraId="4DEBB218" w14:textId="77777777" w:rsidTr="0024058E">
        <w:trPr>
          <w:trHeight w:val="403"/>
        </w:trPr>
        <w:tc>
          <w:tcPr>
            <w:tcW w:w="3041" w:type="dxa"/>
            <w:gridSpan w:val="2"/>
          </w:tcPr>
          <w:p w14:paraId="0DD345C7" w14:textId="4DAAE114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vAlign w:val="center"/>
          </w:tcPr>
          <w:p w14:paraId="7D289B7C" w14:textId="73859694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09" w:type="dxa"/>
            <w:gridSpan w:val="2"/>
            <w:vAlign w:val="center"/>
          </w:tcPr>
          <w:p w14:paraId="19E1ED18" w14:textId="466C0DF6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9" w:type="dxa"/>
            <w:vAlign w:val="center"/>
          </w:tcPr>
          <w:p w14:paraId="0B516DBD" w14:textId="33872502" w:rsidR="00850FF6" w:rsidRPr="00BD07AC" w:rsidRDefault="007929E5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0FF6" w:rsidRPr="009336F9" w14:paraId="353D32DC" w14:textId="77777777" w:rsidTr="0024058E">
        <w:trPr>
          <w:trHeight w:val="565"/>
        </w:trPr>
        <w:tc>
          <w:tcPr>
            <w:tcW w:w="988" w:type="dxa"/>
            <w:shd w:val="clear" w:color="auto" w:fill="E7E6E6" w:themeFill="background2"/>
          </w:tcPr>
          <w:p w14:paraId="34B357EB" w14:textId="77777777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053" w:type="dxa"/>
            <w:shd w:val="clear" w:color="auto" w:fill="E7E6E6" w:themeFill="background2"/>
          </w:tcPr>
          <w:p w14:paraId="5F40A82A" w14:textId="1AA1DCD0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 xml:space="preserve">Naziv aktivnosti za </w:t>
            </w:r>
            <w:r w:rsidR="002763A5" w:rsidRPr="00BD07AC">
              <w:rPr>
                <w:rFonts w:ascii="Arial" w:hAnsi="Arial" w:cs="Arial"/>
                <w:sz w:val="18"/>
                <w:szCs w:val="18"/>
              </w:rPr>
              <w:t>2022</w:t>
            </w:r>
            <w:r w:rsidRPr="00BD07AC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3013" w:type="dxa"/>
            <w:gridSpan w:val="2"/>
            <w:shd w:val="clear" w:color="auto" w:fill="E7E6E6" w:themeFill="background2"/>
          </w:tcPr>
          <w:p w14:paraId="4E802C46" w14:textId="22E6B930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Rok izvršenja</w:t>
            </w:r>
          </w:p>
          <w:p w14:paraId="262F4B2E" w14:textId="139301C3" w:rsidR="00850FF6" w:rsidRPr="00BD07AC" w:rsidRDefault="00C1750D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(po kvartalima u 202</w:t>
            </w:r>
            <w:r w:rsidR="00C80EA6" w:rsidRPr="00BD07AC">
              <w:rPr>
                <w:rFonts w:ascii="Arial" w:hAnsi="Arial" w:cs="Arial"/>
                <w:sz w:val="18"/>
                <w:szCs w:val="18"/>
              </w:rPr>
              <w:t>2</w:t>
            </w:r>
            <w:r w:rsidR="00850FF6" w:rsidRPr="00BD07AC">
              <w:rPr>
                <w:rFonts w:ascii="Arial" w:hAnsi="Arial" w:cs="Arial"/>
                <w:sz w:val="18"/>
                <w:szCs w:val="18"/>
              </w:rPr>
              <w:t>. godini)</w:t>
            </w:r>
          </w:p>
        </w:tc>
        <w:tc>
          <w:tcPr>
            <w:tcW w:w="3013" w:type="dxa"/>
            <w:gridSpan w:val="2"/>
            <w:shd w:val="clear" w:color="auto" w:fill="E7E6E6" w:themeFill="background2"/>
          </w:tcPr>
          <w:p w14:paraId="7F63DDB4" w14:textId="3235402D" w:rsidR="00850FF6" w:rsidRPr="00BD07AC" w:rsidRDefault="00850FF6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Nosi</w:t>
            </w:r>
            <w:r w:rsidR="007C76A5" w:rsidRPr="00BD07AC">
              <w:rPr>
                <w:rFonts w:ascii="Arial" w:hAnsi="Arial" w:cs="Arial"/>
                <w:sz w:val="18"/>
                <w:szCs w:val="18"/>
              </w:rPr>
              <w:t>telj</w:t>
            </w:r>
            <w:r w:rsidRPr="00BD07AC">
              <w:rPr>
                <w:rFonts w:ascii="Arial" w:hAnsi="Arial" w:cs="Arial"/>
                <w:sz w:val="18"/>
                <w:szCs w:val="18"/>
              </w:rPr>
              <w:t xml:space="preserve"> (najmanji organizaci</w:t>
            </w:r>
            <w:r w:rsidR="007C76A5" w:rsidRPr="00BD07AC">
              <w:rPr>
                <w:rFonts w:ascii="Arial" w:hAnsi="Arial" w:cs="Arial"/>
                <w:sz w:val="18"/>
                <w:szCs w:val="18"/>
              </w:rPr>
              <w:t>jski</w:t>
            </w:r>
            <w:r w:rsidRPr="00BD07AC">
              <w:rPr>
                <w:rFonts w:ascii="Arial" w:hAnsi="Arial" w:cs="Arial"/>
                <w:sz w:val="18"/>
                <w:szCs w:val="18"/>
              </w:rPr>
              <w:t xml:space="preserve"> dio)</w:t>
            </w:r>
          </w:p>
        </w:tc>
      </w:tr>
      <w:tr w:rsidR="00850FF6" w:rsidRPr="009336F9" w14:paraId="220830E4" w14:textId="77777777" w:rsidTr="0024058E">
        <w:trPr>
          <w:trHeight w:val="545"/>
        </w:trPr>
        <w:tc>
          <w:tcPr>
            <w:tcW w:w="988" w:type="dxa"/>
            <w:vAlign w:val="center"/>
          </w:tcPr>
          <w:p w14:paraId="07D4EE21" w14:textId="2071DD79" w:rsidR="00850FF6" w:rsidRPr="00BD07AC" w:rsidRDefault="007C4047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1.1</w:t>
            </w:r>
            <w:r w:rsidR="007929E5" w:rsidRPr="00BD07AC">
              <w:rPr>
                <w:rFonts w:ascii="Arial" w:hAnsi="Arial" w:cs="Arial"/>
                <w:sz w:val="18"/>
                <w:szCs w:val="18"/>
              </w:rPr>
              <w:t>.</w:t>
            </w:r>
            <w:r w:rsidRPr="00BD07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3" w:type="dxa"/>
            <w:vAlign w:val="center"/>
          </w:tcPr>
          <w:p w14:paraId="0EC0110D" w14:textId="21EF00BB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Održavanje glavnih rasprava</w:t>
            </w:r>
          </w:p>
        </w:tc>
        <w:tc>
          <w:tcPr>
            <w:tcW w:w="3013" w:type="dxa"/>
            <w:gridSpan w:val="2"/>
            <w:vAlign w:val="center"/>
          </w:tcPr>
          <w:p w14:paraId="795AE7E0" w14:textId="779556DD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I, II, III, IV  kvartal</w:t>
            </w:r>
          </w:p>
        </w:tc>
        <w:tc>
          <w:tcPr>
            <w:tcW w:w="3013" w:type="dxa"/>
            <w:gridSpan w:val="2"/>
            <w:vAlign w:val="center"/>
          </w:tcPr>
          <w:p w14:paraId="2F7E7982" w14:textId="6E0242C5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Sud, odnosno suci</w:t>
            </w:r>
          </w:p>
        </w:tc>
      </w:tr>
      <w:tr w:rsidR="00850FF6" w:rsidRPr="009336F9" w14:paraId="17C33242" w14:textId="77777777" w:rsidTr="0024058E">
        <w:trPr>
          <w:trHeight w:val="1135"/>
        </w:trPr>
        <w:tc>
          <w:tcPr>
            <w:tcW w:w="988" w:type="dxa"/>
            <w:vAlign w:val="center"/>
          </w:tcPr>
          <w:p w14:paraId="2F486B4D" w14:textId="6C6F8006" w:rsidR="00850FF6" w:rsidRPr="00BD07AC" w:rsidRDefault="007C4047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2053" w:type="dxa"/>
            <w:vAlign w:val="center"/>
          </w:tcPr>
          <w:p w14:paraId="084945F6" w14:textId="1643E214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Redovna analiza tromjesečnog rada sudaca na ovim predmetima</w:t>
            </w:r>
          </w:p>
        </w:tc>
        <w:tc>
          <w:tcPr>
            <w:tcW w:w="3013" w:type="dxa"/>
            <w:gridSpan w:val="2"/>
            <w:vAlign w:val="center"/>
          </w:tcPr>
          <w:p w14:paraId="7E0DB1CD" w14:textId="59DF0326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I, II, III, IV kvartal</w:t>
            </w:r>
          </w:p>
        </w:tc>
        <w:tc>
          <w:tcPr>
            <w:tcW w:w="3013" w:type="dxa"/>
            <w:gridSpan w:val="2"/>
            <w:vAlign w:val="center"/>
          </w:tcPr>
          <w:p w14:paraId="6E6AF197" w14:textId="5D61FE49" w:rsidR="00850FF6" w:rsidRPr="00BD07AC" w:rsidRDefault="00A33E82" w:rsidP="00BD07AC">
            <w:pPr>
              <w:rPr>
                <w:rFonts w:ascii="Arial" w:hAnsi="Arial" w:cs="Arial"/>
                <w:sz w:val="18"/>
                <w:szCs w:val="18"/>
              </w:rPr>
            </w:pPr>
            <w:r w:rsidRPr="00BD07AC">
              <w:rPr>
                <w:rFonts w:ascii="Arial" w:hAnsi="Arial" w:cs="Arial"/>
                <w:sz w:val="18"/>
                <w:szCs w:val="18"/>
              </w:rPr>
              <w:t>Sud, kolegij sudaca</w:t>
            </w:r>
          </w:p>
        </w:tc>
      </w:tr>
    </w:tbl>
    <w:p w14:paraId="0F4B823E" w14:textId="07CEF99C" w:rsidR="007929E5" w:rsidRDefault="007929E5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2A4A8A7F" w14:textId="08B00627" w:rsidR="00A84703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63E8BBBD" w14:textId="72773CFD" w:rsidR="00A84703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636BB55D" w14:textId="36198993" w:rsidR="00A84703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0CBFAF9C" w14:textId="30C0BA08" w:rsidR="00A84703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6CAD8DE2" w14:textId="59291428" w:rsidR="00A84703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17F72284" w14:textId="7EF3EF93" w:rsidR="00A84703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6F3AE17F" w14:textId="77777777" w:rsidR="00A84703" w:rsidRPr="00217C1D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tbl>
      <w:tblPr>
        <w:tblStyle w:val="TableGrid0"/>
        <w:tblW w:w="9065" w:type="dxa"/>
        <w:tblInd w:w="7" w:type="dxa"/>
        <w:tblCellMar>
          <w:top w:w="10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86"/>
        <w:gridCol w:w="2054"/>
        <w:gridCol w:w="2008"/>
        <w:gridCol w:w="1006"/>
        <w:gridCol w:w="1003"/>
        <w:gridCol w:w="2008"/>
      </w:tblGrid>
      <w:tr w:rsidR="007929E5" w:rsidRPr="00C54BDB" w14:paraId="29E74ADF" w14:textId="77777777" w:rsidTr="00BD07AC">
        <w:trPr>
          <w:trHeight w:val="557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DE138C" w14:textId="77777777" w:rsidR="00BD07AC" w:rsidRDefault="00BD07AC" w:rsidP="007929E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F71088" w14:textId="243CF05E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bCs/>
                <w:sz w:val="18"/>
                <w:szCs w:val="18"/>
              </w:rPr>
              <w:t>Strateški cilj 1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76C385" w14:textId="77777777" w:rsidR="00BA7003" w:rsidRDefault="00BA7003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4205DA" w14:textId="3FA426F1" w:rsidR="007929E5" w:rsidRPr="0024058E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>Povećati učinkovitost u rješavanju predmeta ratnih zločina</w:t>
            </w:r>
          </w:p>
        </w:tc>
      </w:tr>
      <w:tr w:rsidR="007929E5" w:rsidRPr="00C54BDB" w14:paraId="74EAE81C" w14:textId="77777777" w:rsidTr="007929E5">
        <w:trPr>
          <w:trHeight w:val="473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9301C36" w14:textId="77777777" w:rsidR="007929E5" w:rsidRPr="0024058E" w:rsidRDefault="007929E5" w:rsidP="007929E5">
            <w:pPr>
              <w:spacing w:after="22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B71D3B" w14:textId="77777777" w:rsidR="007929E5" w:rsidRPr="0024058E" w:rsidRDefault="007929E5" w:rsidP="007929E5">
            <w:pPr>
              <w:spacing w:after="22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>Trogodišnji cilj 1.2.</w:t>
            </w:r>
          </w:p>
          <w:p w14:paraId="4CE94390" w14:textId="77777777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D1D111" w14:textId="77777777" w:rsidR="007929E5" w:rsidRPr="0024058E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4E4647" w14:textId="77777777" w:rsidR="007929E5" w:rsidRPr="0024058E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 xml:space="preserve">Smanjenje duljine trajanja </w:t>
            </w:r>
            <w:r w:rsidRPr="0024058E">
              <w:rPr>
                <w:rFonts w:ascii="Arial" w:hAnsi="Arial" w:cs="Arial"/>
                <w:sz w:val="18"/>
                <w:szCs w:val="18"/>
              </w:rPr>
              <w:tab/>
              <w:t>predmeta ratnih zločina</w:t>
            </w:r>
          </w:p>
        </w:tc>
      </w:tr>
      <w:tr w:rsidR="007929E5" w:rsidRPr="00C54BDB" w14:paraId="44EE9B60" w14:textId="77777777" w:rsidTr="007929E5">
        <w:trPr>
          <w:trHeight w:val="326"/>
        </w:trPr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D75D99" w14:textId="77777777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EB848" w14:textId="77777777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>Pokazatelji za izlazne rezultate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608C2E" w14:textId="77777777" w:rsidR="007929E5" w:rsidRPr="0024058E" w:rsidRDefault="007929E5" w:rsidP="007929E5">
            <w:pPr>
              <w:spacing w:line="259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7929E5" w:rsidRPr="00C54BDB" w14:paraId="5CFB7582" w14:textId="77777777" w:rsidTr="007929E5">
        <w:trPr>
          <w:trHeight w:val="3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CB837A" w14:textId="77777777" w:rsidR="007929E5" w:rsidRPr="0024058E" w:rsidRDefault="007929E5" w:rsidP="007929E5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7F8B60" w14:textId="208DCCA4" w:rsidR="007929E5" w:rsidRPr="0024058E" w:rsidRDefault="007929E5" w:rsidP="007929E5">
            <w:pPr>
              <w:spacing w:line="259" w:lineRule="auto"/>
              <w:ind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2022 (n)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12DA96" w14:textId="4A169EE5" w:rsidR="007929E5" w:rsidRPr="0024058E" w:rsidRDefault="007929E5" w:rsidP="007929E5">
            <w:pPr>
              <w:spacing w:line="259" w:lineRule="auto"/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2023 (n+1)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5877E0" w14:textId="5F9D3136" w:rsidR="007929E5" w:rsidRPr="0024058E" w:rsidRDefault="007929E5" w:rsidP="007929E5">
            <w:pPr>
              <w:spacing w:line="259" w:lineRule="auto"/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2024 (n+2)</w:t>
            </w:r>
          </w:p>
        </w:tc>
      </w:tr>
      <w:tr w:rsidR="007929E5" w:rsidRPr="00C54BDB" w14:paraId="328B50D4" w14:textId="77777777" w:rsidTr="007929E5">
        <w:trPr>
          <w:trHeight w:val="104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F1B7" w14:textId="77777777" w:rsidR="007929E5" w:rsidRPr="0024058E" w:rsidRDefault="007929E5" w:rsidP="007929E5">
            <w:pPr>
              <w:spacing w:line="276" w:lineRule="auto"/>
              <w:ind w:right="43"/>
              <w:rPr>
                <w:rFonts w:ascii="Arial" w:hAnsi="Arial" w:cs="Arial"/>
                <w:sz w:val="18"/>
                <w:szCs w:val="18"/>
              </w:rPr>
            </w:pPr>
          </w:p>
          <w:p w14:paraId="3860DA83" w14:textId="77777777" w:rsidR="007929E5" w:rsidRPr="0024058E" w:rsidRDefault="007929E5" w:rsidP="007929E5">
            <w:pPr>
              <w:spacing w:line="276" w:lineRule="auto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 xml:space="preserve">Smanjenje prosječne duljine trajanja predmeta </w:t>
            </w:r>
          </w:p>
          <w:p w14:paraId="76ABB60B" w14:textId="77777777" w:rsidR="007929E5" w:rsidRPr="0024058E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 xml:space="preserve">ratnih zločina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B7C3" w14:textId="3DD7CFEB" w:rsidR="007929E5" w:rsidRPr="0024058E" w:rsidRDefault="001F7F2D" w:rsidP="007929E5">
            <w:pPr>
              <w:spacing w:line="259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511</w:t>
            </w:r>
            <w:r w:rsidR="007929E5" w:rsidRPr="002405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7FBE" w14:textId="77777777" w:rsidR="007929E5" w:rsidRPr="0024058E" w:rsidRDefault="007929E5" w:rsidP="007929E5">
            <w:pPr>
              <w:spacing w:line="259" w:lineRule="auto"/>
              <w:ind w:right="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75F0" w14:textId="77777777" w:rsidR="007929E5" w:rsidRPr="0024058E" w:rsidRDefault="007929E5" w:rsidP="007929E5">
            <w:pPr>
              <w:spacing w:line="259" w:lineRule="auto"/>
              <w:ind w:righ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</w:tr>
      <w:tr w:rsidR="007929E5" w:rsidRPr="00C54BDB" w14:paraId="4E6AB89B" w14:textId="77777777" w:rsidTr="007929E5">
        <w:trPr>
          <w:trHeight w:val="43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A8AA49" w14:textId="77777777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99811E" w14:textId="05E70FD3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>Naziv aktivnosti za 2022. godinu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FB4A7E" w14:textId="77777777" w:rsidR="007929E5" w:rsidRPr="0024058E" w:rsidRDefault="007929E5" w:rsidP="007929E5">
            <w:pPr>
              <w:spacing w:after="19" w:line="259" w:lineRule="auto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</w:p>
          <w:p w14:paraId="7465A181" w14:textId="395B9841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(po kvartalima u 2022. godini)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F1DAFB" w14:textId="77777777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Pr="0024058E">
              <w:rPr>
                <w:rFonts w:ascii="Arial" w:hAnsi="Arial" w:cs="Arial"/>
                <w:sz w:val="18"/>
                <w:szCs w:val="18"/>
              </w:rPr>
              <w:t>(najmanji organizacijski dio)</w:t>
            </w:r>
          </w:p>
        </w:tc>
      </w:tr>
      <w:tr w:rsidR="007929E5" w:rsidRPr="00C54BDB" w14:paraId="6895BF1E" w14:textId="77777777" w:rsidTr="007929E5">
        <w:trPr>
          <w:trHeight w:val="81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0206" w14:textId="77777777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9B6" w14:textId="77777777" w:rsidR="007929E5" w:rsidRPr="0024058E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Analiza duljine trajanja postupaka ratnih zločina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CCEE" w14:textId="77777777" w:rsidR="007929E5" w:rsidRPr="0024058E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kvartal I, II, III i IV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C35E" w14:textId="5309E5F3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Sud</w:t>
            </w:r>
            <w:r w:rsidR="008A3730" w:rsidRPr="0024058E">
              <w:rPr>
                <w:rFonts w:ascii="Arial" w:hAnsi="Arial" w:cs="Arial"/>
                <w:sz w:val="18"/>
                <w:szCs w:val="18"/>
              </w:rPr>
              <w:t>, kolegij sudaca</w:t>
            </w:r>
          </w:p>
        </w:tc>
      </w:tr>
      <w:tr w:rsidR="007929E5" w:rsidRPr="00C54BDB" w14:paraId="792B880C" w14:textId="77777777" w:rsidTr="007929E5">
        <w:trPr>
          <w:trHeight w:val="196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D729" w14:textId="77777777" w:rsidR="007929E5" w:rsidRPr="0024058E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400" w14:textId="78F96BFB" w:rsidR="007929E5" w:rsidRPr="0024058E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Predlaganje mjera od strane sudaca za eventualno skraćenje duljine trajanja postupaka (urgencije za pružanje međunarodne pravne pomoć</w:t>
            </w:r>
            <w:r w:rsidR="00382122" w:rsidRPr="0024058E">
              <w:rPr>
                <w:rFonts w:ascii="Arial" w:hAnsi="Arial" w:cs="Arial"/>
                <w:sz w:val="18"/>
                <w:szCs w:val="18"/>
              </w:rPr>
              <w:t>, održavanje glavnih pretresa dan za danom</w:t>
            </w:r>
            <w:r w:rsidRPr="0024058E">
              <w:rPr>
                <w:rFonts w:ascii="Arial" w:hAnsi="Arial" w:cs="Arial"/>
                <w:sz w:val="18"/>
                <w:szCs w:val="18"/>
              </w:rPr>
              <w:t xml:space="preserve"> itd.)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E140" w14:textId="77777777" w:rsidR="007929E5" w:rsidRPr="0024058E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kvartal I, II, III i IV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3882" w14:textId="25DFC15C" w:rsidR="007929E5" w:rsidRPr="0024058E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058E">
              <w:rPr>
                <w:rFonts w:ascii="Arial" w:hAnsi="Arial" w:cs="Arial"/>
                <w:sz w:val="18"/>
                <w:szCs w:val="18"/>
              </w:rPr>
              <w:t>Sud</w:t>
            </w:r>
            <w:r w:rsidR="008A3730" w:rsidRPr="0024058E">
              <w:rPr>
                <w:rFonts w:ascii="Arial" w:hAnsi="Arial" w:cs="Arial"/>
                <w:sz w:val="18"/>
                <w:szCs w:val="18"/>
              </w:rPr>
              <w:t>, kolegij sudaca</w:t>
            </w:r>
          </w:p>
        </w:tc>
      </w:tr>
    </w:tbl>
    <w:p w14:paraId="2379729D" w14:textId="77777777" w:rsidR="00A84703" w:rsidRPr="00FC1980" w:rsidRDefault="00A84703" w:rsidP="00BB46EB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tbl>
      <w:tblPr>
        <w:tblStyle w:val="TableGrid0"/>
        <w:tblW w:w="9065" w:type="dxa"/>
        <w:tblInd w:w="7" w:type="dxa"/>
        <w:tblCellMar>
          <w:top w:w="10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986"/>
        <w:gridCol w:w="2054"/>
        <w:gridCol w:w="2008"/>
        <w:gridCol w:w="1006"/>
        <w:gridCol w:w="1003"/>
        <w:gridCol w:w="2008"/>
      </w:tblGrid>
      <w:tr w:rsidR="007929E5" w:rsidRPr="00C54BDB" w14:paraId="377BBD06" w14:textId="77777777" w:rsidTr="00BD07AC">
        <w:trPr>
          <w:trHeight w:val="713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CA6E96" w14:textId="77777777" w:rsidR="00BD07AC" w:rsidRDefault="00BD07AC" w:rsidP="007929E5">
            <w:pPr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6AF7C" w14:textId="516A65A6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>Strateški cilj 2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770EB4" w14:textId="77777777" w:rsidR="007929E5" w:rsidRPr="007929E5" w:rsidRDefault="007929E5" w:rsidP="007929E5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 xml:space="preserve">Povećati stupanj ujednačenosti sudske prakse unutar suda i u sudovima u Kantonu </w:t>
            </w:r>
          </w:p>
        </w:tc>
      </w:tr>
      <w:tr w:rsidR="007929E5" w:rsidRPr="00C54BDB" w14:paraId="4D841928" w14:textId="77777777" w:rsidTr="00C47935">
        <w:trPr>
          <w:trHeight w:val="561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626FDD" w14:textId="77777777" w:rsidR="00BD07AC" w:rsidRDefault="00BD07AC" w:rsidP="007929E5">
            <w:pPr>
              <w:spacing w:after="19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F5A69" w14:textId="098C81F6" w:rsidR="007929E5" w:rsidRPr="007929E5" w:rsidRDefault="007929E5" w:rsidP="007929E5">
            <w:pPr>
              <w:spacing w:after="19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>Trogodišnji cilj 2.1.</w:t>
            </w:r>
          </w:p>
          <w:p w14:paraId="650C2FB4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8F0A1F" w14:textId="77777777" w:rsidR="007929E5" w:rsidRPr="007929E5" w:rsidRDefault="007929E5" w:rsidP="007929E5">
            <w:pPr>
              <w:spacing w:line="259" w:lineRule="auto"/>
              <w:ind w:left="1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Povećanje broja kolegija – općih sjednica svih sudaca i broja sastanaka predsjednika sudova u Kantonu</w:t>
            </w:r>
          </w:p>
        </w:tc>
      </w:tr>
      <w:tr w:rsidR="007929E5" w:rsidRPr="00C54BDB" w14:paraId="3672FB9E" w14:textId="77777777" w:rsidTr="00C47935">
        <w:trPr>
          <w:trHeight w:val="329"/>
        </w:trPr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F3C9AC" w14:textId="77777777" w:rsidR="00BD07AC" w:rsidRDefault="00BD07AC" w:rsidP="007929E5">
            <w:pPr>
              <w:spacing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C601D3" w14:textId="72A0D40C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>Pokazatelji za izlazne rezultate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40E3E1" w14:textId="77777777" w:rsidR="007929E5" w:rsidRPr="007929E5" w:rsidRDefault="007929E5" w:rsidP="007929E5">
            <w:pPr>
              <w:spacing w:line="259" w:lineRule="auto"/>
              <w:ind w:right="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 xml:space="preserve">Očekivani rezultati po godinama </w:t>
            </w:r>
          </w:p>
        </w:tc>
      </w:tr>
      <w:tr w:rsidR="007929E5" w:rsidRPr="00C54BDB" w14:paraId="3BA45F35" w14:textId="77777777" w:rsidTr="00C47935">
        <w:trPr>
          <w:trHeight w:val="3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2B9DCF" w14:textId="77777777" w:rsidR="007929E5" w:rsidRPr="007929E5" w:rsidRDefault="007929E5" w:rsidP="007929E5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51FDFE" w14:textId="65257741" w:rsidR="007929E5" w:rsidRPr="007929E5" w:rsidRDefault="007929E5" w:rsidP="007929E5">
            <w:pPr>
              <w:spacing w:line="259" w:lineRule="auto"/>
              <w:ind w:right="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7929E5">
              <w:rPr>
                <w:rFonts w:ascii="Arial" w:hAnsi="Arial" w:cs="Arial"/>
                <w:sz w:val="18"/>
                <w:szCs w:val="18"/>
              </w:rPr>
              <w:t xml:space="preserve"> (n)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89D36A" w14:textId="74E69EE1" w:rsidR="007929E5" w:rsidRPr="007929E5" w:rsidRDefault="007929E5" w:rsidP="007929E5">
            <w:pPr>
              <w:spacing w:line="259" w:lineRule="auto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7929E5">
              <w:rPr>
                <w:rFonts w:ascii="Arial" w:hAnsi="Arial" w:cs="Arial"/>
                <w:sz w:val="18"/>
                <w:szCs w:val="18"/>
              </w:rPr>
              <w:t xml:space="preserve"> (n+1)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8050B1" w14:textId="324C28CC" w:rsidR="007929E5" w:rsidRPr="007929E5" w:rsidRDefault="007929E5" w:rsidP="007929E5">
            <w:pPr>
              <w:spacing w:line="259" w:lineRule="auto"/>
              <w:ind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Pr="007929E5">
              <w:rPr>
                <w:rFonts w:ascii="Arial" w:hAnsi="Arial" w:cs="Arial"/>
                <w:sz w:val="18"/>
                <w:szCs w:val="18"/>
              </w:rPr>
              <w:t xml:space="preserve"> (n+2) </w:t>
            </w:r>
          </w:p>
        </w:tc>
      </w:tr>
      <w:tr w:rsidR="007929E5" w:rsidRPr="00C54BDB" w14:paraId="4923257A" w14:textId="77777777" w:rsidTr="007929E5">
        <w:trPr>
          <w:trHeight w:val="566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43FB" w14:textId="77777777" w:rsidR="007929E5" w:rsidRPr="007929E5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Broj sjednica kolegija – općih sjednica svih sudaca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B1DA" w14:textId="1EB33D54" w:rsidR="007929E5" w:rsidRPr="007929E5" w:rsidRDefault="00382122" w:rsidP="007929E5">
            <w:pPr>
              <w:spacing w:line="259" w:lineRule="auto"/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BE7B" w14:textId="0100B210" w:rsidR="007929E5" w:rsidRPr="007929E5" w:rsidRDefault="00382122" w:rsidP="007929E5">
            <w:pPr>
              <w:spacing w:line="25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36B3" w14:textId="77777777" w:rsidR="007929E5" w:rsidRPr="007929E5" w:rsidRDefault="007929E5" w:rsidP="007929E5">
            <w:pPr>
              <w:spacing w:line="259" w:lineRule="auto"/>
              <w:ind w:righ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</w:tr>
      <w:tr w:rsidR="007929E5" w:rsidRPr="00C54BDB" w14:paraId="1F92E237" w14:textId="77777777" w:rsidTr="007929E5">
        <w:trPr>
          <w:trHeight w:val="590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98DA" w14:textId="77777777" w:rsidR="007929E5" w:rsidRPr="007929E5" w:rsidRDefault="007929E5" w:rsidP="007929E5">
            <w:pPr>
              <w:spacing w:line="259" w:lineRule="auto"/>
              <w:ind w:right="39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 xml:space="preserve">Broj sastanaka predsjednika sudova u Kantonu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D3BE" w14:textId="7A3630C7" w:rsidR="007929E5" w:rsidRPr="007929E5" w:rsidRDefault="00382122" w:rsidP="007929E5">
            <w:pPr>
              <w:spacing w:line="259" w:lineRule="auto"/>
              <w:ind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29E5" w:rsidRPr="0079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CCC2" w14:textId="29527E9D" w:rsidR="007929E5" w:rsidRPr="007929E5" w:rsidRDefault="00382122" w:rsidP="007929E5">
            <w:pPr>
              <w:spacing w:line="25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929E5" w:rsidRPr="0079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F2D0" w14:textId="006BC78C" w:rsidR="007929E5" w:rsidRPr="007929E5" w:rsidRDefault="00382122" w:rsidP="007929E5">
            <w:pPr>
              <w:spacing w:line="259" w:lineRule="auto"/>
              <w:ind w:right="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929E5" w:rsidRPr="0079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29E5" w:rsidRPr="00C54BDB" w14:paraId="79EEFE1E" w14:textId="77777777" w:rsidTr="00C47935">
        <w:trPr>
          <w:trHeight w:val="54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FD2AD9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 xml:space="preserve">Redni broj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61C2FC" w14:textId="6C1F8A8E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za 2022</w:t>
            </w:r>
            <w:r w:rsidRPr="007929E5">
              <w:rPr>
                <w:rFonts w:ascii="Arial" w:hAnsi="Arial" w:cs="Arial"/>
                <w:b/>
                <w:sz w:val="18"/>
                <w:szCs w:val="18"/>
              </w:rPr>
              <w:t xml:space="preserve">. godinu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823CED" w14:textId="77777777" w:rsidR="007929E5" w:rsidRPr="007929E5" w:rsidRDefault="007929E5" w:rsidP="007929E5">
            <w:pPr>
              <w:spacing w:after="19" w:line="259" w:lineRule="auto"/>
              <w:ind w:righ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 xml:space="preserve">Rok izvršenja  </w:t>
            </w:r>
          </w:p>
          <w:p w14:paraId="3F6821D8" w14:textId="2F82E079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 kvartalima u 2022</w:t>
            </w:r>
            <w:r w:rsidRPr="007929E5">
              <w:rPr>
                <w:rFonts w:ascii="Arial" w:hAnsi="Arial" w:cs="Arial"/>
                <w:sz w:val="18"/>
                <w:szCs w:val="18"/>
              </w:rPr>
              <w:t xml:space="preserve">. godini)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73BD4" w14:textId="77777777" w:rsidR="007929E5" w:rsidRPr="007929E5" w:rsidRDefault="007929E5" w:rsidP="007929E5">
            <w:pPr>
              <w:spacing w:line="259" w:lineRule="auto"/>
              <w:ind w:left="492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  <w:r w:rsidRPr="007929E5">
              <w:rPr>
                <w:rFonts w:ascii="Arial" w:hAnsi="Arial" w:cs="Arial"/>
                <w:sz w:val="18"/>
                <w:szCs w:val="18"/>
              </w:rPr>
              <w:t>(najmanji organizacijski dio)</w:t>
            </w:r>
            <w:r w:rsidRPr="0079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929E5" w:rsidRPr="00C54BDB" w14:paraId="6FCFBA78" w14:textId="77777777" w:rsidTr="007929E5">
        <w:trPr>
          <w:trHeight w:val="80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B763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3FC9" w14:textId="77777777" w:rsidR="007929E5" w:rsidRPr="007929E5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Održavanje kolegija – općih sjednica svih sudaca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CE4B" w14:textId="77777777" w:rsidR="007929E5" w:rsidRPr="007929E5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kvartal I, II, III, IV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1001" w14:textId="69048C1F" w:rsidR="007929E5" w:rsidRPr="007929E5" w:rsidRDefault="00382122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S</w:t>
            </w:r>
            <w:r w:rsidR="007929E5" w:rsidRPr="007929E5">
              <w:rPr>
                <w:rFonts w:ascii="Arial" w:hAnsi="Arial" w:cs="Arial"/>
                <w:sz w:val="18"/>
                <w:szCs w:val="18"/>
              </w:rPr>
              <w:t>ud</w:t>
            </w:r>
            <w:r>
              <w:rPr>
                <w:rFonts w:ascii="Arial" w:hAnsi="Arial" w:cs="Arial"/>
                <w:sz w:val="18"/>
                <w:szCs w:val="18"/>
              </w:rPr>
              <w:t>, kolegij sudaca</w:t>
            </w:r>
          </w:p>
        </w:tc>
      </w:tr>
      <w:tr w:rsidR="007929E5" w:rsidRPr="00C54BDB" w14:paraId="312BDA05" w14:textId="77777777" w:rsidTr="007929E5">
        <w:trPr>
          <w:trHeight w:val="964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9212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568" w14:textId="77777777" w:rsidR="007929E5" w:rsidRPr="007929E5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 xml:space="preserve">Održavanje sastanaka s predsjednicima općinskih sudova u Kantonu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11D1" w14:textId="556E93E4" w:rsidR="007929E5" w:rsidRPr="007929E5" w:rsidRDefault="00382122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puta godišnje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3C4C" w14:textId="68FA0E35" w:rsidR="007929E5" w:rsidRPr="007929E5" w:rsidRDefault="007929E5" w:rsidP="00382122">
            <w:pPr>
              <w:spacing w:line="259" w:lineRule="auto"/>
              <w:ind w:right="8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 xml:space="preserve">      Predsjednik </w:t>
            </w:r>
            <w:r w:rsidR="00382122">
              <w:rPr>
                <w:rFonts w:ascii="Arial" w:hAnsi="Arial" w:cs="Arial"/>
                <w:sz w:val="18"/>
                <w:szCs w:val="18"/>
              </w:rPr>
              <w:t xml:space="preserve"> ovoga </w:t>
            </w:r>
            <w:r w:rsidRPr="007929E5">
              <w:rPr>
                <w:rFonts w:ascii="Arial" w:hAnsi="Arial" w:cs="Arial"/>
                <w:sz w:val="18"/>
                <w:szCs w:val="18"/>
              </w:rPr>
              <w:t>suda</w:t>
            </w:r>
            <w:r w:rsidR="0038212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929E5" w:rsidRPr="00C54BDB" w14:paraId="66604815" w14:textId="77777777" w:rsidTr="007929E5">
        <w:trPr>
          <w:trHeight w:val="98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44F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30A61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1F27F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2.1.3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203" w14:textId="5805C878" w:rsidR="007929E5" w:rsidRPr="007929E5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Zauzimanje pravnih stavova i pravnih shvaćanja na</w:t>
            </w:r>
            <w:r w:rsidR="00382122">
              <w:rPr>
                <w:rFonts w:ascii="Arial" w:hAnsi="Arial" w:cs="Arial"/>
                <w:sz w:val="18"/>
                <w:szCs w:val="18"/>
              </w:rPr>
              <w:t xml:space="preserve"> kolegiju odnosno</w:t>
            </w:r>
            <w:r w:rsidRPr="007929E5">
              <w:rPr>
                <w:rFonts w:ascii="Arial" w:hAnsi="Arial" w:cs="Arial"/>
                <w:sz w:val="18"/>
                <w:szCs w:val="18"/>
              </w:rPr>
              <w:t xml:space="preserve"> općoj sjednici suda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B8B1" w14:textId="77777777" w:rsidR="007929E5" w:rsidRPr="007929E5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D42B4" w14:textId="77777777" w:rsidR="007929E5" w:rsidRPr="007929E5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34DC85" w14:textId="77777777" w:rsidR="007929E5" w:rsidRPr="007929E5" w:rsidRDefault="007929E5" w:rsidP="007929E5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kvartal I, II, III, IV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87CB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280C4" w14:textId="77777777" w:rsidR="007929E5" w:rsidRPr="007929E5" w:rsidRDefault="007929E5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42A929" w14:textId="282671AF" w:rsidR="007929E5" w:rsidRPr="007929E5" w:rsidRDefault="00382122" w:rsidP="007929E5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S</w:t>
            </w:r>
            <w:r w:rsidR="007929E5" w:rsidRPr="007929E5">
              <w:rPr>
                <w:rFonts w:ascii="Arial" w:hAnsi="Arial" w:cs="Arial"/>
                <w:sz w:val="18"/>
                <w:szCs w:val="18"/>
              </w:rPr>
              <w:t>ud</w:t>
            </w:r>
            <w:r>
              <w:rPr>
                <w:rFonts w:ascii="Arial" w:hAnsi="Arial" w:cs="Arial"/>
                <w:sz w:val="18"/>
                <w:szCs w:val="18"/>
              </w:rPr>
              <w:t>, kolegij sudaca</w:t>
            </w:r>
          </w:p>
        </w:tc>
      </w:tr>
      <w:tr w:rsidR="007929E5" w:rsidRPr="00C54BDB" w14:paraId="376D5665" w14:textId="77777777" w:rsidTr="007929E5">
        <w:trPr>
          <w:trHeight w:val="153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44B1" w14:textId="77777777" w:rsidR="007929E5" w:rsidRPr="007929E5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A05D5" w14:textId="77777777" w:rsidR="007929E5" w:rsidRPr="007929E5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E7373" w14:textId="77777777" w:rsidR="007929E5" w:rsidRPr="007929E5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CFF006" w14:textId="77777777" w:rsidR="007929E5" w:rsidRPr="007929E5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095" w14:textId="77777777" w:rsidR="007929E5" w:rsidRPr="007929E5" w:rsidRDefault="007929E5" w:rsidP="007929E5">
            <w:pPr>
              <w:spacing w:after="19" w:line="259" w:lineRule="auto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Izrada</w:t>
            </w:r>
          </w:p>
          <w:p w14:paraId="377B04E8" w14:textId="77777777" w:rsidR="007929E5" w:rsidRPr="007929E5" w:rsidRDefault="007929E5" w:rsidP="007929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 xml:space="preserve">smjernica, naputaka i sl. za postupanje po ujednačenoj praksi sudova u </w:t>
            </w:r>
          </w:p>
          <w:p w14:paraId="05781BA4" w14:textId="77777777" w:rsidR="007929E5" w:rsidRPr="007929E5" w:rsidRDefault="007929E5" w:rsidP="007929E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 xml:space="preserve">Kantonu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1082" w14:textId="77777777" w:rsidR="007929E5" w:rsidRPr="007929E5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8B3255" w14:textId="77777777" w:rsidR="007929E5" w:rsidRPr="007929E5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1697F5" w14:textId="77777777" w:rsidR="007929E5" w:rsidRPr="007929E5" w:rsidRDefault="007929E5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D06ADE" w14:textId="6C226488" w:rsidR="007929E5" w:rsidRPr="007929E5" w:rsidRDefault="0066172D" w:rsidP="007929E5">
            <w:pPr>
              <w:spacing w:line="259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puta godišnje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B0D3" w14:textId="77777777" w:rsidR="007929E5" w:rsidRPr="007929E5" w:rsidRDefault="007929E5" w:rsidP="007929E5">
            <w:pPr>
              <w:spacing w:line="259" w:lineRule="auto"/>
              <w:ind w:right="4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C50F6" w14:textId="77777777" w:rsidR="007929E5" w:rsidRPr="007929E5" w:rsidRDefault="007929E5" w:rsidP="007929E5">
            <w:pPr>
              <w:spacing w:line="259" w:lineRule="auto"/>
              <w:ind w:right="4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AAE40E" w14:textId="77777777" w:rsidR="007929E5" w:rsidRPr="007929E5" w:rsidRDefault="007929E5" w:rsidP="007929E5">
            <w:pPr>
              <w:spacing w:line="259" w:lineRule="auto"/>
              <w:ind w:right="4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FBBC23" w14:textId="0A8A2611" w:rsidR="007929E5" w:rsidRPr="007929E5" w:rsidRDefault="007929E5" w:rsidP="007929E5">
            <w:pPr>
              <w:spacing w:line="259" w:lineRule="auto"/>
              <w:ind w:right="4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9E5">
              <w:rPr>
                <w:rFonts w:ascii="Arial" w:hAnsi="Arial" w:cs="Arial"/>
                <w:sz w:val="18"/>
                <w:szCs w:val="18"/>
              </w:rPr>
              <w:t>Predsjednik suda</w:t>
            </w:r>
            <w:r w:rsidR="00382122">
              <w:rPr>
                <w:rFonts w:ascii="Arial" w:hAnsi="Arial" w:cs="Arial"/>
                <w:sz w:val="18"/>
                <w:szCs w:val="18"/>
              </w:rPr>
              <w:t>, stručni suradnik</w:t>
            </w:r>
          </w:p>
        </w:tc>
      </w:tr>
    </w:tbl>
    <w:p w14:paraId="41C2AB92" w14:textId="5E27A210" w:rsidR="00846AF5" w:rsidRPr="00FC1980" w:rsidRDefault="00846AF5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969"/>
        <w:gridCol w:w="2322"/>
        <w:gridCol w:w="384"/>
        <w:gridCol w:w="1132"/>
        <w:gridCol w:w="1525"/>
      </w:tblGrid>
      <w:tr w:rsidR="007929E5" w:rsidRPr="00C54BDB" w14:paraId="6C0F77E8" w14:textId="77777777" w:rsidTr="00BD07AC">
        <w:trPr>
          <w:trHeight w:val="565"/>
        </w:trPr>
        <w:tc>
          <w:tcPr>
            <w:tcW w:w="3401" w:type="dxa"/>
            <w:gridSpan w:val="2"/>
            <w:shd w:val="clear" w:color="auto" w:fill="E7E6E6" w:themeFill="background2"/>
          </w:tcPr>
          <w:p w14:paraId="1FB85DE2" w14:textId="77777777" w:rsidR="00BD07AC" w:rsidRDefault="00BD07AC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2E45882B" w14:textId="7E0BA4A6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Strateški cilj 3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3C859770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Unapređenje transparentnosti i dostupnosti informacija o radu suda široj javnosti</w:t>
            </w:r>
          </w:p>
        </w:tc>
      </w:tr>
      <w:tr w:rsidR="007929E5" w:rsidRPr="00C54BDB" w14:paraId="2DFB0535" w14:textId="77777777" w:rsidTr="00C47935">
        <w:trPr>
          <w:trHeight w:val="430"/>
        </w:trPr>
        <w:tc>
          <w:tcPr>
            <w:tcW w:w="3401" w:type="dxa"/>
            <w:gridSpan w:val="2"/>
            <w:shd w:val="clear" w:color="auto" w:fill="E7E6E6" w:themeFill="background2"/>
          </w:tcPr>
          <w:p w14:paraId="2877DF6B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19C2C126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Trogodišnji cilj 3.1.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5F7887E6" w14:textId="77777777" w:rsidR="007929E5" w:rsidRPr="007929E5" w:rsidRDefault="007929E5" w:rsidP="007929E5">
            <w:pPr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Objavljivanje statističkih podataka o radu suda na službenoj web stranici</w:t>
            </w:r>
          </w:p>
          <w:p w14:paraId="2E026C21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7929E5" w:rsidRPr="00C54BDB" w14:paraId="4A7F0BA5" w14:textId="77777777" w:rsidTr="00C47935">
        <w:tc>
          <w:tcPr>
            <w:tcW w:w="3401" w:type="dxa"/>
            <w:gridSpan w:val="2"/>
            <w:vMerge w:val="restart"/>
            <w:shd w:val="clear" w:color="auto" w:fill="E7E6E6" w:themeFill="background2"/>
          </w:tcPr>
          <w:p w14:paraId="4B9BF5D6" w14:textId="77777777" w:rsidR="00BD07AC" w:rsidRDefault="00BD07AC" w:rsidP="007929E5">
            <w:pPr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12038638" w14:textId="7EF65807" w:rsidR="007929E5" w:rsidRPr="007929E5" w:rsidRDefault="007929E5" w:rsidP="007929E5">
            <w:pPr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Pokazatelji za izlazne rezultate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2C40BC28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Očekivani rezultati po godinama</w:t>
            </w:r>
          </w:p>
        </w:tc>
      </w:tr>
      <w:tr w:rsidR="007929E5" w:rsidRPr="00C54BDB" w14:paraId="378625D4" w14:textId="77777777" w:rsidTr="00BD07AC">
        <w:trPr>
          <w:trHeight w:val="360"/>
        </w:trPr>
        <w:tc>
          <w:tcPr>
            <w:tcW w:w="3401" w:type="dxa"/>
            <w:gridSpan w:val="2"/>
            <w:vMerge/>
            <w:shd w:val="clear" w:color="auto" w:fill="E7E6E6" w:themeFill="background2"/>
          </w:tcPr>
          <w:p w14:paraId="06EE8CDD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089EBE8C" w14:textId="0A369C16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2022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(n)</w:t>
            </w:r>
          </w:p>
        </w:tc>
        <w:tc>
          <w:tcPr>
            <w:tcW w:w="1516" w:type="dxa"/>
            <w:gridSpan w:val="2"/>
            <w:shd w:val="clear" w:color="auto" w:fill="E7E6E6" w:themeFill="background2"/>
            <w:vAlign w:val="center"/>
          </w:tcPr>
          <w:p w14:paraId="4D00C68B" w14:textId="158C1276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2023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(n+1)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31CD997D" w14:textId="1863A5A8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2024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(n+2)</w:t>
            </w:r>
          </w:p>
        </w:tc>
      </w:tr>
      <w:tr w:rsidR="007929E5" w:rsidRPr="00C54BDB" w14:paraId="1386A6C7" w14:textId="77777777" w:rsidTr="007929E5">
        <w:tc>
          <w:tcPr>
            <w:tcW w:w="3401" w:type="dxa"/>
            <w:gridSpan w:val="2"/>
            <w:shd w:val="clear" w:color="auto" w:fill="auto"/>
          </w:tcPr>
          <w:p w14:paraId="3066128E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Broj objavljenih statističkih podataka o radu suda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6E29193" w14:textId="647FB029" w:rsidR="007929E5" w:rsidRPr="007929E5" w:rsidRDefault="0066172D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4CF792E3" w14:textId="74B768EF" w:rsidR="007929E5" w:rsidRPr="007929E5" w:rsidRDefault="0066172D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0CAEA2D" w14:textId="74C358EF" w:rsidR="007929E5" w:rsidRPr="007929E5" w:rsidRDefault="0066172D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</w:t>
            </w:r>
          </w:p>
        </w:tc>
      </w:tr>
      <w:tr w:rsidR="007929E5" w:rsidRPr="00C54BDB" w14:paraId="11CD3109" w14:textId="77777777" w:rsidTr="00C47935">
        <w:tc>
          <w:tcPr>
            <w:tcW w:w="1432" w:type="dxa"/>
            <w:shd w:val="clear" w:color="auto" w:fill="E7E6E6" w:themeFill="background2"/>
          </w:tcPr>
          <w:p w14:paraId="2FB8DF62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1969" w:type="dxa"/>
            <w:shd w:val="clear" w:color="auto" w:fill="E7E6E6" w:themeFill="background2"/>
          </w:tcPr>
          <w:p w14:paraId="625E8A31" w14:textId="5E8684CB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Naziv aktivnosti za 2022</w:t>
            </w: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706" w:type="dxa"/>
            <w:gridSpan w:val="2"/>
            <w:shd w:val="clear" w:color="auto" w:fill="E7E6E6" w:themeFill="background2"/>
          </w:tcPr>
          <w:p w14:paraId="5FE8609A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Rok izvršenja </w:t>
            </w:r>
          </w:p>
          <w:p w14:paraId="70CED5E0" w14:textId="369770E8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(po kvartalima u 2022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godini)</w:t>
            </w:r>
          </w:p>
        </w:tc>
        <w:tc>
          <w:tcPr>
            <w:tcW w:w="2657" w:type="dxa"/>
            <w:gridSpan w:val="2"/>
            <w:shd w:val="clear" w:color="auto" w:fill="E7E6E6" w:themeFill="background2"/>
          </w:tcPr>
          <w:p w14:paraId="49EFDBB9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Nosilac 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(najmanji organizacioni dio)</w:t>
            </w:r>
          </w:p>
        </w:tc>
      </w:tr>
      <w:tr w:rsidR="007929E5" w:rsidRPr="00C54BDB" w14:paraId="7CF73A4E" w14:textId="77777777" w:rsidTr="007929E5">
        <w:tc>
          <w:tcPr>
            <w:tcW w:w="1432" w:type="dxa"/>
            <w:shd w:val="clear" w:color="auto" w:fill="auto"/>
          </w:tcPr>
          <w:p w14:paraId="07DEDE2B" w14:textId="77777777" w:rsidR="007929E5" w:rsidRPr="007929E5" w:rsidRDefault="007929E5" w:rsidP="007929E5">
            <w:pPr>
              <w:spacing w:line="276" w:lineRule="auto"/>
              <w:ind w:left="0" w:right="85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  <w:p w14:paraId="0BFDDE6F" w14:textId="77777777" w:rsidR="007929E5" w:rsidRPr="007929E5" w:rsidRDefault="007929E5" w:rsidP="007929E5">
            <w:pPr>
              <w:spacing w:line="276" w:lineRule="auto"/>
              <w:ind w:left="0" w:right="85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969" w:type="dxa"/>
            <w:shd w:val="clear" w:color="auto" w:fill="auto"/>
          </w:tcPr>
          <w:p w14:paraId="254AEE64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Objava statističkih izvještaja o radu suda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46A8304B" w14:textId="07D90BD0" w:rsidR="007929E5" w:rsidRPr="007929E5" w:rsidRDefault="0066172D" w:rsidP="0066172D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 x godišnje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3D518F67" w14:textId="024EED33" w:rsidR="007929E5" w:rsidRPr="007929E5" w:rsidRDefault="00382122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Predsjednik suda, šef pisarne i IKT službenik</w:t>
            </w:r>
          </w:p>
        </w:tc>
      </w:tr>
      <w:tr w:rsidR="007929E5" w:rsidRPr="00C54BDB" w14:paraId="271C06AD" w14:textId="77777777" w:rsidTr="007929E5">
        <w:tc>
          <w:tcPr>
            <w:tcW w:w="1432" w:type="dxa"/>
            <w:shd w:val="clear" w:color="auto" w:fill="auto"/>
          </w:tcPr>
          <w:p w14:paraId="3384C503" w14:textId="77777777" w:rsidR="007929E5" w:rsidRPr="007929E5" w:rsidRDefault="007929E5" w:rsidP="007929E5">
            <w:pPr>
              <w:jc w:val="center"/>
              <w:rPr>
                <w:rFonts w:ascii="Arial" w:eastAsia="Trebuchet MS" w:hAnsi="Arial" w:cs="Arial"/>
                <w:sz w:val="18"/>
                <w:szCs w:val="18"/>
                <w:lang w:val="hr-HR"/>
              </w:rPr>
            </w:pPr>
          </w:p>
          <w:p w14:paraId="0786D58A" w14:textId="77777777" w:rsidR="007929E5" w:rsidRPr="007929E5" w:rsidRDefault="007929E5" w:rsidP="00092CE8">
            <w:pPr>
              <w:ind w:left="0"/>
              <w:jc w:val="center"/>
              <w:rPr>
                <w:rFonts w:ascii="Arial" w:eastAsia="Trebuchet MS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Trebuchet MS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969" w:type="dxa"/>
            <w:shd w:val="clear" w:color="auto" w:fill="auto"/>
          </w:tcPr>
          <w:p w14:paraId="5ABAD39E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Objava podataka o donesenom planu rješavanja predmeta u sudu 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4C552EFC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I, II, III i IV kvartal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AF86A89" w14:textId="01EBE39A" w:rsidR="007929E5" w:rsidRPr="007929E5" w:rsidRDefault="00662BC7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Predsjednik suda, šef pisarne i IKT službenik</w:t>
            </w:r>
          </w:p>
        </w:tc>
      </w:tr>
      <w:tr w:rsidR="007929E5" w:rsidRPr="00C54BDB" w14:paraId="07752E15" w14:textId="77777777" w:rsidTr="007929E5">
        <w:tc>
          <w:tcPr>
            <w:tcW w:w="1432" w:type="dxa"/>
            <w:shd w:val="clear" w:color="auto" w:fill="auto"/>
          </w:tcPr>
          <w:p w14:paraId="7938ECE4" w14:textId="77777777" w:rsidR="007929E5" w:rsidRPr="007929E5" w:rsidRDefault="007929E5" w:rsidP="007929E5">
            <w:pPr>
              <w:ind w:left="0"/>
              <w:jc w:val="center"/>
              <w:rPr>
                <w:rFonts w:ascii="Arial" w:eastAsia="Trebuchet MS" w:hAnsi="Arial" w:cs="Arial"/>
                <w:sz w:val="18"/>
                <w:szCs w:val="18"/>
                <w:lang w:val="hr-HR"/>
              </w:rPr>
            </w:pPr>
          </w:p>
          <w:p w14:paraId="17E4E310" w14:textId="77777777" w:rsidR="007929E5" w:rsidRPr="007929E5" w:rsidRDefault="007929E5" w:rsidP="007929E5">
            <w:pPr>
              <w:ind w:left="0"/>
              <w:jc w:val="center"/>
              <w:rPr>
                <w:rFonts w:ascii="Arial" w:eastAsia="Trebuchet MS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Trebuchet MS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14:paraId="42E79695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Objava statističkih podataka o realizaciji plana rješavanja predmeta u sudu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4988ADB1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I, II, III i IV kvartal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B7C37CB" w14:textId="0DD0EF81" w:rsidR="007929E5" w:rsidRPr="007929E5" w:rsidRDefault="00662BC7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Predsjednik suda, šef pisarne i I</w:t>
            </w:r>
            <w:r w:rsidR="00A84703">
              <w:rPr>
                <w:rFonts w:ascii="Arial" w:eastAsia="Calibri" w:hAnsi="Arial" w:cs="Arial"/>
                <w:sz w:val="18"/>
                <w:szCs w:val="18"/>
                <w:lang w:val="hr-HR"/>
              </w:rPr>
              <w:t>K</w:t>
            </w: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T službenik</w:t>
            </w:r>
          </w:p>
        </w:tc>
      </w:tr>
    </w:tbl>
    <w:p w14:paraId="0BADB35D" w14:textId="5C821B73" w:rsidR="00846AF5" w:rsidRDefault="00846AF5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969"/>
        <w:gridCol w:w="2322"/>
        <w:gridCol w:w="384"/>
        <w:gridCol w:w="1132"/>
        <w:gridCol w:w="1525"/>
      </w:tblGrid>
      <w:tr w:rsidR="007929E5" w:rsidRPr="00C54BDB" w14:paraId="1C0A877B" w14:textId="77777777" w:rsidTr="00BD07AC">
        <w:trPr>
          <w:trHeight w:val="572"/>
        </w:trPr>
        <w:tc>
          <w:tcPr>
            <w:tcW w:w="3401" w:type="dxa"/>
            <w:gridSpan w:val="2"/>
            <w:shd w:val="clear" w:color="auto" w:fill="E7E6E6" w:themeFill="background2"/>
          </w:tcPr>
          <w:p w14:paraId="3E4AC584" w14:textId="77777777" w:rsidR="00BD07AC" w:rsidRDefault="00BD07AC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1110919B" w14:textId="619F7B51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Strateški cilj 3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43AE9803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Unapređenje transparentnosti i dostupnosti informacija o radu suda široj javnosti</w:t>
            </w:r>
          </w:p>
        </w:tc>
      </w:tr>
      <w:tr w:rsidR="007929E5" w:rsidRPr="00C54BDB" w14:paraId="7210B028" w14:textId="77777777" w:rsidTr="00BD07AC">
        <w:trPr>
          <w:trHeight w:val="694"/>
        </w:trPr>
        <w:tc>
          <w:tcPr>
            <w:tcW w:w="3401" w:type="dxa"/>
            <w:gridSpan w:val="2"/>
            <w:shd w:val="clear" w:color="auto" w:fill="E7E6E6" w:themeFill="background2"/>
          </w:tcPr>
          <w:p w14:paraId="5AFC2BBC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1726B207" w14:textId="558832CB" w:rsidR="007929E5" w:rsidRPr="007929E5" w:rsidRDefault="007929E5" w:rsidP="00BD07AC">
            <w:pPr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Trogodišnji cilj 3.2.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42886B25" w14:textId="77777777" w:rsidR="007929E5" w:rsidRPr="007929E5" w:rsidRDefault="007929E5" w:rsidP="007929E5">
            <w:pPr>
              <w:ind w:left="7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Uspostava redovne prakse objavljivanja saopćenja za medije u vidu konferencija, izjava ili pisanog izvještavanja</w:t>
            </w:r>
          </w:p>
          <w:p w14:paraId="0683318D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</w:tr>
      <w:tr w:rsidR="007929E5" w:rsidRPr="00C54BDB" w14:paraId="35E8931A" w14:textId="77777777" w:rsidTr="00C47935">
        <w:tc>
          <w:tcPr>
            <w:tcW w:w="3401" w:type="dxa"/>
            <w:gridSpan w:val="2"/>
            <w:vMerge w:val="restart"/>
            <w:shd w:val="clear" w:color="auto" w:fill="E7E6E6" w:themeFill="background2"/>
          </w:tcPr>
          <w:p w14:paraId="4AD5D191" w14:textId="77777777" w:rsidR="00BD07AC" w:rsidRDefault="00BD07AC" w:rsidP="007929E5">
            <w:pPr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0542E8BE" w14:textId="67B94D42" w:rsidR="007929E5" w:rsidRPr="007929E5" w:rsidRDefault="007929E5" w:rsidP="007929E5">
            <w:pPr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Pokazatelji za izlazne rezultate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72E77E63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Očekivani rezultati po godinama</w:t>
            </w:r>
          </w:p>
        </w:tc>
      </w:tr>
      <w:tr w:rsidR="007929E5" w:rsidRPr="00C54BDB" w14:paraId="7D8A2BDE" w14:textId="77777777" w:rsidTr="00BD07AC">
        <w:trPr>
          <w:trHeight w:val="298"/>
        </w:trPr>
        <w:tc>
          <w:tcPr>
            <w:tcW w:w="3401" w:type="dxa"/>
            <w:gridSpan w:val="2"/>
            <w:vMerge/>
            <w:shd w:val="clear" w:color="auto" w:fill="E7E6E6" w:themeFill="background2"/>
          </w:tcPr>
          <w:p w14:paraId="36601F18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20959C9C" w14:textId="11FB9732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2022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(n)</w:t>
            </w:r>
          </w:p>
        </w:tc>
        <w:tc>
          <w:tcPr>
            <w:tcW w:w="1516" w:type="dxa"/>
            <w:gridSpan w:val="2"/>
            <w:shd w:val="clear" w:color="auto" w:fill="E7E6E6" w:themeFill="background2"/>
            <w:vAlign w:val="center"/>
          </w:tcPr>
          <w:p w14:paraId="26A5CBB0" w14:textId="50E342DC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2023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(n+1)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4183EF90" w14:textId="5A3110F2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2024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(n+2)</w:t>
            </w:r>
          </w:p>
        </w:tc>
      </w:tr>
      <w:tr w:rsidR="007929E5" w:rsidRPr="00C54BDB" w14:paraId="02DB6818" w14:textId="77777777" w:rsidTr="007929E5">
        <w:tc>
          <w:tcPr>
            <w:tcW w:w="3401" w:type="dxa"/>
            <w:gridSpan w:val="2"/>
            <w:shd w:val="clear" w:color="auto" w:fill="auto"/>
          </w:tcPr>
          <w:p w14:paraId="38C1EB92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Broj objavljenih saopćenja za medije u vidu konferencija, izjava ili pisanog izvještavanja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27706B3" w14:textId="1E5480AE" w:rsidR="007929E5" w:rsidRPr="007929E5" w:rsidRDefault="006E72F0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2B48BF85" w14:textId="066781CF" w:rsidR="007929E5" w:rsidRPr="007929E5" w:rsidRDefault="006E72F0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E81787" w14:textId="501504AC" w:rsidR="007929E5" w:rsidRPr="007929E5" w:rsidRDefault="006E72F0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5</w:t>
            </w:r>
          </w:p>
        </w:tc>
      </w:tr>
      <w:tr w:rsidR="007929E5" w:rsidRPr="00C54BDB" w14:paraId="6AA8B380" w14:textId="77777777" w:rsidTr="00C47935">
        <w:tc>
          <w:tcPr>
            <w:tcW w:w="1432" w:type="dxa"/>
            <w:shd w:val="clear" w:color="auto" w:fill="E7E6E6" w:themeFill="background2"/>
          </w:tcPr>
          <w:p w14:paraId="36351039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1969" w:type="dxa"/>
            <w:shd w:val="clear" w:color="auto" w:fill="E7E6E6" w:themeFill="background2"/>
          </w:tcPr>
          <w:p w14:paraId="2CBC3AB2" w14:textId="743A40A9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Naziv aktivnosti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za 2022</w:t>
            </w: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706" w:type="dxa"/>
            <w:gridSpan w:val="2"/>
            <w:shd w:val="clear" w:color="auto" w:fill="E7E6E6" w:themeFill="background2"/>
          </w:tcPr>
          <w:p w14:paraId="4C247CEE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Rok izvršenja </w:t>
            </w:r>
          </w:p>
          <w:p w14:paraId="2ED98E21" w14:textId="55A408DA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(po kvartalima u 2022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godini)</w:t>
            </w:r>
          </w:p>
        </w:tc>
        <w:tc>
          <w:tcPr>
            <w:tcW w:w="2657" w:type="dxa"/>
            <w:gridSpan w:val="2"/>
            <w:shd w:val="clear" w:color="auto" w:fill="E7E6E6" w:themeFill="background2"/>
          </w:tcPr>
          <w:p w14:paraId="6B2E4F65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Nosilac 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(najmanji organizacioni dio)</w:t>
            </w:r>
          </w:p>
        </w:tc>
      </w:tr>
      <w:tr w:rsidR="007929E5" w:rsidRPr="00C54BDB" w14:paraId="500A2FF4" w14:textId="77777777" w:rsidTr="007929E5">
        <w:tc>
          <w:tcPr>
            <w:tcW w:w="1432" w:type="dxa"/>
            <w:shd w:val="clear" w:color="auto" w:fill="auto"/>
          </w:tcPr>
          <w:p w14:paraId="64FB1F39" w14:textId="77777777" w:rsidR="007929E5" w:rsidRPr="007929E5" w:rsidRDefault="007929E5" w:rsidP="007929E5">
            <w:pPr>
              <w:spacing w:line="276" w:lineRule="auto"/>
              <w:ind w:right="85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969" w:type="dxa"/>
            <w:shd w:val="clear" w:color="auto" w:fill="auto"/>
          </w:tcPr>
          <w:p w14:paraId="10E9B2DD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Objava saopćenja za medije i javnost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707F8400" w14:textId="16B3EA11" w:rsidR="007929E5" w:rsidRPr="007929E5" w:rsidRDefault="006E72F0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3</w:t>
            </w:r>
            <w:r w:rsidR="007929E5"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puta u toku godine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66F7EB49" w14:textId="1A221DBB" w:rsidR="007929E5" w:rsidRPr="007929E5" w:rsidRDefault="00662BC7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Predsjednik suda, stručni suradnik</w:t>
            </w:r>
            <w:r w:rsidR="007929E5"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0663E572" w14:textId="34D417D0" w:rsidR="007929E5" w:rsidRDefault="007929E5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47A262CD" w14:textId="6DCB1E2E" w:rsidR="007929E5" w:rsidRDefault="007929E5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2451BA48" w14:textId="35D65E36" w:rsidR="007929E5" w:rsidRDefault="007929E5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7BE9108F" w14:textId="77777777" w:rsidR="007929E5" w:rsidRDefault="007929E5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969"/>
        <w:gridCol w:w="2322"/>
        <w:gridCol w:w="384"/>
        <w:gridCol w:w="1132"/>
        <w:gridCol w:w="1525"/>
      </w:tblGrid>
      <w:tr w:rsidR="007929E5" w:rsidRPr="00C54BDB" w14:paraId="6137B0B1" w14:textId="77777777" w:rsidTr="00C47935">
        <w:tc>
          <w:tcPr>
            <w:tcW w:w="3401" w:type="dxa"/>
            <w:gridSpan w:val="2"/>
            <w:shd w:val="clear" w:color="auto" w:fill="E7E6E6" w:themeFill="background2"/>
          </w:tcPr>
          <w:p w14:paraId="447D7552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Strateški cilj 3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1C0AB112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Unapređenje transparentnosti i dostupnosti informacija o radu suda široj javnosti</w:t>
            </w:r>
          </w:p>
        </w:tc>
      </w:tr>
      <w:tr w:rsidR="007929E5" w:rsidRPr="00C54BDB" w14:paraId="31B9859C" w14:textId="77777777" w:rsidTr="00C47935">
        <w:trPr>
          <w:trHeight w:val="748"/>
        </w:trPr>
        <w:tc>
          <w:tcPr>
            <w:tcW w:w="3401" w:type="dxa"/>
            <w:gridSpan w:val="2"/>
            <w:shd w:val="clear" w:color="auto" w:fill="E7E6E6" w:themeFill="background2"/>
          </w:tcPr>
          <w:p w14:paraId="30825623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</w:p>
          <w:p w14:paraId="132F3C68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Trogodišnji cilj 3.3.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162D2465" w14:textId="77777777" w:rsidR="007929E5" w:rsidRPr="007929E5" w:rsidRDefault="007929E5" w:rsidP="007929E5">
            <w:pPr>
              <w:ind w:left="72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Objavljivanje sudskih odluka u kaznenim i drugim predmetima od značaja za javnost na službenoj web stranici</w:t>
            </w:r>
          </w:p>
          <w:p w14:paraId="5CD9FC86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</w:tr>
      <w:tr w:rsidR="007929E5" w:rsidRPr="00C54BDB" w14:paraId="5641E635" w14:textId="77777777" w:rsidTr="00C47935">
        <w:tc>
          <w:tcPr>
            <w:tcW w:w="3401" w:type="dxa"/>
            <w:gridSpan w:val="2"/>
            <w:vMerge w:val="restart"/>
            <w:shd w:val="clear" w:color="auto" w:fill="E7E6E6" w:themeFill="background2"/>
          </w:tcPr>
          <w:p w14:paraId="35477ED9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Pokazatelji za izlazne rezultate</w:t>
            </w:r>
          </w:p>
        </w:tc>
        <w:tc>
          <w:tcPr>
            <w:tcW w:w="5363" w:type="dxa"/>
            <w:gridSpan w:val="4"/>
            <w:shd w:val="clear" w:color="auto" w:fill="E7E6E6" w:themeFill="background2"/>
            <w:vAlign w:val="center"/>
          </w:tcPr>
          <w:p w14:paraId="12DA281F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Očekivani rezultati po godinama</w:t>
            </w:r>
          </w:p>
        </w:tc>
      </w:tr>
      <w:tr w:rsidR="007929E5" w:rsidRPr="00C54BDB" w14:paraId="7C02FB23" w14:textId="77777777" w:rsidTr="00C47935">
        <w:tc>
          <w:tcPr>
            <w:tcW w:w="3401" w:type="dxa"/>
            <w:gridSpan w:val="2"/>
            <w:vMerge/>
            <w:shd w:val="clear" w:color="auto" w:fill="E7E6E6" w:themeFill="background2"/>
          </w:tcPr>
          <w:p w14:paraId="39295AE4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322" w:type="dxa"/>
            <w:shd w:val="clear" w:color="auto" w:fill="E7E6E6" w:themeFill="background2"/>
            <w:vAlign w:val="center"/>
          </w:tcPr>
          <w:p w14:paraId="0290BC4A" w14:textId="46860245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2022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(n)</w:t>
            </w:r>
          </w:p>
        </w:tc>
        <w:tc>
          <w:tcPr>
            <w:tcW w:w="1516" w:type="dxa"/>
            <w:gridSpan w:val="2"/>
            <w:shd w:val="clear" w:color="auto" w:fill="E7E6E6" w:themeFill="background2"/>
            <w:vAlign w:val="center"/>
          </w:tcPr>
          <w:p w14:paraId="05942619" w14:textId="3A5F8A4E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2023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(n+1)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1F863DF1" w14:textId="16973C52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2024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(n+2)</w:t>
            </w:r>
          </w:p>
        </w:tc>
      </w:tr>
      <w:tr w:rsidR="007929E5" w:rsidRPr="00C54BDB" w14:paraId="4AEDB78F" w14:textId="77777777" w:rsidTr="007929E5">
        <w:tc>
          <w:tcPr>
            <w:tcW w:w="3401" w:type="dxa"/>
            <w:gridSpan w:val="2"/>
            <w:shd w:val="clear" w:color="auto" w:fill="auto"/>
          </w:tcPr>
          <w:p w14:paraId="1969724E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Broj objavljenih odluka suda u krivičnim i ostalim predmetima 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52CA83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6C2FFBEC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7E08227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8</w:t>
            </w:r>
          </w:p>
        </w:tc>
      </w:tr>
      <w:tr w:rsidR="007929E5" w:rsidRPr="00C54BDB" w14:paraId="751D4851" w14:textId="77777777" w:rsidTr="00C47935">
        <w:tc>
          <w:tcPr>
            <w:tcW w:w="1432" w:type="dxa"/>
            <w:shd w:val="clear" w:color="auto" w:fill="E7E6E6" w:themeFill="background2"/>
          </w:tcPr>
          <w:p w14:paraId="1CA7B4EE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1969" w:type="dxa"/>
            <w:shd w:val="clear" w:color="auto" w:fill="E7E6E6" w:themeFill="background2"/>
          </w:tcPr>
          <w:p w14:paraId="68D4C8FA" w14:textId="2A98624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Naziv aktivnosti za 2022</w:t>
            </w: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706" w:type="dxa"/>
            <w:gridSpan w:val="2"/>
            <w:shd w:val="clear" w:color="auto" w:fill="E7E6E6" w:themeFill="background2"/>
          </w:tcPr>
          <w:p w14:paraId="462F19B4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Rok izvršenja </w:t>
            </w:r>
          </w:p>
          <w:p w14:paraId="17F9E409" w14:textId="7739744F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(po kvartalima u 2022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. godini)</w:t>
            </w:r>
          </w:p>
        </w:tc>
        <w:tc>
          <w:tcPr>
            <w:tcW w:w="2657" w:type="dxa"/>
            <w:gridSpan w:val="2"/>
            <w:shd w:val="clear" w:color="auto" w:fill="E7E6E6" w:themeFill="background2"/>
          </w:tcPr>
          <w:p w14:paraId="68ADF858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b/>
                <w:sz w:val="18"/>
                <w:szCs w:val="18"/>
                <w:lang w:val="hr-HR"/>
              </w:rPr>
              <w:t xml:space="preserve">Nosilac </w:t>
            </w: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(najmanji organizacioni dio)</w:t>
            </w:r>
          </w:p>
        </w:tc>
      </w:tr>
      <w:tr w:rsidR="007929E5" w:rsidRPr="00C54BDB" w14:paraId="0375E551" w14:textId="77777777" w:rsidTr="007929E5">
        <w:tc>
          <w:tcPr>
            <w:tcW w:w="1432" w:type="dxa"/>
            <w:shd w:val="clear" w:color="auto" w:fill="auto"/>
          </w:tcPr>
          <w:p w14:paraId="7F6C5165" w14:textId="77777777" w:rsidR="007929E5" w:rsidRPr="007929E5" w:rsidRDefault="007929E5" w:rsidP="007929E5">
            <w:pPr>
              <w:spacing w:line="276" w:lineRule="auto"/>
              <w:ind w:right="85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969" w:type="dxa"/>
            <w:shd w:val="clear" w:color="auto" w:fill="auto"/>
          </w:tcPr>
          <w:p w14:paraId="797B8733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Objavljivanje odluka suda 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12FEA4F1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Kontinuirano u toku godine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4E0A7D4E" w14:textId="2340B0AD" w:rsidR="007929E5" w:rsidRPr="007929E5" w:rsidRDefault="00662BC7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Predsjednik suda, IKT službenik</w:t>
            </w:r>
            <w:r w:rsidR="007929E5"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 xml:space="preserve"> </w:t>
            </w:r>
          </w:p>
        </w:tc>
      </w:tr>
      <w:tr w:rsidR="007929E5" w:rsidRPr="00C54BDB" w14:paraId="13D2C7FA" w14:textId="77777777" w:rsidTr="007929E5">
        <w:tc>
          <w:tcPr>
            <w:tcW w:w="1432" w:type="dxa"/>
            <w:shd w:val="clear" w:color="auto" w:fill="auto"/>
          </w:tcPr>
          <w:p w14:paraId="5CEB0EF1" w14:textId="77777777" w:rsidR="007929E5" w:rsidRPr="007929E5" w:rsidRDefault="007929E5" w:rsidP="007929E5">
            <w:pPr>
              <w:spacing w:line="276" w:lineRule="auto"/>
              <w:ind w:right="85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969" w:type="dxa"/>
            <w:shd w:val="clear" w:color="auto" w:fill="auto"/>
          </w:tcPr>
          <w:p w14:paraId="40A92E6F" w14:textId="77777777" w:rsidR="007929E5" w:rsidRPr="007929E5" w:rsidRDefault="007929E5" w:rsidP="007929E5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Identifikacija odluka koje se mogu objaviti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35672DF8" w14:textId="77777777" w:rsidR="007929E5" w:rsidRPr="007929E5" w:rsidRDefault="007929E5" w:rsidP="007929E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 w:rsidRPr="007929E5">
              <w:rPr>
                <w:rFonts w:ascii="Arial" w:eastAsia="Calibri" w:hAnsi="Arial" w:cs="Arial"/>
                <w:sz w:val="18"/>
                <w:szCs w:val="18"/>
                <w:lang w:val="hr-HR"/>
              </w:rPr>
              <w:t>Kontinuirano u toku godine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25B4E2C" w14:textId="0A5D27C1" w:rsidR="007929E5" w:rsidRPr="007929E5" w:rsidRDefault="00662BC7" w:rsidP="00662BC7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hr-HR"/>
              </w:rPr>
              <w:t>Predsjednik suda, IKT službenik</w:t>
            </w:r>
          </w:p>
        </w:tc>
      </w:tr>
    </w:tbl>
    <w:p w14:paraId="3838C28A" w14:textId="77777777" w:rsidR="007929E5" w:rsidRPr="00FC1980" w:rsidRDefault="007929E5" w:rsidP="009701D8">
      <w:pPr>
        <w:spacing w:before="40" w:line="276" w:lineRule="auto"/>
        <w:ind w:left="0"/>
        <w:jc w:val="both"/>
        <w:rPr>
          <w:rFonts w:ascii="Arial" w:hAnsi="Arial" w:cs="Arial"/>
          <w:w w:val="95"/>
          <w:sz w:val="28"/>
          <w:szCs w:val="24"/>
          <w:lang w:val="hr-HR"/>
        </w:rPr>
      </w:pPr>
    </w:p>
    <w:p w14:paraId="5D2C297C" w14:textId="0B17D8EA" w:rsidR="00850FF6" w:rsidRPr="00092CE8" w:rsidRDefault="00850FF6" w:rsidP="00A84703">
      <w:pPr>
        <w:pStyle w:val="Heading1"/>
        <w:numPr>
          <w:ilvl w:val="0"/>
          <w:numId w:val="36"/>
        </w:numPr>
        <w:rPr>
          <w:color w:val="767171" w:themeColor="background2" w:themeShade="80"/>
        </w:rPr>
      </w:pPr>
      <w:bookmarkStart w:id="13" w:name="_Toc29479787"/>
      <w:bookmarkStart w:id="14" w:name="_Toc39666949"/>
      <w:bookmarkStart w:id="15" w:name="_Toc91766457"/>
      <w:r w:rsidRPr="00092CE8">
        <w:rPr>
          <w:color w:val="767171" w:themeColor="background2" w:themeShade="80"/>
        </w:rPr>
        <w:t>Godišnji plan rješavanja sudskih predmeta</w:t>
      </w:r>
      <w:bookmarkEnd w:id="13"/>
      <w:bookmarkEnd w:id="14"/>
      <w:bookmarkEnd w:id="15"/>
    </w:p>
    <w:p w14:paraId="2CE945DA" w14:textId="77777777" w:rsidR="00B02C08" w:rsidRPr="00B02C08" w:rsidRDefault="00B02C08" w:rsidP="00B02C08">
      <w:pPr>
        <w:rPr>
          <w:lang w:val="hr-HR"/>
        </w:rPr>
      </w:pPr>
    </w:p>
    <w:p w14:paraId="2A5C1EEF" w14:textId="5A513765" w:rsidR="00662BC7" w:rsidRPr="00A84703" w:rsidRDefault="00662BC7" w:rsidP="00A84703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A84703">
        <w:rPr>
          <w:rFonts w:ascii="Arial" w:hAnsi="Arial" w:cs="Arial"/>
          <w:sz w:val="24"/>
          <w:szCs w:val="24"/>
          <w:lang w:val="hr-HR"/>
        </w:rPr>
        <w:t>Kantonalni sud u Odžaku, u skladu sa Naputkom VSTV-a , sačinjava kvartalne i godišn</w:t>
      </w:r>
      <w:r w:rsidR="00B25465">
        <w:rPr>
          <w:rFonts w:ascii="Arial" w:hAnsi="Arial" w:cs="Arial"/>
          <w:sz w:val="24"/>
          <w:szCs w:val="24"/>
          <w:lang w:val="hr-HR"/>
        </w:rPr>
        <w:t xml:space="preserve">je planove rješavanja predmeta. </w:t>
      </w:r>
      <w:r w:rsidRPr="00A84703">
        <w:rPr>
          <w:rFonts w:ascii="Arial" w:hAnsi="Arial" w:cs="Arial"/>
          <w:sz w:val="24"/>
          <w:szCs w:val="24"/>
          <w:lang w:val="hr-HR"/>
        </w:rPr>
        <w:t>Kada se radi o neriješenim drugostupanjskim predmeti</w:t>
      </w:r>
      <w:r w:rsidR="0015166E" w:rsidRPr="00A84703">
        <w:rPr>
          <w:rFonts w:ascii="Arial" w:hAnsi="Arial" w:cs="Arial"/>
          <w:sz w:val="24"/>
          <w:szCs w:val="24"/>
          <w:lang w:val="hr-HR"/>
        </w:rPr>
        <w:t xml:space="preserve">ma sačinjava se kvartalni plan </w:t>
      </w:r>
      <w:r w:rsidRPr="00A84703">
        <w:rPr>
          <w:rFonts w:ascii="Arial" w:hAnsi="Arial" w:cs="Arial"/>
          <w:sz w:val="24"/>
          <w:szCs w:val="24"/>
          <w:lang w:val="hr-HR"/>
        </w:rPr>
        <w:t>a u slučaju neriješenih prvostupanjskih predmeta sačinjava se godišnji plan.</w:t>
      </w:r>
      <w:r w:rsidR="0015166E" w:rsidRPr="00A84703">
        <w:rPr>
          <w:rFonts w:ascii="Arial" w:hAnsi="Arial" w:cs="Arial"/>
          <w:sz w:val="24"/>
          <w:szCs w:val="24"/>
          <w:lang w:val="hr-HR"/>
        </w:rPr>
        <w:t xml:space="preserve"> U siječnju/januaru 2022. godine ovaj sud je sačinio Plan rješavanja predmeta za 2022. godinu, pod brojem 002- 0- Su- 22-000 </w:t>
      </w:r>
      <w:r w:rsidR="00B02C08" w:rsidRPr="00A84703">
        <w:rPr>
          <w:rFonts w:ascii="Arial" w:hAnsi="Arial" w:cs="Arial"/>
          <w:sz w:val="24"/>
          <w:szCs w:val="24"/>
          <w:lang w:val="hr-HR"/>
        </w:rPr>
        <w:t>01</w:t>
      </w:r>
      <w:r w:rsidR="00BB5B33" w:rsidRPr="00A84703">
        <w:rPr>
          <w:rFonts w:ascii="Arial" w:hAnsi="Arial" w:cs="Arial"/>
          <w:sz w:val="24"/>
          <w:szCs w:val="24"/>
          <w:lang w:val="hr-HR"/>
        </w:rPr>
        <w:t>2, od 07</w:t>
      </w:r>
      <w:r w:rsidR="00B02C08" w:rsidRPr="00A84703">
        <w:rPr>
          <w:rFonts w:ascii="Arial" w:hAnsi="Arial" w:cs="Arial"/>
          <w:sz w:val="24"/>
          <w:szCs w:val="24"/>
          <w:lang w:val="hr-HR"/>
        </w:rPr>
        <w:t>.01.2022. godine ( kvartalni i godišnji plan) u koje je uvršteno ukupno 3 predmeta.</w:t>
      </w:r>
    </w:p>
    <w:p w14:paraId="02405577" w14:textId="77777777" w:rsidR="00850FF6" w:rsidRPr="009701D8" w:rsidRDefault="00850FF6" w:rsidP="00A84703">
      <w:pPr>
        <w:spacing w:before="40" w:line="276" w:lineRule="auto"/>
        <w:ind w:left="0"/>
        <w:jc w:val="both"/>
        <w:rPr>
          <w:rFonts w:ascii="Arial" w:hAnsi="Arial" w:cs="Arial"/>
          <w:w w:val="95"/>
          <w:sz w:val="24"/>
          <w:szCs w:val="24"/>
          <w:lang w:val="hr-HR"/>
        </w:rPr>
      </w:pPr>
    </w:p>
    <w:p w14:paraId="32F2A6F0" w14:textId="77777777" w:rsidR="007430D9" w:rsidRPr="00092CE8" w:rsidRDefault="009A011D" w:rsidP="00A84703">
      <w:pPr>
        <w:pStyle w:val="Heading1"/>
        <w:numPr>
          <w:ilvl w:val="0"/>
          <w:numId w:val="36"/>
        </w:numPr>
        <w:rPr>
          <w:color w:val="767171" w:themeColor="background2" w:themeShade="80"/>
        </w:rPr>
      </w:pPr>
      <w:bookmarkStart w:id="16" w:name="_Toc91766458"/>
      <w:r w:rsidRPr="00092CE8">
        <w:rPr>
          <w:color w:val="767171" w:themeColor="background2" w:themeShade="80"/>
        </w:rPr>
        <w:t>Ostale informacije</w:t>
      </w:r>
      <w:bookmarkEnd w:id="16"/>
    </w:p>
    <w:p w14:paraId="22E3381D" w14:textId="3B4075C4" w:rsidR="005D4799" w:rsidRDefault="009A011D" w:rsidP="007430D9">
      <w:pPr>
        <w:pStyle w:val="Heading1"/>
        <w:ind w:left="780"/>
      </w:pPr>
      <w:r>
        <w:t xml:space="preserve"> </w:t>
      </w:r>
    </w:p>
    <w:p w14:paraId="7CC7D6AD" w14:textId="4487552A" w:rsidR="00D71EA3" w:rsidRDefault="00BB5B33" w:rsidP="00A84703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 w:rsidRPr="00A84703">
        <w:rPr>
          <w:rFonts w:ascii="Arial" w:hAnsi="Arial" w:cs="Arial"/>
          <w:sz w:val="24"/>
          <w:szCs w:val="24"/>
          <w:lang w:val="hr-HR"/>
        </w:rPr>
        <w:t xml:space="preserve">U Kantonalnom sudu u Odžaku </w:t>
      </w:r>
      <w:r w:rsidR="006E72F0">
        <w:rPr>
          <w:rFonts w:ascii="Arial" w:hAnsi="Arial" w:cs="Arial"/>
          <w:sz w:val="24"/>
          <w:szCs w:val="24"/>
          <w:lang w:val="hr-HR"/>
        </w:rPr>
        <w:t>rade</w:t>
      </w:r>
      <w:bookmarkStart w:id="17" w:name="_GoBack"/>
      <w:bookmarkEnd w:id="17"/>
      <w:r w:rsidR="007430D9" w:rsidRPr="00A84703">
        <w:rPr>
          <w:rFonts w:ascii="Arial" w:hAnsi="Arial" w:cs="Arial"/>
          <w:sz w:val="24"/>
          <w:szCs w:val="24"/>
          <w:lang w:val="hr-HR"/>
        </w:rPr>
        <w:t xml:space="preserve"> </w:t>
      </w:r>
      <w:r w:rsidRPr="00A84703">
        <w:rPr>
          <w:rFonts w:ascii="Arial" w:hAnsi="Arial" w:cs="Arial"/>
          <w:sz w:val="24"/>
          <w:szCs w:val="24"/>
          <w:lang w:val="hr-HR"/>
        </w:rPr>
        <w:t>ukupno 4 suca</w:t>
      </w:r>
      <w:r w:rsidR="007430D9" w:rsidRPr="00A84703">
        <w:rPr>
          <w:rFonts w:ascii="Arial" w:hAnsi="Arial" w:cs="Arial"/>
          <w:sz w:val="24"/>
          <w:szCs w:val="24"/>
          <w:lang w:val="hr-HR"/>
        </w:rPr>
        <w:t xml:space="preserve"> ( zajedno sa predsjednikom suda), s tim što sud od 02.04.2021. godine radi sa 3 suca jer je 1 sudac suspendiran sa dužnosti. U sudu je uposleno još 12 djelatnika ( </w:t>
      </w:r>
      <w:r w:rsidR="00D71EA3" w:rsidRPr="00A84703">
        <w:rPr>
          <w:rFonts w:ascii="Arial" w:hAnsi="Arial" w:cs="Arial"/>
          <w:sz w:val="24"/>
          <w:szCs w:val="24"/>
          <w:lang w:val="hr-HR"/>
        </w:rPr>
        <w:t>11 namještenika</w:t>
      </w:r>
      <w:r w:rsidR="007430D9" w:rsidRPr="00A84703">
        <w:rPr>
          <w:rFonts w:ascii="Arial" w:hAnsi="Arial" w:cs="Arial"/>
          <w:sz w:val="24"/>
          <w:szCs w:val="24"/>
          <w:lang w:val="hr-HR"/>
        </w:rPr>
        <w:t xml:space="preserve"> i  1 državni službenik). Sud i ove 2022. godine ima odobren dostatan proračun za rad suda i to u iznosu od  </w:t>
      </w:r>
      <w:r w:rsidR="00D71EA3" w:rsidRPr="00A84703">
        <w:rPr>
          <w:rFonts w:ascii="Arial" w:hAnsi="Arial" w:cs="Arial"/>
          <w:sz w:val="24"/>
          <w:szCs w:val="24"/>
          <w:lang w:val="hr-HR"/>
        </w:rPr>
        <w:t>759.280,00 KM, s kojim iznosom će se moći realizirati i ovaj program rada</w:t>
      </w:r>
      <w:r w:rsidR="00A84703">
        <w:rPr>
          <w:rFonts w:ascii="Arial" w:hAnsi="Arial" w:cs="Arial"/>
          <w:sz w:val="24"/>
          <w:szCs w:val="24"/>
          <w:lang w:val="hr-HR"/>
        </w:rPr>
        <w:t>.</w:t>
      </w:r>
    </w:p>
    <w:p w14:paraId="4F0DE243" w14:textId="77777777" w:rsidR="00002315" w:rsidRPr="00A84703" w:rsidRDefault="00002315" w:rsidP="00A84703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3BB74F53" w14:textId="36E4EBD8" w:rsidR="00D71EA3" w:rsidRPr="00A84703" w:rsidRDefault="00D71EA3" w:rsidP="007430D9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7388BEC" w14:textId="79FF9AFD" w:rsidR="00D71EA3" w:rsidRDefault="00D71EA3" w:rsidP="007430D9">
      <w:pPr>
        <w:jc w:val="both"/>
        <w:rPr>
          <w:sz w:val="24"/>
          <w:szCs w:val="24"/>
          <w:lang w:val="hr-HR"/>
        </w:rPr>
      </w:pPr>
    </w:p>
    <w:p w14:paraId="5DE9E148" w14:textId="0B2DCE50" w:rsidR="00D71EA3" w:rsidRPr="00D71EA3" w:rsidRDefault="00D71EA3" w:rsidP="007430D9">
      <w:pPr>
        <w:jc w:val="both"/>
        <w:rPr>
          <w:b/>
          <w:sz w:val="24"/>
          <w:szCs w:val="24"/>
          <w:lang w:val="hr-HR"/>
        </w:rPr>
      </w:pPr>
    </w:p>
    <w:p w14:paraId="77507993" w14:textId="0FB1274E" w:rsidR="00D71EA3" w:rsidRPr="00A84703" w:rsidRDefault="00D71EA3" w:rsidP="00A84703">
      <w:pPr>
        <w:jc w:val="right"/>
        <w:rPr>
          <w:rFonts w:ascii="Arial" w:hAnsi="Arial" w:cs="Arial"/>
          <w:b/>
          <w:sz w:val="24"/>
          <w:szCs w:val="24"/>
          <w:lang w:val="hr-HR"/>
        </w:rPr>
      </w:pPr>
      <w:r w:rsidRPr="00D71EA3">
        <w:rPr>
          <w:b/>
          <w:sz w:val="24"/>
          <w:szCs w:val="24"/>
          <w:lang w:val="hr-HR"/>
        </w:rPr>
        <w:tab/>
      </w:r>
      <w:r w:rsidRPr="00D71EA3">
        <w:rPr>
          <w:b/>
          <w:sz w:val="24"/>
          <w:szCs w:val="24"/>
          <w:lang w:val="hr-HR"/>
        </w:rPr>
        <w:tab/>
      </w:r>
      <w:r w:rsidRPr="00D71EA3">
        <w:rPr>
          <w:b/>
          <w:sz w:val="24"/>
          <w:szCs w:val="24"/>
          <w:lang w:val="hr-HR"/>
        </w:rPr>
        <w:tab/>
      </w:r>
      <w:r w:rsidRPr="00D71EA3">
        <w:rPr>
          <w:b/>
          <w:sz w:val="24"/>
          <w:szCs w:val="24"/>
          <w:lang w:val="hr-HR"/>
        </w:rPr>
        <w:tab/>
      </w:r>
      <w:r w:rsidRPr="00D71EA3">
        <w:rPr>
          <w:b/>
          <w:sz w:val="24"/>
          <w:szCs w:val="24"/>
          <w:lang w:val="hr-HR"/>
        </w:rPr>
        <w:tab/>
      </w:r>
      <w:r w:rsidRPr="00D71EA3">
        <w:rPr>
          <w:b/>
          <w:sz w:val="24"/>
          <w:szCs w:val="24"/>
          <w:lang w:val="hr-HR"/>
        </w:rPr>
        <w:tab/>
      </w:r>
      <w:r w:rsidRPr="00D71EA3">
        <w:rPr>
          <w:b/>
          <w:sz w:val="24"/>
          <w:szCs w:val="24"/>
          <w:lang w:val="hr-HR"/>
        </w:rPr>
        <w:tab/>
      </w:r>
      <w:r w:rsidRPr="00A84703">
        <w:rPr>
          <w:rFonts w:ascii="Arial" w:hAnsi="Arial" w:cs="Arial"/>
          <w:b/>
          <w:sz w:val="24"/>
          <w:szCs w:val="24"/>
          <w:lang w:val="hr-HR"/>
        </w:rPr>
        <w:t xml:space="preserve">         PREDSJEDNIK SUDA</w:t>
      </w:r>
    </w:p>
    <w:p w14:paraId="67C2C691" w14:textId="7B3379DD" w:rsidR="00D71EA3" w:rsidRPr="00A84703" w:rsidRDefault="00D71EA3" w:rsidP="00A84703">
      <w:pPr>
        <w:ind w:left="6656" w:firstLine="424"/>
        <w:rPr>
          <w:rFonts w:ascii="Arial" w:hAnsi="Arial" w:cs="Arial"/>
          <w:b/>
          <w:sz w:val="24"/>
          <w:szCs w:val="24"/>
          <w:lang w:val="hr-HR"/>
        </w:rPr>
      </w:pPr>
      <w:r w:rsidRPr="00A84703">
        <w:rPr>
          <w:rFonts w:ascii="Arial" w:hAnsi="Arial" w:cs="Arial"/>
          <w:b/>
          <w:sz w:val="24"/>
          <w:szCs w:val="24"/>
          <w:lang w:val="hr-HR"/>
        </w:rPr>
        <w:t>Marija Čolić</w:t>
      </w:r>
    </w:p>
    <w:p w14:paraId="420E7C81" w14:textId="77777777" w:rsidR="00914207" w:rsidRDefault="00914207" w:rsidP="00914207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76841F38" w14:textId="77777777" w:rsidR="009A011D" w:rsidRPr="005D4799" w:rsidRDefault="009A011D" w:rsidP="00A05165">
      <w:pPr>
        <w:spacing w:before="40" w:line="276" w:lineRule="auto"/>
        <w:ind w:left="0"/>
        <w:jc w:val="both"/>
        <w:rPr>
          <w:rFonts w:ascii="Arial" w:eastAsia="Calibri" w:hAnsi="Arial" w:cs="Arial"/>
          <w:w w:val="95"/>
          <w:sz w:val="24"/>
          <w:szCs w:val="24"/>
          <w:lang w:val="hr-HR"/>
        </w:rPr>
      </w:pPr>
    </w:p>
    <w:sectPr w:rsidR="009A011D" w:rsidRPr="005D4799" w:rsidSect="003E7538">
      <w:headerReference w:type="default" r:id="rId7"/>
      <w:footerReference w:type="default" r:id="rId8"/>
      <w:pgSz w:w="11906" w:h="16838" w:code="9"/>
      <w:pgMar w:top="1417" w:right="1417" w:bottom="1417" w:left="1417" w:header="709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BEE8" w14:textId="77777777" w:rsidR="00707E4A" w:rsidRDefault="00707E4A" w:rsidP="00850FF6">
      <w:r>
        <w:separator/>
      </w:r>
    </w:p>
  </w:endnote>
  <w:endnote w:type="continuationSeparator" w:id="0">
    <w:p w14:paraId="20931A74" w14:textId="77777777" w:rsidR="00707E4A" w:rsidRDefault="00707E4A" w:rsidP="0085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07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2540D" w14:textId="33009426" w:rsidR="00A84703" w:rsidRDefault="00A847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F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39B5E86" w14:textId="77777777" w:rsidR="007929E5" w:rsidRDefault="0079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2AF4" w14:textId="77777777" w:rsidR="00707E4A" w:rsidRDefault="00707E4A" w:rsidP="00850FF6">
      <w:r>
        <w:separator/>
      </w:r>
    </w:p>
  </w:footnote>
  <w:footnote w:type="continuationSeparator" w:id="0">
    <w:p w14:paraId="307E5CF2" w14:textId="77777777" w:rsidR="00707E4A" w:rsidRDefault="00707E4A" w:rsidP="0085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A566" w14:textId="77777777" w:rsidR="007929E5" w:rsidRDefault="007929E5" w:rsidP="008301D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014"/>
    <w:multiLevelType w:val="hybridMultilevel"/>
    <w:tmpl w:val="5B4CC44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050"/>
    <w:multiLevelType w:val="hybridMultilevel"/>
    <w:tmpl w:val="49AE11FC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FA0E84"/>
    <w:multiLevelType w:val="hybridMultilevel"/>
    <w:tmpl w:val="2A72B5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2508B"/>
    <w:multiLevelType w:val="hybridMultilevel"/>
    <w:tmpl w:val="3DC2BB24"/>
    <w:lvl w:ilvl="0" w:tplc="ACE8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0407A"/>
    <w:multiLevelType w:val="hybridMultilevel"/>
    <w:tmpl w:val="84228E7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A254F0"/>
    <w:multiLevelType w:val="hybridMultilevel"/>
    <w:tmpl w:val="49E06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1B38"/>
    <w:multiLevelType w:val="hybridMultilevel"/>
    <w:tmpl w:val="E25EC826"/>
    <w:lvl w:ilvl="0" w:tplc="CF30EC66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0E32A4">
      <w:start w:val="2"/>
      <w:numFmt w:val="bullet"/>
      <w:lvlText w:val="-"/>
      <w:lvlJc w:val="left"/>
      <w:pPr>
        <w:ind w:left="1068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8A638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6241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8E5D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161606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30BCCA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3060D0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96BD0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014055E"/>
    <w:multiLevelType w:val="hybridMultilevel"/>
    <w:tmpl w:val="3648CD1C"/>
    <w:lvl w:ilvl="0" w:tplc="557E3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3B7E4B"/>
    <w:multiLevelType w:val="hybridMultilevel"/>
    <w:tmpl w:val="B0682B66"/>
    <w:lvl w:ilvl="0" w:tplc="18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F705F5"/>
    <w:multiLevelType w:val="hybridMultilevel"/>
    <w:tmpl w:val="AB904A6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560E1"/>
    <w:multiLevelType w:val="hybridMultilevel"/>
    <w:tmpl w:val="0C44F008"/>
    <w:lvl w:ilvl="0" w:tplc="37C289EE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203"/>
    <w:multiLevelType w:val="hybridMultilevel"/>
    <w:tmpl w:val="ADE225FE"/>
    <w:lvl w:ilvl="0" w:tplc="CF30EC66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346284">
      <w:start w:val="1"/>
      <w:numFmt w:val="lowerLetter"/>
      <w:lvlText w:val="%2)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8A638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6241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8E5D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161606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30BCCA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3060D0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96BD0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CDB44CB"/>
    <w:multiLevelType w:val="hybridMultilevel"/>
    <w:tmpl w:val="3FF2A69A"/>
    <w:lvl w:ilvl="0" w:tplc="3C0E32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410B3"/>
    <w:multiLevelType w:val="hybridMultilevel"/>
    <w:tmpl w:val="BE6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41D61"/>
    <w:multiLevelType w:val="hybridMultilevel"/>
    <w:tmpl w:val="83F6007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EE71AE"/>
    <w:multiLevelType w:val="hybridMultilevel"/>
    <w:tmpl w:val="608C709E"/>
    <w:lvl w:ilvl="0" w:tplc="849CD3C0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6705D02"/>
    <w:multiLevelType w:val="hybridMultilevel"/>
    <w:tmpl w:val="2994623E"/>
    <w:lvl w:ilvl="0" w:tplc="35A8C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C17447"/>
    <w:multiLevelType w:val="hybridMultilevel"/>
    <w:tmpl w:val="7E5E612C"/>
    <w:lvl w:ilvl="0" w:tplc="10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7D1382"/>
    <w:multiLevelType w:val="hybridMultilevel"/>
    <w:tmpl w:val="6492D59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E0C46"/>
    <w:multiLevelType w:val="hybridMultilevel"/>
    <w:tmpl w:val="F6B418D4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5F7B44"/>
    <w:multiLevelType w:val="hybridMultilevel"/>
    <w:tmpl w:val="E34ED178"/>
    <w:lvl w:ilvl="0" w:tplc="B274C08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258CB"/>
    <w:multiLevelType w:val="hybridMultilevel"/>
    <w:tmpl w:val="7C36BBCC"/>
    <w:lvl w:ilvl="0" w:tplc="CF30EC66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0E32A4">
      <w:start w:val="2"/>
      <w:numFmt w:val="bullet"/>
      <w:lvlText w:val="-"/>
      <w:lvlJc w:val="left"/>
      <w:pPr>
        <w:ind w:left="1068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8A638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6241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8E5D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161606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30BCCA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3060D0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96BD0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5523F46"/>
    <w:multiLevelType w:val="hybridMultilevel"/>
    <w:tmpl w:val="2ACE863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03566A"/>
    <w:multiLevelType w:val="hybridMultilevel"/>
    <w:tmpl w:val="66A2EFD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2535CB"/>
    <w:multiLevelType w:val="hybridMultilevel"/>
    <w:tmpl w:val="E22C55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90C3B"/>
    <w:multiLevelType w:val="hybridMultilevel"/>
    <w:tmpl w:val="5A280EF0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E73C2"/>
    <w:multiLevelType w:val="hybridMultilevel"/>
    <w:tmpl w:val="715AF16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C032F"/>
    <w:multiLevelType w:val="hybridMultilevel"/>
    <w:tmpl w:val="C6CAD568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C4E328A"/>
    <w:multiLevelType w:val="hybridMultilevel"/>
    <w:tmpl w:val="10887C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86ECB"/>
    <w:multiLevelType w:val="hybridMultilevel"/>
    <w:tmpl w:val="77C6488E"/>
    <w:lvl w:ilvl="0" w:tplc="CF30EC66">
      <w:start w:val="1"/>
      <w:numFmt w:val="decimal"/>
      <w:lvlText w:val="%1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0E32A4">
      <w:start w:val="2"/>
      <w:numFmt w:val="bullet"/>
      <w:lvlText w:val="-"/>
      <w:lvlJc w:val="left"/>
      <w:pPr>
        <w:ind w:left="1068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8A638A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6241C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8E5DA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161606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30BCCA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3060D0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96BD06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8442471"/>
    <w:multiLevelType w:val="hybridMultilevel"/>
    <w:tmpl w:val="54C804C4"/>
    <w:lvl w:ilvl="0" w:tplc="20ACDB0E">
      <w:start w:val="1"/>
      <w:numFmt w:val="decimal"/>
      <w:lvlText w:val="%1)"/>
      <w:lvlJc w:val="left"/>
      <w:pPr>
        <w:ind w:left="1095" w:hanging="735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51A05"/>
    <w:multiLevelType w:val="hybridMultilevel"/>
    <w:tmpl w:val="5B4CC44A"/>
    <w:lvl w:ilvl="0" w:tplc="101A0017">
      <w:start w:val="1"/>
      <w:numFmt w:val="lowerLetter"/>
      <w:lvlText w:val="%1)"/>
      <w:lvlJc w:val="left"/>
      <w:pPr>
        <w:ind w:left="1068" w:hanging="360"/>
      </w:p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983609"/>
    <w:multiLevelType w:val="hybridMultilevel"/>
    <w:tmpl w:val="5B4CC44A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43E7A"/>
    <w:multiLevelType w:val="hybridMultilevel"/>
    <w:tmpl w:val="245E969E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F2FE2"/>
    <w:multiLevelType w:val="hybridMultilevel"/>
    <w:tmpl w:val="69DCA9D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900D24"/>
    <w:multiLevelType w:val="hybridMultilevel"/>
    <w:tmpl w:val="4F027A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07462E"/>
    <w:multiLevelType w:val="hybridMultilevel"/>
    <w:tmpl w:val="2196B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95F20"/>
    <w:multiLevelType w:val="hybridMultilevel"/>
    <w:tmpl w:val="2AA2ED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17BFD"/>
    <w:multiLevelType w:val="hybridMultilevel"/>
    <w:tmpl w:val="DF426262"/>
    <w:lvl w:ilvl="0" w:tplc="2264D532">
      <w:numFmt w:val="bullet"/>
      <w:lvlText w:val="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1F4710"/>
    <w:multiLevelType w:val="hybridMultilevel"/>
    <w:tmpl w:val="D76E11E6"/>
    <w:lvl w:ilvl="0" w:tplc="730CF804">
      <w:numFmt w:val="bullet"/>
      <w:lvlText w:val="-"/>
      <w:lvlJc w:val="left"/>
      <w:pPr>
        <w:ind w:left="1080" w:hanging="720"/>
      </w:pPr>
      <w:rPr>
        <w:rFonts w:ascii="Times New Roman" w:eastAsia="Trebuchet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86E51"/>
    <w:multiLevelType w:val="hybridMultilevel"/>
    <w:tmpl w:val="F12A8DF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5160CD9"/>
    <w:multiLevelType w:val="hybridMultilevel"/>
    <w:tmpl w:val="37008676"/>
    <w:lvl w:ilvl="0" w:tplc="18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450AEC"/>
    <w:multiLevelType w:val="hybridMultilevel"/>
    <w:tmpl w:val="09DE0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1547B"/>
    <w:multiLevelType w:val="hybridMultilevel"/>
    <w:tmpl w:val="068ECAD6"/>
    <w:lvl w:ilvl="0" w:tplc="788E4C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36"/>
  </w:num>
  <w:num w:numId="3">
    <w:abstractNumId w:val="42"/>
  </w:num>
  <w:num w:numId="4">
    <w:abstractNumId w:val="30"/>
  </w:num>
  <w:num w:numId="5">
    <w:abstractNumId w:val="18"/>
  </w:num>
  <w:num w:numId="6">
    <w:abstractNumId w:val="38"/>
  </w:num>
  <w:num w:numId="7">
    <w:abstractNumId w:val="9"/>
  </w:num>
  <w:num w:numId="8">
    <w:abstractNumId w:val="35"/>
  </w:num>
  <w:num w:numId="9">
    <w:abstractNumId w:val="13"/>
  </w:num>
  <w:num w:numId="10">
    <w:abstractNumId w:val="5"/>
  </w:num>
  <w:num w:numId="11">
    <w:abstractNumId w:val="15"/>
  </w:num>
  <w:num w:numId="12">
    <w:abstractNumId w:val="40"/>
  </w:num>
  <w:num w:numId="13">
    <w:abstractNumId w:val="2"/>
  </w:num>
  <w:num w:numId="14">
    <w:abstractNumId w:val="32"/>
  </w:num>
  <w:num w:numId="15">
    <w:abstractNumId w:val="0"/>
  </w:num>
  <w:num w:numId="16">
    <w:abstractNumId w:val="31"/>
  </w:num>
  <w:num w:numId="17">
    <w:abstractNumId w:val="17"/>
  </w:num>
  <w:num w:numId="18">
    <w:abstractNumId w:val="16"/>
  </w:num>
  <w:num w:numId="19">
    <w:abstractNumId w:val="7"/>
  </w:num>
  <w:num w:numId="20">
    <w:abstractNumId w:val="43"/>
  </w:num>
  <w:num w:numId="21">
    <w:abstractNumId w:val="10"/>
  </w:num>
  <w:num w:numId="22">
    <w:abstractNumId w:val="22"/>
  </w:num>
  <w:num w:numId="23">
    <w:abstractNumId w:val="28"/>
  </w:num>
  <w:num w:numId="24">
    <w:abstractNumId w:val="4"/>
  </w:num>
  <w:num w:numId="25">
    <w:abstractNumId w:val="26"/>
  </w:num>
  <w:num w:numId="26">
    <w:abstractNumId w:val="34"/>
  </w:num>
  <w:num w:numId="27">
    <w:abstractNumId w:val="14"/>
  </w:num>
  <w:num w:numId="28">
    <w:abstractNumId w:val="24"/>
  </w:num>
  <w:num w:numId="29">
    <w:abstractNumId w:val="1"/>
  </w:num>
  <w:num w:numId="30">
    <w:abstractNumId w:val="27"/>
  </w:num>
  <w:num w:numId="31">
    <w:abstractNumId w:val="41"/>
  </w:num>
  <w:num w:numId="32">
    <w:abstractNumId w:val="19"/>
  </w:num>
  <w:num w:numId="33">
    <w:abstractNumId w:val="8"/>
  </w:num>
  <w:num w:numId="34">
    <w:abstractNumId w:val="2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"/>
  </w:num>
  <w:num w:numId="43">
    <w:abstractNumId w:val="37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F6"/>
    <w:rsid w:val="000004FE"/>
    <w:rsid w:val="00002315"/>
    <w:rsid w:val="00011771"/>
    <w:rsid w:val="00012D44"/>
    <w:rsid w:val="00014AFF"/>
    <w:rsid w:val="00016F7B"/>
    <w:rsid w:val="00021D8C"/>
    <w:rsid w:val="00022D96"/>
    <w:rsid w:val="00023755"/>
    <w:rsid w:val="00031AAF"/>
    <w:rsid w:val="000421DF"/>
    <w:rsid w:val="00043804"/>
    <w:rsid w:val="000455E7"/>
    <w:rsid w:val="00054E8D"/>
    <w:rsid w:val="00056269"/>
    <w:rsid w:val="000639A5"/>
    <w:rsid w:val="0006547C"/>
    <w:rsid w:val="00066D4C"/>
    <w:rsid w:val="0007048D"/>
    <w:rsid w:val="0007058B"/>
    <w:rsid w:val="000760AA"/>
    <w:rsid w:val="00081178"/>
    <w:rsid w:val="00085D79"/>
    <w:rsid w:val="00087D0C"/>
    <w:rsid w:val="00090743"/>
    <w:rsid w:val="00092CE8"/>
    <w:rsid w:val="000A3FF8"/>
    <w:rsid w:val="000A629F"/>
    <w:rsid w:val="000B1778"/>
    <w:rsid w:val="000C5084"/>
    <w:rsid w:val="000D00BF"/>
    <w:rsid w:val="000D7707"/>
    <w:rsid w:val="000E29B0"/>
    <w:rsid w:val="000E29D5"/>
    <w:rsid w:val="000E3172"/>
    <w:rsid w:val="000E5370"/>
    <w:rsid w:val="000F0A99"/>
    <w:rsid w:val="000F3554"/>
    <w:rsid w:val="000F4A1B"/>
    <w:rsid w:val="001063D7"/>
    <w:rsid w:val="00110DE5"/>
    <w:rsid w:val="00116D60"/>
    <w:rsid w:val="001218A9"/>
    <w:rsid w:val="00147DD8"/>
    <w:rsid w:val="0015166E"/>
    <w:rsid w:val="00151757"/>
    <w:rsid w:val="00156608"/>
    <w:rsid w:val="0015692F"/>
    <w:rsid w:val="00160105"/>
    <w:rsid w:val="00163650"/>
    <w:rsid w:val="0016733F"/>
    <w:rsid w:val="001749CB"/>
    <w:rsid w:val="001764A9"/>
    <w:rsid w:val="001801B2"/>
    <w:rsid w:val="00195380"/>
    <w:rsid w:val="001C546B"/>
    <w:rsid w:val="001D2342"/>
    <w:rsid w:val="001D2E5C"/>
    <w:rsid w:val="001D4021"/>
    <w:rsid w:val="001D64A2"/>
    <w:rsid w:val="001D673C"/>
    <w:rsid w:val="001E1067"/>
    <w:rsid w:val="001E5A46"/>
    <w:rsid w:val="001F11F4"/>
    <w:rsid w:val="001F2A5B"/>
    <w:rsid w:val="001F7F2D"/>
    <w:rsid w:val="00203808"/>
    <w:rsid w:val="00217C1D"/>
    <w:rsid w:val="00227FBB"/>
    <w:rsid w:val="00231CA6"/>
    <w:rsid w:val="0024017B"/>
    <w:rsid w:val="0024058E"/>
    <w:rsid w:val="002416BF"/>
    <w:rsid w:val="00253576"/>
    <w:rsid w:val="00264AFA"/>
    <w:rsid w:val="002763A5"/>
    <w:rsid w:val="00280883"/>
    <w:rsid w:val="00284E71"/>
    <w:rsid w:val="00294EB3"/>
    <w:rsid w:val="002950DC"/>
    <w:rsid w:val="002961C8"/>
    <w:rsid w:val="002A271D"/>
    <w:rsid w:val="002A77F0"/>
    <w:rsid w:val="002B6CE3"/>
    <w:rsid w:val="002D58E7"/>
    <w:rsid w:val="002D77B8"/>
    <w:rsid w:val="002E15CA"/>
    <w:rsid w:val="002E306B"/>
    <w:rsid w:val="002F0A05"/>
    <w:rsid w:val="002F2D2F"/>
    <w:rsid w:val="002F3047"/>
    <w:rsid w:val="002F5A8A"/>
    <w:rsid w:val="003031F1"/>
    <w:rsid w:val="0031411E"/>
    <w:rsid w:val="003374C4"/>
    <w:rsid w:val="00353491"/>
    <w:rsid w:val="00357F14"/>
    <w:rsid w:val="003638CB"/>
    <w:rsid w:val="0036688D"/>
    <w:rsid w:val="00370E72"/>
    <w:rsid w:val="00373FDC"/>
    <w:rsid w:val="0038065D"/>
    <w:rsid w:val="0038209C"/>
    <w:rsid w:val="00382122"/>
    <w:rsid w:val="00385CE3"/>
    <w:rsid w:val="00386A46"/>
    <w:rsid w:val="00394092"/>
    <w:rsid w:val="00397C34"/>
    <w:rsid w:val="003A0BDF"/>
    <w:rsid w:val="003A3785"/>
    <w:rsid w:val="003A7353"/>
    <w:rsid w:val="003B3C6D"/>
    <w:rsid w:val="003B68EA"/>
    <w:rsid w:val="003B7433"/>
    <w:rsid w:val="003C011D"/>
    <w:rsid w:val="003C07A1"/>
    <w:rsid w:val="003C7F9E"/>
    <w:rsid w:val="003D6F16"/>
    <w:rsid w:val="003D74E2"/>
    <w:rsid w:val="003E1108"/>
    <w:rsid w:val="003E2D97"/>
    <w:rsid w:val="003E3123"/>
    <w:rsid w:val="003E7538"/>
    <w:rsid w:val="003F0278"/>
    <w:rsid w:val="003F0DD3"/>
    <w:rsid w:val="003F19AD"/>
    <w:rsid w:val="003F1EEF"/>
    <w:rsid w:val="003F547E"/>
    <w:rsid w:val="003F5AAE"/>
    <w:rsid w:val="0040408B"/>
    <w:rsid w:val="00416B85"/>
    <w:rsid w:val="00426190"/>
    <w:rsid w:val="004332BA"/>
    <w:rsid w:val="00435F07"/>
    <w:rsid w:val="004378E8"/>
    <w:rsid w:val="00440B35"/>
    <w:rsid w:val="00447CE5"/>
    <w:rsid w:val="004547B6"/>
    <w:rsid w:val="00460C16"/>
    <w:rsid w:val="004714FA"/>
    <w:rsid w:val="0047510E"/>
    <w:rsid w:val="00496B6B"/>
    <w:rsid w:val="004972CC"/>
    <w:rsid w:val="004A7611"/>
    <w:rsid w:val="004B4671"/>
    <w:rsid w:val="004B624D"/>
    <w:rsid w:val="004B6F87"/>
    <w:rsid w:val="004C3B38"/>
    <w:rsid w:val="004D3036"/>
    <w:rsid w:val="004D3BA4"/>
    <w:rsid w:val="004E3B2F"/>
    <w:rsid w:val="004E4105"/>
    <w:rsid w:val="004E4469"/>
    <w:rsid w:val="004F16DB"/>
    <w:rsid w:val="004F3788"/>
    <w:rsid w:val="004F7F81"/>
    <w:rsid w:val="005226B5"/>
    <w:rsid w:val="0053565B"/>
    <w:rsid w:val="005361C0"/>
    <w:rsid w:val="00544C9F"/>
    <w:rsid w:val="0055033E"/>
    <w:rsid w:val="00553AD6"/>
    <w:rsid w:val="0055525D"/>
    <w:rsid w:val="00561422"/>
    <w:rsid w:val="0056296C"/>
    <w:rsid w:val="00576E92"/>
    <w:rsid w:val="00583996"/>
    <w:rsid w:val="00587762"/>
    <w:rsid w:val="00593496"/>
    <w:rsid w:val="00596D52"/>
    <w:rsid w:val="005B3F3D"/>
    <w:rsid w:val="005B6056"/>
    <w:rsid w:val="005C06EF"/>
    <w:rsid w:val="005C18F4"/>
    <w:rsid w:val="005C70A1"/>
    <w:rsid w:val="005D4799"/>
    <w:rsid w:val="005D4C86"/>
    <w:rsid w:val="005E1BEA"/>
    <w:rsid w:val="005E2C2B"/>
    <w:rsid w:val="005E367A"/>
    <w:rsid w:val="005F572A"/>
    <w:rsid w:val="00604276"/>
    <w:rsid w:val="00612565"/>
    <w:rsid w:val="00613877"/>
    <w:rsid w:val="00637BB8"/>
    <w:rsid w:val="00641792"/>
    <w:rsid w:val="00646483"/>
    <w:rsid w:val="00660532"/>
    <w:rsid w:val="0066172D"/>
    <w:rsid w:val="00662BC7"/>
    <w:rsid w:val="00670470"/>
    <w:rsid w:val="00674F15"/>
    <w:rsid w:val="00677215"/>
    <w:rsid w:val="006868BB"/>
    <w:rsid w:val="00694B7E"/>
    <w:rsid w:val="006A1FD3"/>
    <w:rsid w:val="006A32B4"/>
    <w:rsid w:val="006A3995"/>
    <w:rsid w:val="006B4B3C"/>
    <w:rsid w:val="006D007D"/>
    <w:rsid w:val="006D2791"/>
    <w:rsid w:val="006D42C1"/>
    <w:rsid w:val="006D62C6"/>
    <w:rsid w:val="006D694D"/>
    <w:rsid w:val="006D7801"/>
    <w:rsid w:val="006E51F2"/>
    <w:rsid w:val="006E5FE3"/>
    <w:rsid w:val="006E72F0"/>
    <w:rsid w:val="00707251"/>
    <w:rsid w:val="00707E4A"/>
    <w:rsid w:val="00715348"/>
    <w:rsid w:val="00716B96"/>
    <w:rsid w:val="00724BA5"/>
    <w:rsid w:val="00734D14"/>
    <w:rsid w:val="00741047"/>
    <w:rsid w:val="00741F1F"/>
    <w:rsid w:val="007430D9"/>
    <w:rsid w:val="00753453"/>
    <w:rsid w:val="00760375"/>
    <w:rsid w:val="00766EEE"/>
    <w:rsid w:val="007723C1"/>
    <w:rsid w:val="00783E7B"/>
    <w:rsid w:val="007929E5"/>
    <w:rsid w:val="00792BE0"/>
    <w:rsid w:val="00793C17"/>
    <w:rsid w:val="007961E4"/>
    <w:rsid w:val="00796BE6"/>
    <w:rsid w:val="007A0EF3"/>
    <w:rsid w:val="007A3705"/>
    <w:rsid w:val="007A5997"/>
    <w:rsid w:val="007B72CF"/>
    <w:rsid w:val="007C054A"/>
    <w:rsid w:val="007C4047"/>
    <w:rsid w:val="007C4830"/>
    <w:rsid w:val="007C7603"/>
    <w:rsid w:val="007C76A5"/>
    <w:rsid w:val="007D28EB"/>
    <w:rsid w:val="007E1946"/>
    <w:rsid w:val="007E7EDB"/>
    <w:rsid w:val="007F76DA"/>
    <w:rsid w:val="00805F21"/>
    <w:rsid w:val="00805FB6"/>
    <w:rsid w:val="008146D1"/>
    <w:rsid w:val="008149B2"/>
    <w:rsid w:val="00822AE0"/>
    <w:rsid w:val="008254BE"/>
    <w:rsid w:val="00827D6D"/>
    <w:rsid w:val="008301DD"/>
    <w:rsid w:val="00846AF5"/>
    <w:rsid w:val="00850FF6"/>
    <w:rsid w:val="00856938"/>
    <w:rsid w:val="008640DB"/>
    <w:rsid w:val="00865270"/>
    <w:rsid w:val="00865832"/>
    <w:rsid w:val="00867E76"/>
    <w:rsid w:val="00880F2A"/>
    <w:rsid w:val="00882F22"/>
    <w:rsid w:val="008A3730"/>
    <w:rsid w:val="008A7A67"/>
    <w:rsid w:val="008D0B21"/>
    <w:rsid w:val="008D1226"/>
    <w:rsid w:val="008E4C14"/>
    <w:rsid w:val="008F40F0"/>
    <w:rsid w:val="008F6CE4"/>
    <w:rsid w:val="009123AF"/>
    <w:rsid w:val="00912C30"/>
    <w:rsid w:val="00914207"/>
    <w:rsid w:val="00931B1B"/>
    <w:rsid w:val="009336F9"/>
    <w:rsid w:val="00933B92"/>
    <w:rsid w:val="009416D8"/>
    <w:rsid w:val="00943525"/>
    <w:rsid w:val="00950B35"/>
    <w:rsid w:val="009536C6"/>
    <w:rsid w:val="00956B11"/>
    <w:rsid w:val="00960C27"/>
    <w:rsid w:val="0096166C"/>
    <w:rsid w:val="009701D8"/>
    <w:rsid w:val="00970D68"/>
    <w:rsid w:val="009722C7"/>
    <w:rsid w:val="00987BEC"/>
    <w:rsid w:val="00991A39"/>
    <w:rsid w:val="009A011D"/>
    <w:rsid w:val="009A18AA"/>
    <w:rsid w:val="009A2AFC"/>
    <w:rsid w:val="009B262B"/>
    <w:rsid w:val="009B7E67"/>
    <w:rsid w:val="009C6502"/>
    <w:rsid w:val="009D1366"/>
    <w:rsid w:val="009D17E7"/>
    <w:rsid w:val="009D3C79"/>
    <w:rsid w:val="009D71CB"/>
    <w:rsid w:val="009E0371"/>
    <w:rsid w:val="009E2398"/>
    <w:rsid w:val="009F19D0"/>
    <w:rsid w:val="009F24CB"/>
    <w:rsid w:val="00A03C1B"/>
    <w:rsid w:val="00A05165"/>
    <w:rsid w:val="00A070E3"/>
    <w:rsid w:val="00A10CF5"/>
    <w:rsid w:val="00A15EC6"/>
    <w:rsid w:val="00A16D41"/>
    <w:rsid w:val="00A222AE"/>
    <w:rsid w:val="00A33E82"/>
    <w:rsid w:val="00A37947"/>
    <w:rsid w:val="00A42706"/>
    <w:rsid w:val="00A546DA"/>
    <w:rsid w:val="00A60D32"/>
    <w:rsid w:val="00A7597D"/>
    <w:rsid w:val="00A81B68"/>
    <w:rsid w:val="00A84703"/>
    <w:rsid w:val="00A84E3C"/>
    <w:rsid w:val="00A90E77"/>
    <w:rsid w:val="00A91FBD"/>
    <w:rsid w:val="00A96075"/>
    <w:rsid w:val="00A96BB2"/>
    <w:rsid w:val="00A97E0C"/>
    <w:rsid w:val="00AA0B08"/>
    <w:rsid w:val="00AA6475"/>
    <w:rsid w:val="00AA716E"/>
    <w:rsid w:val="00AB48BA"/>
    <w:rsid w:val="00AB5984"/>
    <w:rsid w:val="00AC5315"/>
    <w:rsid w:val="00AD0255"/>
    <w:rsid w:val="00AD0387"/>
    <w:rsid w:val="00AD2596"/>
    <w:rsid w:val="00AE547C"/>
    <w:rsid w:val="00AE5A66"/>
    <w:rsid w:val="00AF64F3"/>
    <w:rsid w:val="00B02C08"/>
    <w:rsid w:val="00B05F07"/>
    <w:rsid w:val="00B12259"/>
    <w:rsid w:val="00B20D3F"/>
    <w:rsid w:val="00B226E9"/>
    <w:rsid w:val="00B22B24"/>
    <w:rsid w:val="00B23D82"/>
    <w:rsid w:val="00B25465"/>
    <w:rsid w:val="00B27EA0"/>
    <w:rsid w:val="00B36560"/>
    <w:rsid w:val="00B36A86"/>
    <w:rsid w:val="00B42DC1"/>
    <w:rsid w:val="00B47495"/>
    <w:rsid w:val="00B520F0"/>
    <w:rsid w:val="00B61CB1"/>
    <w:rsid w:val="00B6348E"/>
    <w:rsid w:val="00B65954"/>
    <w:rsid w:val="00B66B9A"/>
    <w:rsid w:val="00B75789"/>
    <w:rsid w:val="00B75BD6"/>
    <w:rsid w:val="00B829AF"/>
    <w:rsid w:val="00B90432"/>
    <w:rsid w:val="00B954CC"/>
    <w:rsid w:val="00BA255D"/>
    <w:rsid w:val="00BA4C37"/>
    <w:rsid w:val="00BA7003"/>
    <w:rsid w:val="00BB1232"/>
    <w:rsid w:val="00BB3642"/>
    <w:rsid w:val="00BB46EB"/>
    <w:rsid w:val="00BB5B33"/>
    <w:rsid w:val="00BC5A41"/>
    <w:rsid w:val="00BC5F04"/>
    <w:rsid w:val="00BC6557"/>
    <w:rsid w:val="00BC69D7"/>
    <w:rsid w:val="00BD07AC"/>
    <w:rsid w:val="00BE2329"/>
    <w:rsid w:val="00BE6EE1"/>
    <w:rsid w:val="00BF0E32"/>
    <w:rsid w:val="00BF3C83"/>
    <w:rsid w:val="00C01951"/>
    <w:rsid w:val="00C02F83"/>
    <w:rsid w:val="00C1372F"/>
    <w:rsid w:val="00C1750D"/>
    <w:rsid w:val="00C17DF7"/>
    <w:rsid w:val="00C22875"/>
    <w:rsid w:val="00C245F9"/>
    <w:rsid w:val="00C30FFC"/>
    <w:rsid w:val="00C31264"/>
    <w:rsid w:val="00C36415"/>
    <w:rsid w:val="00C369EB"/>
    <w:rsid w:val="00C456C4"/>
    <w:rsid w:val="00C47935"/>
    <w:rsid w:val="00C52760"/>
    <w:rsid w:val="00C530D3"/>
    <w:rsid w:val="00C61182"/>
    <w:rsid w:val="00C77478"/>
    <w:rsid w:val="00C80453"/>
    <w:rsid w:val="00C80EA6"/>
    <w:rsid w:val="00C850D9"/>
    <w:rsid w:val="00C9139F"/>
    <w:rsid w:val="00C97C96"/>
    <w:rsid w:val="00CA50D6"/>
    <w:rsid w:val="00CB5607"/>
    <w:rsid w:val="00CC486D"/>
    <w:rsid w:val="00CD0437"/>
    <w:rsid w:val="00D01B22"/>
    <w:rsid w:val="00D10625"/>
    <w:rsid w:val="00D1440E"/>
    <w:rsid w:val="00D16265"/>
    <w:rsid w:val="00D16CC6"/>
    <w:rsid w:val="00D175E8"/>
    <w:rsid w:val="00D247E2"/>
    <w:rsid w:val="00D271F5"/>
    <w:rsid w:val="00D30C71"/>
    <w:rsid w:val="00D32403"/>
    <w:rsid w:val="00D44CC2"/>
    <w:rsid w:val="00D51CE9"/>
    <w:rsid w:val="00D56587"/>
    <w:rsid w:val="00D62799"/>
    <w:rsid w:val="00D71EA3"/>
    <w:rsid w:val="00D879E4"/>
    <w:rsid w:val="00DB2356"/>
    <w:rsid w:val="00DB25C0"/>
    <w:rsid w:val="00DC2D9E"/>
    <w:rsid w:val="00DC4902"/>
    <w:rsid w:val="00DD5CA8"/>
    <w:rsid w:val="00DE41CC"/>
    <w:rsid w:val="00DF1FBC"/>
    <w:rsid w:val="00DF3D61"/>
    <w:rsid w:val="00DF40FC"/>
    <w:rsid w:val="00DF721C"/>
    <w:rsid w:val="00E05AC6"/>
    <w:rsid w:val="00E11A01"/>
    <w:rsid w:val="00E12600"/>
    <w:rsid w:val="00E12884"/>
    <w:rsid w:val="00E134BE"/>
    <w:rsid w:val="00E165D6"/>
    <w:rsid w:val="00E202FB"/>
    <w:rsid w:val="00E32502"/>
    <w:rsid w:val="00E3409F"/>
    <w:rsid w:val="00E434AD"/>
    <w:rsid w:val="00E5230A"/>
    <w:rsid w:val="00E53D09"/>
    <w:rsid w:val="00E55878"/>
    <w:rsid w:val="00E603DD"/>
    <w:rsid w:val="00E65D01"/>
    <w:rsid w:val="00E7754D"/>
    <w:rsid w:val="00E80D86"/>
    <w:rsid w:val="00E837A4"/>
    <w:rsid w:val="00EA372B"/>
    <w:rsid w:val="00EB168A"/>
    <w:rsid w:val="00EC76DB"/>
    <w:rsid w:val="00ED2361"/>
    <w:rsid w:val="00ED67EE"/>
    <w:rsid w:val="00EE1870"/>
    <w:rsid w:val="00EF037D"/>
    <w:rsid w:val="00EF1B95"/>
    <w:rsid w:val="00EF336A"/>
    <w:rsid w:val="00EF4DA0"/>
    <w:rsid w:val="00F04805"/>
    <w:rsid w:val="00F04DD3"/>
    <w:rsid w:val="00F10A95"/>
    <w:rsid w:val="00F114C9"/>
    <w:rsid w:val="00F11BF2"/>
    <w:rsid w:val="00F143CE"/>
    <w:rsid w:val="00F17399"/>
    <w:rsid w:val="00F17AF0"/>
    <w:rsid w:val="00F26998"/>
    <w:rsid w:val="00F37C3F"/>
    <w:rsid w:val="00F41884"/>
    <w:rsid w:val="00F445C3"/>
    <w:rsid w:val="00F538C5"/>
    <w:rsid w:val="00F578C4"/>
    <w:rsid w:val="00F6014C"/>
    <w:rsid w:val="00F641D4"/>
    <w:rsid w:val="00F77148"/>
    <w:rsid w:val="00F77261"/>
    <w:rsid w:val="00F80F82"/>
    <w:rsid w:val="00F90526"/>
    <w:rsid w:val="00F90B4B"/>
    <w:rsid w:val="00FA6DD7"/>
    <w:rsid w:val="00FB1E6B"/>
    <w:rsid w:val="00FC1980"/>
    <w:rsid w:val="00FD579F"/>
    <w:rsid w:val="00FE0909"/>
    <w:rsid w:val="00FE56F7"/>
    <w:rsid w:val="00FF0F1F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65C7B4"/>
  <w15:chartTrackingRefBased/>
  <w15:docId w15:val="{FDD2481E-17B6-4834-A307-E915741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2AE"/>
    <w:pPr>
      <w:keepNext/>
      <w:keepLines/>
      <w:tabs>
        <w:tab w:val="left" w:pos="426"/>
      </w:tabs>
      <w:spacing w:before="240"/>
      <w:ind w:left="0"/>
      <w:outlineLvl w:val="0"/>
    </w:pPr>
    <w:rPr>
      <w:rFonts w:ascii="Arial" w:eastAsia="Times New Roman" w:hAnsi="Arial" w:cs="Arial"/>
      <w:b/>
      <w:bCs/>
      <w:color w:val="2E74B5" w:themeColor="accent1" w:themeShade="BF"/>
      <w:w w:val="95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AF0"/>
    <w:pPr>
      <w:keepNext/>
      <w:keepLines/>
      <w:tabs>
        <w:tab w:val="left" w:pos="426"/>
      </w:tabs>
      <w:spacing w:before="40"/>
      <w:ind w:left="0"/>
      <w:outlineLvl w:val="1"/>
    </w:pPr>
    <w:rPr>
      <w:rFonts w:ascii="Arial" w:eastAsia="Calibri" w:hAnsi="Arial" w:cs="Arial"/>
      <w:color w:val="2E74B5" w:themeColor="accent1" w:themeShade="BF"/>
      <w:w w:val="95"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0FF6"/>
    <w:pPr>
      <w:ind w:lef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FF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50FF6"/>
    <w:rPr>
      <w:vertAlign w:val="superscript"/>
    </w:rPr>
  </w:style>
  <w:style w:type="table" w:styleId="TableGrid">
    <w:name w:val="Table Grid"/>
    <w:basedOn w:val="TableNormal"/>
    <w:uiPriority w:val="39"/>
    <w:rsid w:val="00850FF6"/>
    <w:pPr>
      <w:ind w:left="0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AE"/>
    <w:rPr>
      <w:rFonts w:ascii="Arial" w:eastAsia="Times New Roman" w:hAnsi="Arial" w:cs="Arial"/>
      <w:b/>
      <w:bCs/>
      <w:color w:val="2E74B5" w:themeColor="accent1" w:themeShade="BF"/>
      <w:w w:val="95"/>
      <w:sz w:val="28"/>
      <w:szCs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50FF6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0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0F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50FF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AF0"/>
    <w:rPr>
      <w:rFonts w:ascii="Arial" w:eastAsia="Calibri" w:hAnsi="Arial" w:cs="Arial"/>
      <w:color w:val="2E74B5" w:themeColor="accent1" w:themeShade="BF"/>
      <w:w w:val="95"/>
      <w:sz w:val="24"/>
      <w:szCs w:val="24"/>
      <w:lang w:val="hr-HR"/>
    </w:rPr>
  </w:style>
  <w:style w:type="character" w:customStyle="1" w:styleId="fontstyle01">
    <w:name w:val="fontstyle01"/>
    <w:basedOn w:val="DefaultParagraphFont"/>
    <w:rsid w:val="009D17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D17E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CC"/>
    <w:rPr>
      <w:rFonts w:ascii="Segoe UI" w:hAnsi="Segoe UI" w:cs="Segoe UI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B36A86"/>
    <w:pPr>
      <w:tabs>
        <w:tab w:val="left" w:pos="426"/>
        <w:tab w:val="right" w:leader="dot" w:pos="9062"/>
      </w:tabs>
      <w:spacing w:after="100"/>
      <w:ind w:left="0"/>
    </w:pPr>
  </w:style>
  <w:style w:type="paragraph" w:styleId="NoSpacing">
    <w:name w:val="No Spacing"/>
    <w:uiPriority w:val="1"/>
    <w:qFormat/>
    <w:rsid w:val="007C054A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01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01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DD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4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customStyle="1" w:styleId="TableGrid0">
    <w:name w:val="TableGrid"/>
    <w:rsid w:val="007929E5"/>
    <w:pPr>
      <w:ind w:left="0"/>
    </w:pPr>
    <w:rPr>
      <w:rFonts w:eastAsiaTheme="minorEastAsia"/>
      <w:lang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4944</Words>
  <Characters>28181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STRATEŠKI PLAN KANTONALNOG SUDA U LIVNU</vt:lpstr>
      <vt:lpstr>STRATEŠKI PLAN KANTONALNOG SUDA U LIVNU</vt:lpstr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STRATEŠKI PLAN KANTONALNOG SUDA U LIVNU</dc:title>
  <dc:subject/>
  <dc:creator>Josip Lovrić</dc:creator>
  <cp:keywords/>
  <dc:description/>
  <cp:lastModifiedBy>Marija Colic</cp:lastModifiedBy>
  <cp:revision>2</cp:revision>
  <cp:lastPrinted>2021-04-15T07:27:00Z</cp:lastPrinted>
  <dcterms:created xsi:type="dcterms:W3CDTF">2022-01-31T08:40:00Z</dcterms:created>
  <dcterms:modified xsi:type="dcterms:W3CDTF">2022-01-31T08:40:00Z</dcterms:modified>
</cp:coreProperties>
</file>