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27" w:rsidRPr="00647365" w:rsidRDefault="004F31A4" w:rsidP="0044429B">
      <w:pPr>
        <w:rPr>
          <w:rFonts w:ascii="Arial" w:hAnsi="Arial" w:cs="Arial"/>
          <w:w w:val="95"/>
          <w:lang w:val="hr-HR"/>
        </w:rPr>
      </w:pPr>
      <w:bookmarkStart w:id="0" w:name="_Toc29479788"/>
      <w:bookmarkStart w:id="1" w:name="_Toc39666950"/>
      <w:bookmarkStart w:id="2" w:name="_Toc64458882"/>
      <w:r>
        <w:rPr>
          <w:rFonts w:ascii="Arial" w:hAnsi="Arial" w:cs="Arial"/>
          <w:w w:val="95"/>
          <w:lang w:val="hr-HR"/>
        </w:rPr>
        <w:t xml:space="preserve">Osnovni sud u </w:t>
      </w:r>
      <w:proofErr w:type="spellStart"/>
      <w:r>
        <w:rPr>
          <w:rFonts w:ascii="Arial" w:hAnsi="Arial" w:cs="Arial"/>
          <w:w w:val="95"/>
          <w:lang w:val="hr-HR"/>
        </w:rPr>
        <w:t>Vlasenici</w:t>
      </w:r>
      <w:proofErr w:type="spellEnd"/>
    </w:p>
    <w:p w:rsidR="005C3227" w:rsidRPr="00647365" w:rsidRDefault="005C3227" w:rsidP="0044429B">
      <w:pPr>
        <w:rPr>
          <w:rFonts w:ascii="Arial" w:hAnsi="Arial" w:cs="Arial"/>
          <w:w w:val="95"/>
          <w:lang w:val="hr-HR"/>
        </w:rPr>
      </w:pPr>
      <w:bookmarkStart w:id="3" w:name="_Toc64458875"/>
      <w:bookmarkStart w:id="4" w:name="_Toc64459474"/>
      <w:bookmarkStart w:id="5" w:name="_Toc64460040"/>
      <w:bookmarkStart w:id="6" w:name="_Toc91766228"/>
      <w:r w:rsidRPr="00647365">
        <w:rPr>
          <w:rFonts w:ascii="Arial" w:hAnsi="Arial" w:cs="Arial"/>
          <w:w w:val="95"/>
          <w:lang w:val="hr-HR"/>
        </w:rPr>
        <w:t>Broj:</w:t>
      </w:r>
      <w:bookmarkEnd w:id="3"/>
      <w:bookmarkEnd w:id="4"/>
      <w:bookmarkEnd w:id="5"/>
      <w:bookmarkEnd w:id="6"/>
      <w:r w:rsidR="004F31A4">
        <w:rPr>
          <w:rFonts w:ascii="Arial" w:hAnsi="Arial" w:cs="Arial"/>
          <w:w w:val="95"/>
          <w:lang w:val="hr-HR"/>
        </w:rPr>
        <w:t xml:space="preserve"> 092-0-Su-022-000-055-1</w:t>
      </w:r>
    </w:p>
    <w:p w:rsidR="005C3227" w:rsidRPr="00647365" w:rsidRDefault="004F31A4" w:rsidP="0044429B">
      <w:pPr>
        <w:rPr>
          <w:rFonts w:ascii="Arial" w:hAnsi="Arial" w:cs="Arial"/>
          <w:w w:val="95"/>
          <w:lang w:val="hr-HR"/>
        </w:rPr>
      </w:pPr>
      <w:r>
        <w:rPr>
          <w:rFonts w:ascii="Arial" w:hAnsi="Arial" w:cs="Arial"/>
          <w:w w:val="95"/>
          <w:lang w:val="hr-HR"/>
        </w:rPr>
        <w:t>Vlasenica: 07.02.2022. godine.</w:t>
      </w: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96085E" w:rsidRDefault="005C3227" w:rsidP="0096085E">
      <w:pPr>
        <w:spacing w:before="40" w:line="276" w:lineRule="auto"/>
        <w:ind w:left="0"/>
        <w:jc w:val="right"/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</w:pPr>
      <w:bookmarkStart w:id="7" w:name="_Toc64460042"/>
      <w:bookmarkStart w:id="8" w:name="_Toc91766230"/>
      <w:r w:rsidRP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 xml:space="preserve">Godišnji izvještaj o </w:t>
      </w:r>
      <w:bookmarkEnd w:id="0"/>
      <w:bookmarkEnd w:id="1"/>
      <w:bookmarkEnd w:id="2"/>
      <w:bookmarkEnd w:id="7"/>
      <w:r w:rsidR="00353543" w:rsidRP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realizaciji trogodišnjih ciljeva</w:t>
      </w:r>
      <w:r w:rsid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 xml:space="preserve"> suda</w:t>
      </w:r>
      <w:r w:rsidR="00353543" w:rsidRP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 xml:space="preserve"> i godišnjeg programa </w:t>
      </w:r>
    </w:p>
    <w:p w:rsidR="005C3227" w:rsidRPr="0096085E" w:rsidRDefault="00353543" w:rsidP="0096085E">
      <w:pPr>
        <w:spacing w:before="40" w:line="276" w:lineRule="auto"/>
        <w:ind w:left="0"/>
        <w:jc w:val="right"/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</w:pPr>
      <w:r w:rsidRP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rada</w:t>
      </w:r>
      <w:bookmarkEnd w:id="8"/>
      <w:r w:rsid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 xml:space="preserve"> za 202</w:t>
      </w:r>
      <w:r w:rsidR="004F31A4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1</w:t>
      </w:r>
      <w:r w:rsidR="0096085E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. godinu</w:t>
      </w: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96085E" w:rsidRDefault="004F31A4" w:rsidP="0096085E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Vlasenica, februar</w:t>
      </w:r>
      <w:r w:rsidR="0096085E">
        <w:rPr>
          <w:rFonts w:ascii="Arial" w:hAnsi="Arial" w:cs="Arial"/>
          <w:w w:val="95"/>
          <w:sz w:val="24"/>
          <w:szCs w:val="24"/>
          <w:lang w:val="hr-HR"/>
        </w:rPr>
        <w:t xml:space="preserve"> 2022. godine</w:t>
      </w: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361717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C3227" w:rsidRDefault="005C3227">
          <w:pPr>
            <w:pStyle w:val="TOCHeading"/>
          </w:pPr>
          <w:r>
            <w:t>SADR</w:t>
          </w:r>
          <w:r w:rsidR="00647365">
            <w:t>Ž</w:t>
          </w:r>
          <w:r>
            <w:t>AJ</w:t>
          </w:r>
        </w:p>
        <w:p w:rsidR="00301026" w:rsidRPr="00301026" w:rsidRDefault="00301026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bs-Latn-BA" w:eastAsia="bs-Latn-BA"/>
            </w:rPr>
          </w:pPr>
          <w:r w:rsidRPr="00301026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301026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301026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96940600" w:history="1">
            <w:r w:rsidRPr="0030102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30102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bs-Latn-BA" w:eastAsia="bs-Latn-BA"/>
              </w:rPr>
              <w:tab/>
            </w:r>
            <w:r w:rsidRPr="0030102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Uvod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_Toc96940600 \h </w:instrTex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1026" w:rsidRPr="00301026" w:rsidRDefault="00301026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bs-Latn-BA" w:eastAsia="bs-Latn-BA"/>
            </w:rPr>
          </w:pPr>
          <w:hyperlink w:anchor="_Toc96940601" w:history="1">
            <w:r w:rsidRPr="00301026">
              <w:rPr>
                <w:rStyle w:val="Hyperlink"/>
                <w:rFonts w:ascii="Times New Roman" w:eastAsia="Calibri" w:hAnsi="Times New Roman" w:cs="Times New Roman"/>
                <w:b/>
                <w:noProof/>
                <w:w w:val="95"/>
                <w:sz w:val="24"/>
                <w:szCs w:val="24"/>
                <w:lang w:val="hr-HR"/>
              </w:rPr>
              <w:t>b.1 . Obrazloženje za rezultate kod kojih je došlo do odstupanja u odnosu na očekivani godišnji rezultat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_Toc96940601 \h </w:instrTex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1026" w:rsidRPr="00301026" w:rsidRDefault="00301026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bs-Latn-BA" w:eastAsia="bs-Latn-BA"/>
            </w:rPr>
          </w:pPr>
          <w:hyperlink w:anchor="_Toc96940602" w:history="1">
            <w:r w:rsidRPr="00301026">
              <w:rPr>
                <w:rStyle w:val="Hyperlink"/>
                <w:rFonts w:ascii="Times New Roman" w:eastAsia="Calibri" w:hAnsi="Times New Roman" w:cs="Times New Roman"/>
                <w:b/>
                <w:noProof/>
                <w:w w:val="95"/>
                <w:sz w:val="24"/>
                <w:szCs w:val="24"/>
                <w:lang w:val="hr-HR"/>
              </w:rPr>
              <w:t>b.2 . Obrazloženje aktivnosti ( načina i stepena realizacije aktivnosti)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_Toc96940602 \h </w:instrTex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010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27" w:rsidRDefault="00301026">
          <w:r w:rsidRPr="00301026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  <w:bookmarkStart w:id="9" w:name="_GoBack"/>
      <w:bookmarkEnd w:id="9"/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5C3227" w:rsidRDefault="005C3227" w:rsidP="005C3227">
      <w:pPr>
        <w:widowControl w:val="0"/>
        <w:autoSpaceDE w:val="0"/>
        <w:autoSpaceDN w:val="0"/>
        <w:spacing w:before="71"/>
        <w:ind w:left="0"/>
        <w:outlineLvl w:val="1"/>
        <w:rPr>
          <w:rFonts w:ascii="Arial" w:eastAsia="Verdana" w:hAnsi="Arial" w:cs="Arial"/>
          <w:b/>
          <w:bCs/>
          <w:lang w:val="hr-HR"/>
        </w:rPr>
      </w:pPr>
    </w:p>
    <w:p w:rsidR="00712A06" w:rsidRDefault="00712A06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10" w:name="_Toc91677245"/>
      <w:r>
        <w:rPr>
          <w:b/>
        </w:rPr>
        <w:br w:type="page"/>
      </w:r>
    </w:p>
    <w:p w:rsidR="004F31A4" w:rsidRDefault="00353543" w:rsidP="004F31A4">
      <w:pPr>
        <w:pStyle w:val="Heading1"/>
        <w:numPr>
          <w:ilvl w:val="0"/>
          <w:numId w:val="4"/>
        </w:numPr>
        <w:rPr>
          <w:b/>
        </w:rPr>
      </w:pPr>
      <w:bookmarkStart w:id="11" w:name="_Toc96940600"/>
      <w:proofErr w:type="spellStart"/>
      <w:r w:rsidRPr="00353543">
        <w:rPr>
          <w:b/>
        </w:rPr>
        <w:lastRenderedPageBreak/>
        <w:t>Uvod</w:t>
      </w:r>
      <w:bookmarkEnd w:id="10"/>
      <w:bookmarkEnd w:id="11"/>
      <w:proofErr w:type="spellEnd"/>
    </w:p>
    <w:p w:rsidR="004F31A4" w:rsidRDefault="004F31A4" w:rsidP="004F31A4"/>
    <w:p w:rsidR="004F31A4" w:rsidRPr="004F31A4" w:rsidRDefault="004F31A4" w:rsidP="004F31A4"/>
    <w:p w:rsidR="004F31A4" w:rsidRDefault="004F31A4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</w:p>
    <w:p w:rsidR="004F31A4" w:rsidRDefault="00BC0B9E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  <w:r>
        <w:rPr>
          <w:rFonts w:ascii="Arial" w:eastAsia="Trebuchet MS" w:hAnsi="Arial" w:cs="Arial"/>
          <w:w w:val="95"/>
          <w:lang w:val="hr-HR"/>
        </w:rPr>
        <w:t xml:space="preserve"> Što se tiče ostvarenih godišnjih rezultata u Osnovnom sudu u </w:t>
      </w:r>
      <w:proofErr w:type="spellStart"/>
      <w:r>
        <w:rPr>
          <w:rFonts w:ascii="Arial" w:eastAsia="Trebuchet MS" w:hAnsi="Arial" w:cs="Arial"/>
          <w:w w:val="95"/>
          <w:lang w:val="hr-HR"/>
        </w:rPr>
        <w:t>Vlasenici,rezultati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su ipak zadovoljavajući osvrnuvši se koliki broj </w:t>
      </w:r>
      <w:proofErr w:type="spellStart"/>
      <w:r>
        <w:rPr>
          <w:rFonts w:ascii="Arial" w:eastAsia="Trebuchet MS" w:hAnsi="Arial" w:cs="Arial"/>
          <w:w w:val="95"/>
          <w:lang w:val="hr-HR"/>
        </w:rPr>
        <w:t>sudija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je radio tokom 2021.g.(konstantno su radile predsjednica i još jedna </w:t>
      </w:r>
      <w:proofErr w:type="spellStart"/>
      <w:r>
        <w:rPr>
          <w:rFonts w:ascii="Arial" w:eastAsia="Trebuchet MS" w:hAnsi="Arial" w:cs="Arial"/>
          <w:w w:val="95"/>
          <w:lang w:val="hr-HR"/>
        </w:rPr>
        <w:t>sudija</w:t>
      </w:r>
      <w:proofErr w:type="spellEnd"/>
      <w:r>
        <w:rPr>
          <w:rFonts w:ascii="Arial" w:eastAsia="Trebuchet MS" w:hAnsi="Arial" w:cs="Arial"/>
          <w:w w:val="95"/>
          <w:lang w:val="hr-HR"/>
        </w:rPr>
        <w:t>)</w:t>
      </w:r>
      <w:r w:rsidR="001131FE">
        <w:rPr>
          <w:rFonts w:ascii="Arial" w:eastAsia="Trebuchet MS" w:hAnsi="Arial" w:cs="Arial"/>
          <w:w w:val="95"/>
          <w:lang w:val="hr-HR"/>
        </w:rPr>
        <w:t>.</w:t>
      </w:r>
    </w:p>
    <w:p w:rsidR="001131FE" w:rsidRDefault="001131FE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</w:p>
    <w:p w:rsidR="001131FE" w:rsidRDefault="001131FE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  <w:r>
        <w:rPr>
          <w:rFonts w:ascii="Arial" w:eastAsia="Trebuchet MS" w:hAnsi="Arial" w:cs="Arial"/>
          <w:w w:val="95"/>
          <w:lang w:val="hr-HR"/>
        </w:rPr>
        <w:t xml:space="preserve">Konkretno kod izvršnih komunalnih </w:t>
      </w:r>
      <w:proofErr w:type="spellStart"/>
      <w:r>
        <w:rPr>
          <w:rFonts w:ascii="Arial" w:eastAsia="Trebuchet MS" w:hAnsi="Arial" w:cs="Arial"/>
          <w:w w:val="95"/>
          <w:lang w:val="hr-HR"/>
        </w:rPr>
        <w:t>predmeta,nezavršenih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je bilo 720.Međutim priliv novih takvih predmeta je bio 931 </w:t>
      </w:r>
      <w:proofErr w:type="spellStart"/>
      <w:r>
        <w:rPr>
          <w:rFonts w:ascii="Arial" w:eastAsia="Trebuchet MS" w:hAnsi="Arial" w:cs="Arial"/>
          <w:w w:val="95"/>
          <w:lang w:val="hr-HR"/>
        </w:rPr>
        <w:t>predmet.Riješeno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je 643 </w:t>
      </w:r>
      <w:proofErr w:type="spellStart"/>
      <w:r>
        <w:rPr>
          <w:rFonts w:ascii="Arial" w:eastAsia="Trebuchet MS" w:hAnsi="Arial" w:cs="Arial"/>
          <w:w w:val="95"/>
          <w:lang w:val="hr-HR"/>
        </w:rPr>
        <w:t>predmeta,što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je opet dobar rezultat ,s obzirom na broj </w:t>
      </w:r>
      <w:proofErr w:type="spellStart"/>
      <w:r>
        <w:rPr>
          <w:rFonts w:ascii="Arial" w:eastAsia="Trebuchet MS" w:hAnsi="Arial" w:cs="Arial"/>
          <w:w w:val="95"/>
          <w:lang w:val="hr-HR"/>
        </w:rPr>
        <w:t>postupajućih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</w:t>
      </w:r>
      <w:proofErr w:type="spellStart"/>
      <w:r>
        <w:rPr>
          <w:rFonts w:ascii="Arial" w:eastAsia="Trebuchet MS" w:hAnsi="Arial" w:cs="Arial"/>
          <w:w w:val="95"/>
          <w:lang w:val="hr-HR"/>
        </w:rPr>
        <w:t>sudija</w:t>
      </w:r>
      <w:proofErr w:type="spellEnd"/>
      <w:r>
        <w:rPr>
          <w:rFonts w:ascii="Arial" w:eastAsia="Trebuchet MS" w:hAnsi="Arial" w:cs="Arial"/>
          <w:w w:val="95"/>
          <w:lang w:val="hr-HR"/>
        </w:rPr>
        <w:t>.</w:t>
      </w:r>
    </w:p>
    <w:p w:rsidR="001131FE" w:rsidRDefault="001131FE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</w:p>
    <w:p w:rsidR="001131FE" w:rsidRDefault="001131FE" w:rsidP="00353543">
      <w:pPr>
        <w:widowControl w:val="0"/>
        <w:autoSpaceDE w:val="0"/>
        <w:autoSpaceDN w:val="0"/>
        <w:spacing w:before="101" w:line="276" w:lineRule="auto"/>
        <w:jc w:val="both"/>
        <w:rPr>
          <w:rFonts w:ascii="Arial" w:eastAsia="Trebuchet MS" w:hAnsi="Arial" w:cs="Arial"/>
          <w:w w:val="95"/>
          <w:lang w:val="hr-HR"/>
        </w:rPr>
      </w:pPr>
      <w:proofErr w:type="spellStart"/>
      <w:r>
        <w:rPr>
          <w:rFonts w:ascii="Arial" w:eastAsia="Trebuchet MS" w:hAnsi="Arial" w:cs="Arial"/>
          <w:w w:val="95"/>
          <w:lang w:val="hr-HR"/>
        </w:rPr>
        <w:t>Kvalitet</w:t>
      </w:r>
      <w:proofErr w:type="spellEnd"/>
      <w:r>
        <w:rPr>
          <w:rFonts w:ascii="Arial" w:eastAsia="Trebuchet MS" w:hAnsi="Arial" w:cs="Arial"/>
          <w:w w:val="95"/>
          <w:lang w:val="hr-HR"/>
        </w:rPr>
        <w:t xml:space="preserve"> sudskih odluka</w:t>
      </w:r>
      <w:r w:rsidR="00435BF7">
        <w:rPr>
          <w:rFonts w:ascii="Arial" w:eastAsia="Trebuchet MS" w:hAnsi="Arial" w:cs="Arial"/>
          <w:w w:val="95"/>
          <w:lang w:val="hr-HR"/>
        </w:rPr>
        <w:t xml:space="preserve">-procent potvrđenih odluka u odnosu na broj ukinutih je manji u odnosu na prethodni period(84,51% : 79,73%) što je opet rezultiralo manjkom </w:t>
      </w:r>
      <w:proofErr w:type="spellStart"/>
      <w:r w:rsidR="00435BF7">
        <w:rPr>
          <w:rFonts w:ascii="Arial" w:eastAsia="Trebuchet MS" w:hAnsi="Arial" w:cs="Arial"/>
          <w:w w:val="95"/>
          <w:lang w:val="hr-HR"/>
        </w:rPr>
        <w:t>sudija.Mali</w:t>
      </w:r>
      <w:proofErr w:type="spellEnd"/>
      <w:r w:rsidR="00435BF7">
        <w:rPr>
          <w:rFonts w:ascii="Arial" w:eastAsia="Trebuchet MS" w:hAnsi="Arial" w:cs="Arial"/>
          <w:w w:val="95"/>
          <w:lang w:val="hr-HR"/>
        </w:rPr>
        <w:t xml:space="preserve"> broj </w:t>
      </w:r>
      <w:proofErr w:type="spellStart"/>
      <w:r w:rsidR="00435BF7">
        <w:rPr>
          <w:rFonts w:ascii="Arial" w:eastAsia="Trebuchet MS" w:hAnsi="Arial" w:cs="Arial"/>
          <w:w w:val="95"/>
          <w:lang w:val="hr-HR"/>
        </w:rPr>
        <w:t>sudija</w:t>
      </w:r>
      <w:r w:rsidR="009E0383">
        <w:rPr>
          <w:rFonts w:ascii="Arial" w:eastAsia="Trebuchet MS" w:hAnsi="Arial" w:cs="Arial"/>
          <w:w w:val="95"/>
          <w:lang w:val="hr-HR"/>
        </w:rPr>
        <w:t>,mala</w:t>
      </w:r>
      <w:proofErr w:type="spellEnd"/>
      <w:r w:rsidR="009E0383">
        <w:rPr>
          <w:rFonts w:ascii="Arial" w:eastAsia="Trebuchet MS" w:hAnsi="Arial" w:cs="Arial"/>
          <w:w w:val="95"/>
          <w:lang w:val="hr-HR"/>
        </w:rPr>
        <w:t xml:space="preserve"> sudska praksa.</w:t>
      </w: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301026" w:rsidRDefault="00301026" w:rsidP="00301026">
      <w:pPr>
        <w:rPr>
          <w:rFonts w:ascii="Arial" w:eastAsia="Calibri" w:hAnsi="Arial" w:cs="Arial"/>
          <w:w w:val="95"/>
          <w:lang w:val="hr-HR"/>
        </w:rPr>
      </w:pPr>
      <w:bookmarkStart w:id="12" w:name="_Toc91677251"/>
      <w:bookmarkStart w:id="13" w:name="_Toc29479790"/>
      <w:bookmarkStart w:id="14" w:name="_Toc39666952"/>
      <w:bookmarkStart w:id="15" w:name="_Toc64458884"/>
    </w:p>
    <w:p w:rsidR="005C3227" w:rsidRPr="00301026" w:rsidRDefault="001942A4" w:rsidP="00301026">
      <w:pPr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lastRenderedPageBreak/>
        <w:t xml:space="preserve">B. </w:t>
      </w:r>
      <w:bookmarkEnd w:id="12"/>
      <w:r w:rsidR="005C3227" w:rsidRPr="001942A4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>Pregled reali</w:t>
      </w:r>
      <w:r w:rsidR="007312E0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 xml:space="preserve">zacije aktivnosti po strateškim </w:t>
      </w:r>
      <w:proofErr w:type="gramStart"/>
      <w:r w:rsidR="007312E0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 xml:space="preserve">i </w:t>
      </w:r>
      <w:r w:rsidR="005C3227" w:rsidRPr="001942A4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 xml:space="preserve"> trogodišnjim</w:t>
      </w:r>
      <w:proofErr w:type="gramEnd"/>
      <w:r w:rsidR="005C3227" w:rsidRPr="001942A4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 xml:space="preserve"> ciljevima</w:t>
      </w:r>
      <w:bookmarkEnd w:id="13"/>
      <w:bookmarkEnd w:id="14"/>
      <w:bookmarkEnd w:id="15"/>
      <w:r w:rsidR="007312E0">
        <w:rPr>
          <w:rFonts w:ascii="Arial" w:eastAsia="Times New Roman" w:hAnsi="Arial" w:cs="Arial"/>
          <w:b/>
          <w:w w:val="95"/>
          <w:sz w:val="28"/>
          <w:szCs w:val="28"/>
          <w:lang w:val="hr-HR"/>
        </w:rPr>
        <w:t xml:space="preserve"> u planskoj godini</w:t>
      </w:r>
    </w:p>
    <w:p w:rsidR="005C3227" w:rsidRPr="00850FF6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b/>
          <w:w w:val="95"/>
          <w:lang w:val="hr-HR"/>
        </w:rPr>
      </w:pPr>
    </w:p>
    <w:tbl>
      <w:tblPr>
        <w:tblStyle w:val="TableGrid0"/>
        <w:tblW w:w="9568" w:type="dxa"/>
        <w:tblInd w:w="4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914"/>
        <w:gridCol w:w="3824"/>
        <w:gridCol w:w="1913"/>
        <w:gridCol w:w="1917"/>
      </w:tblGrid>
      <w:tr w:rsidR="004F31A4" w:rsidRPr="006A0618" w:rsidTr="006E3FB1">
        <w:trPr>
          <w:trHeight w:val="1059"/>
        </w:trPr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Naziv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strateskog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right="61"/>
              <w:jc w:val="center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Izvor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Program u </w:t>
            </w:r>
          </w:p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DOB-u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Partneri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F31A4" w:rsidRPr="006A0618" w:rsidTr="006E3FB1">
        <w:trPr>
          <w:trHeight w:val="162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Unapredjenje efikasnosti i </w:t>
            </w:r>
            <w:proofErr w:type="spellStart"/>
            <w:r w:rsidRPr="006A0618">
              <w:rPr>
                <w:sz w:val="24"/>
                <w:szCs w:val="24"/>
              </w:rPr>
              <w:t>efektivnosti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Strateski</w:t>
            </w:r>
            <w:proofErr w:type="spellEnd"/>
            <w:r w:rsidRPr="006A0618">
              <w:rPr>
                <w:sz w:val="24"/>
                <w:szCs w:val="24"/>
              </w:rPr>
              <w:t xml:space="preserve"> plan VTSV-a </w:t>
            </w:r>
            <w:proofErr w:type="spellStart"/>
            <w:r w:rsidRPr="006A0618">
              <w:rPr>
                <w:sz w:val="24"/>
                <w:szCs w:val="24"/>
              </w:rPr>
              <w:t>BiH</w:t>
            </w:r>
            <w:proofErr w:type="spellEnd"/>
            <w:r w:rsidRPr="006A0618">
              <w:rPr>
                <w:sz w:val="24"/>
                <w:szCs w:val="24"/>
              </w:rPr>
              <w:t xml:space="preserve"> za period </w:t>
            </w:r>
            <w:proofErr w:type="spellStart"/>
            <w:r w:rsidRPr="006A0618">
              <w:rPr>
                <w:sz w:val="24"/>
                <w:szCs w:val="24"/>
              </w:rPr>
              <w:t>od</w:t>
            </w:r>
            <w:proofErr w:type="spellEnd"/>
            <w:r w:rsidRPr="006A0618">
              <w:rPr>
                <w:sz w:val="24"/>
                <w:szCs w:val="24"/>
              </w:rPr>
              <w:t xml:space="preserve"> 2014-2018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 i </w:t>
            </w:r>
            <w:proofErr w:type="spellStart"/>
            <w:r w:rsidRPr="006A0618">
              <w:rPr>
                <w:sz w:val="24"/>
                <w:szCs w:val="24"/>
              </w:rPr>
              <w:t>Srednjorocni</w:t>
            </w:r>
            <w:proofErr w:type="spellEnd"/>
            <w:r w:rsidRPr="006A0618">
              <w:rPr>
                <w:sz w:val="24"/>
                <w:szCs w:val="24"/>
              </w:rPr>
              <w:t xml:space="preserve"> plan rada VTSV-a za period </w:t>
            </w:r>
            <w:proofErr w:type="spellStart"/>
            <w:r w:rsidRPr="006A0618">
              <w:rPr>
                <w:sz w:val="24"/>
                <w:szCs w:val="24"/>
              </w:rPr>
              <w:t>od</w:t>
            </w:r>
            <w:proofErr w:type="spellEnd"/>
            <w:r w:rsidRPr="006A0618">
              <w:rPr>
                <w:sz w:val="24"/>
                <w:szCs w:val="24"/>
              </w:rPr>
              <w:t xml:space="preserve"> 2021. </w:t>
            </w:r>
            <w:proofErr w:type="gramStart"/>
            <w:r w:rsidRPr="006A0618">
              <w:rPr>
                <w:sz w:val="24"/>
                <w:szCs w:val="24"/>
              </w:rPr>
              <w:t>do</w:t>
            </w:r>
            <w:proofErr w:type="gramEnd"/>
            <w:r w:rsidRPr="006A0618">
              <w:rPr>
                <w:sz w:val="24"/>
                <w:szCs w:val="24"/>
              </w:rPr>
              <w:t xml:space="preserve"> 2023.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Ministarstvo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pravde</w:t>
            </w:r>
            <w:proofErr w:type="spellEnd"/>
            <w:r w:rsidRPr="006A0618">
              <w:rPr>
                <w:sz w:val="24"/>
                <w:szCs w:val="24"/>
              </w:rPr>
              <w:t xml:space="preserve"> RS </w:t>
            </w:r>
          </w:p>
        </w:tc>
      </w:tr>
      <w:tr w:rsidR="004F31A4" w:rsidRPr="006A0618" w:rsidTr="006E3FB1">
        <w:trPr>
          <w:trHeight w:val="560"/>
        </w:trPr>
        <w:tc>
          <w:tcPr>
            <w:tcW w:w="19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Pokazatelji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krajnje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proofErr w:type="spellStart"/>
            <w:r w:rsidRPr="006A0618">
              <w:rPr>
                <w:b/>
                <w:color w:val="FFFFFF"/>
                <w:sz w:val="24"/>
                <w:szCs w:val="24"/>
              </w:rPr>
              <w:t>Ocekivani</w:t>
            </w:r>
            <w:proofErr w:type="spellEnd"/>
            <w:r w:rsidRPr="006A0618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color w:val="FFFFFF"/>
                <w:sz w:val="24"/>
                <w:szCs w:val="24"/>
              </w:rPr>
              <w:t>rezultati</w:t>
            </w:r>
            <w:proofErr w:type="spellEnd"/>
            <w:r w:rsidRPr="006A0618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color w:val="FFFFFF"/>
                <w:sz w:val="24"/>
                <w:szCs w:val="24"/>
              </w:rPr>
              <w:t>po</w:t>
            </w:r>
            <w:proofErr w:type="spellEnd"/>
            <w:r w:rsidRPr="006A0618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color w:val="FFFFFF"/>
                <w:sz w:val="24"/>
                <w:szCs w:val="24"/>
              </w:rPr>
              <w:t>godinama</w:t>
            </w:r>
            <w:proofErr w:type="spellEnd"/>
            <w:r w:rsidRPr="006A0618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4F31A4" w:rsidRPr="006A0618" w:rsidTr="006E3FB1">
        <w:trPr>
          <w:trHeight w:val="5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 </w:t>
            </w:r>
          </w:p>
        </w:tc>
      </w:tr>
      <w:tr w:rsidR="004F31A4" w:rsidRPr="006A0618" w:rsidTr="006E3FB1">
        <w:trPr>
          <w:trHeight w:val="194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 w:right="38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nerjesenih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predmeta</w:t>
            </w:r>
            <w:proofErr w:type="spellEnd"/>
            <w:r w:rsidRPr="006A0618">
              <w:rPr>
                <w:sz w:val="24"/>
                <w:szCs w:val="24"/>
              </w:rPr>
              <w:t xml:space="preserve">(i </w:t>
            </w:r>
            <w:proofErr w:type="spellStart"/>
            <w:r w:rsidRPr="006A0618">
              <w:rPr>
                <w:sz w:val="24"/>
                <w:szCs w:val="24"/>
              </w:rPr>
              <w:t>komunalni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predmeti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720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63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300 </w:t>
            </w:r>
          </w:p>
        </w:tc>
      </w:tr>
    </w:tbl>
    <w:p w:rsidR="004F31A4" w:rsidRPr="006A0618" w:rsidRDefault="004F31A4" w:rsidP="004F31A4">
      <w:pPr>
        <w:spacing w:line="259" w:lineRule="auto"/>
        <w:ind w:left="0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tbl>
      <w:tblPr>
        <w:tblStyle w:val="TableGrid0"/>
        <w:tblW w:w="9582" w:type="dxa"/>
        <w:tblInd w:w="5" w:type="dxa"/>
        <w:tblCellMar>
          <w:top w:w="1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16"/>
        <w:gridCol w:w="3832"/>
        <w:gridCol w:w="1916"/>
        <w:gridCol w:w="1918"/>
      </w:tblGrid>
      <w:tr w:rsidR="004F31A4" w:rsidRPr="006A0618" w:rsidTr="006E3FB1">
        <w:trPr>
          <w:trHeight w:val="1210"/>
        </w:trPr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Naziv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strateskog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tabs>
                <w:tab w:val="center" w:pos="1809"/>
                <w:tab w:val="center" w:pos="4421"/>
                <w:tab w:val="center" w:pos="6193"/>
              </w:tabs>
              <w:spacing w:line="259" w:lineRule="auto"/>
              <w:rPr>
                <w:sz w:val="24"/>
                <w:szCs w:val="24"/>
              </w:rPr>
            </w:pPr>
            <w:r w:rsidRPr="006A0618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Izvor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r w:rsidRPr="006A0618">
              <w:rPr>
                <w:color w:val="FFFFFF"/>
                <w:sz w:val="24"/>
                <w:szCs w:val="24"/>
              </w:rPr>
              <w:tab/>
              <w:t xml:space="preserve">Program u </w:t>
            </w:r>
            <w:r w:rsidRPr="006A0618">
              <w:rPr>
                <w:color w:val="FFFFFF"/>
                <w:sz w:val="24"/>
                <w:szCs w:val="24"/>
              </w:rPr>
              <w:tab/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Partneri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F31A4" w:rsidRPr="006A0618" w:rsidRDefault="004F31A4" w:rsidP="006E3FB1">
            <w:pPr>
              <w:spacing w:line="259" w:lineRule="auto"/>
              <w:ind w:left="986"/>
              <w:jc w:val="center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DOB-u </w:t>
            </w:r>
          </w:p>
        </w:tc>
      </w:tr>
      <w:tr w:rsidR="004F31A4" w:rsidRPr="006A0618" w:rsidTr="006E3FB1">
        <w:trPr>
          <w:trHeight w:val="162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Unapredjenje kvaliteta rada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2" w:line="237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Strateski</w:t>
            </w:r>
            <w:proofErr w:type="spellEnd"/>
            <w:r w:rsidRPr="006A0618">
              <w:rPr>
                <w:sz w:val="24"/>
                <w:szCs w:val="24"/>
              </w:rPr>
              <w:t xml:space="preserve"> plan VTSV-a </w:t>
            </w:r>
            <w:proofErr w:type="spellStart"/>
            <w:r w:rsidRPr="006A0618">
              <w:rPr>
                <w:sz w:val="24"/>
                <w:szCs w:val="24"/>
              </w:rPr>
              <w:t>BiH</w:t>
            </w:r>
            <w:proofErr w:type="spellEnd"/>
            <w:r w:rsidRPr="006A0618">
              <w:rPr>
                <w:sz w:val="24"/>
                <w:szCs w:val="24"/>
              </w:rPr>
              <w:t xml:space="preserve"> za period </w:t>
            </w:r>
            <w:proofErr w:type="spellStart"/>
            <w:r w:rsidRPr="006A0618">
              <w:rPr>
                <w:sz w:val="24"/>
                <w:szCs w:val="24"/>
              </w:rPr>
              <w:t>od</w:t>
            </w:r>
            <w:proofErr w:type="spellEnd"/>
            <w:r w:rsidRPr="006A0618">
              <w:rPr>
                <w:sz w:val="24"/>
                <w:szCs w:val="24"/>
              </w:rPr>
              <w:t xml:space="preserve"> 2014-2018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 i </w:t>
            </w:r>
            <w:proofErr w:type="spellStart"/>
            <w:r w:rsidRPr="006A0618">
              <w:rPr>
                <w:sz w:val="24"/>
                <w:szCs w:val="24"/>
              </w:rPr>
              <w:t>Srednjorocni</w:t>
            </w:r>
            <w:proofErr w:type="spellEnd"/>
            <w:r w:rsidRPr="006A0618">
              <w:rPr>
                <w:sz w:val="24"/>
                <w:szCs w:val="24"/>
              </w:rPr>
              <w:t xml:space="preserve"> plan rada VTSV-a za period </w:t>
            </w:r>
            <w:proofErr w:type="spellStart"/>
            <w:r w:rsidRPr="006A0618">
              <w:rPr>
                <w:sz w:val="24"/>
                <w:szCs w:val="24"/>
              </w:rPr>
              <w:t>od</w:t>
            </w:r>
            <w:proofErr w:type="spellEnd"/>
            <w:r w:rsidRPr="006A0618">
              <w:rPr>
                <w:sz w:val="24"/>
                <w:szCs w:val="24"/>
              </w:rPr>
              <w:t xml:space="preserve"> 2021. </w:t>
            </w:r>
            <w:proofErr w:type="gramStart"/>
            <w:r w:rsidRPr="006A0618">
              <w:rPr>
                <w:sz w:val="24"/>
                <w:szCs w:val="24"/>
              </w:rPr>
              <w:t>do</w:t>
            </w:r>
            <w:proofErr w:type="gramEnd"/>
            <w:r w:rsidRPr="006A0618">
              <w:rPr>
                <w:sz w:val="24"/>
                <w:szCs w:val="24"/>
              </w:rPr>
              <w:t xml:space="preserve"> 2023. </w:t>
            </w:r>
          </w:p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Ministarstvo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pravde</w:t>
            </w:r>
            <w:proofErr w:type="spellEnd"/>
            <w:r w:rsidRPr="006A0618">
              <w:rPr>
                <w:sz w:val="24"/>
                <w:szCs w:val="24"/>
              </w:rPr>
              <w:t xml:space="preserve"> RS </w:t>
            </w:r>
          </w:p>
        </w:tc>
      </w:tr>
      <w:tr w:rsidR="004F31A4" w:rsidRPr="006A0618" w:rsidTr="006E3FB1">
        <w:trPr>
          <w:trHeight w:val="602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Pokazatelji</w:t>
            </w:r>
            <w:proofErr w:type="spellEnd"/>
            <w:r w:rsidRPr="006A0618">
              <w:rPr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sz w:val="24"/>
                <w:szCs w:val="24"/>
              </w:rPr>
              <w:t>krajnje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rezultate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proofErr w:type="spellStart"/>
            <w:r w:rsidRPr="006A0618">
              <w:rPr>
                <w:b/>
                <w:sz w:val="24"/>
                <w:szCs w:val="24"/>
              </w:rPr>
              <w:t>Ocekivani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rezultati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po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godinama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F31A4" w:rsidRPr="006A0618" w:rsidTr="006E3FB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 </w:t>
            </w:r>
          </w:p>
        </w:tc>
      </w:tr>
      <w:tr w:rsidR="004F31A4" w:rsidRPr="006A0618" w:rsidTr="006E3FB1">
        <w:trPr>
          <w:trHeight w:val="65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Procenat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potvrdjenih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84,51%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86%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90% </w:t>
            </w:r>
          </w:p>
        </w:tc>
      </w:tr>
      <w:tr w:rsidR="004F31A4" w:rsidRPr="006A0618" w:rsidTr="006E3FB1">
        <w:trPr>
          <w:trHeight w:val="97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71"/>
              <w:jc w:val="both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odluka</w:t>
            </w:r>
            <w:proofErr w:type="spellEnd"/>
            <w:r w:rsidRPr="006A0618">
              <w:rPr>
                <w:sz w:val="24"/>
                <w:szCs w:val="24"/>
              </w:rPr>
              <w:t xml:space="preserve"> u </w:t>
            </w:r>
            <w:proofErr w:type="spellStart"/>
            <w:r w:rsidRPr="006A0618">
              <w:rPr>
                <w:sz w:val="24"/>
                <w:szCs w:val="24"/>
              </w:rPr>
              <w:t>odnosu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ukinutih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4F31A4" w:rsidRPr="006A0618" w:rsidRDefault="004F31A4" w:rsidP="004F31A4">
      <w:pPr>
        <w:spacing w:after="155" w:line="259" w:lineRule="auto"/>
        <w:ind w:left="0"/>
        <w:jc w:val="both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p w:rsidR="004F31A4" w:rsidRPr="006A0618" w:rsidRDefault="004F31A4" w:rsidP="004F31A4">
      <w:pPr>
        <w:spacing w:after="157" w:line="259" w:lineRule="auto"/>
        <w:ind w:left="0"/>
        <w:jc w:val="both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p w:rsidR="004F31A4" w:rsidRPr="006A0618" w:rsidRDefault="004F31A4" w:rsidP="004F31A4">
      <w:pPr>
        <w:spacing w:line="259" w:lineRule="auto"/>
        <w:ind w:left="0"/>
        <w:jc w:val="both"/>
        <w:rPr>
          <w:sz w:val="24"/>
          <w:szCs w:val="24"/>
        </w:rPr>
      </w:pPr>
      <w:r w:rsidRPr="006A0618">
        <w:rPr>
          <w:sz w:val="24"/>
          <w:szCs w:val="24"/>
        </w:rPr>
        <w:lastRenderedPageBreak/>
        <w:t xml:space="preserve"> </w:t>
      </w:r>
    </w:p>
    <w:tbl>
      <w:tblPr>
        <w:tblStyle w:val="TableGrid0"/>
        <w:tblW w:w="9582" w:type="dxa"/>
        <w:tblInd w:w="5" w:type="dxa"/>
        <w:tblCellMar>
          <w:top w:w="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021"/>
        <w:gridCol w:w="3761"/>
        <w:gridCol w:w="1892"/>
        <w:gridCol w:w="1908"/>
      </w:tblGrid>
      <w:tr w:rsidR="004F31A4" w:rsidRPr="006A0618" w:rsidTr="006E3FB1">
        <w:trPr>
          <w:trHeight w:val="1210"/>
        </w:trPr>
        <w:tc>
          <w:tcPr>
            <w:tcW w:w="5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tabs>
                <w:tab w:val="center" w:pos="3796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Naziv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r w:rsidRPr="006A0618">
              <w:rPr>
                <w:color w:val="FFFFFF"/>
                <w:sz w:val="24"/>
                <w:szCs w:val="24"/>
              </w:rPr>
              <w:tab/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Izvor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strateskog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Program u </w:t>
            </w:r>
            <w:r w:rsidRPr="006A0618">
              <w:rPr>
                <w:color w:val="FFFFFF"/>
                <w:sz w:val="24"/>
                <w:szCs w:val="24"/>
              </w:rPr>
              <w:tab/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Partneri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DOB-u </w:t>
            </w:r>
          </w:p>
        </w:tc>
      </w:tr>
      <w:tr w:rsidR="004F31A4" w:rsidRPr="006A0618" w:rsidTr="006E3FB1">
        <w:trPr>
          <w:trHeight w:val="130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2" w:right="44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Transparentnost</w:t>
            </w:r>
            <w:proofErr w:type="spellEnd"/>
            <w:r w:rsidRPr="006A0618">
              <w:rPr>
                <w:sz w:val="24"/>
                <w:szCs w:val="24"/>
              </w:rPr>
              <w:t xml:space="preserve"> rada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i </w:t>
            </w:r>
            <w:proofErr w:type="spellStart"/>
            <w:r w:rsidRPr="006A0618">
              <w:rPr>
                <w:sz w:val="24"/>
                <w:szCs w:val="24"/>
              </w:rPr>
              <w:t>komunikacija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javnoscu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2" w:line="237" w:lineRule="auto"/>
              <w:ind w:left="2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Izvjestaj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strucnjaka</w:t>
            </w:r>
            <w:proofErr w:type="spellEnd"/>
            <w:r w:rsidRPr="006A0618">
              <w:rPr>
                <w:sz w:val="24"/>
                <w:szCs w:val="24"/>
              </w:rPr>
              <w:t xml:space="preserve"> o </w:t>
            </w:r>
            <w:proofErr w:type="spellStart"/>
            <w:r w:rsidRPr="006A0618">
              <w:rPr>
                <w:sz w:val="24"/>
                <w:szCs w:val="24"/>
              </w:rPr>
              <w:t>pitanjima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vladavine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prava</w:t>
            </w:r>
            <w:proofErr w:type="spellEnd"/>
            <w:r w:rsidRPr="006A0618">
              <w:rPr>
                <w:sz w:val="24"/>
                <w:szCs w:val="24"/>
              </w:rPr>
              <w:t xml:space="preserve"> u </w:t>
            </w:r>
            <w:proofErr w:type="spellStart"/>
            <w:r w:rsidRPr="006A0618">
              <w:rPr>
                <w:sz w:val="24"/>
                <w:szCs w:val="24"/>
              </w:rPr>
              <w:t>BiH</w:t>
            </w:r>
            <w:proofErr w:type="spellEnd"/>
            <w:r w:rsidRPr="006A0618">
              <w:rPr>
                <w:sz w:val="24"/>
                <w:szCs w:val="24"/>
              </w:rPr>
              <w:t xml:space="preserve"> od </w:t>
            </w:r>
          </w:p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05.12.2019.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1894" w:hanging="1894"/>
              <w:rPr>
                <w:sz w:val="24"/>
                <w:szCs w:val="24"/>
              </w:rPr>
            </w:pPr>
            <w:r w:rsidRPr="006A0618">
              <w:rPr>
                <w:rFonts w:ascii="Calibri" w:eastAsia="Calibri" w:hAnsi="Calibri" w:cs="Calibri"/>
                <w:noProof/>
                <w:sz w:val="24"/>
                <w:szCs w:val="24"/>
                <w:lang w:val="bs-Latn-B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57E56A" wp14:editId="60091103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-7547</wp:posOffset>
                      </wp:positionV>
                      <wp:extent cx="6096" cy="818693"/>
                      <wp:effectExtent l="0" t="0" r="0" b="0"/>
                      <wp:wrapSquare wrapText="bothSides"/>
                      <wp:docPr id="18616" name="Group 1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693"/>
                                <a:chOff x="0" y="0"/>
                                <a:chExt cx="6096" cy="818693"/>
                              </a:xfrm>
                            </wpg:grpSpPr>
                            <wps:wsp>
                              <wps:cNvPr id="22168" name="Shape 22168"/>
                              <wps:cNvSpPr/>
                              <wps:spPr>
                                <a:xfrm>
                                  <a:off x="0" y="0"/>
                                  <a:ext cx="9144" cy="818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6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693"/>
                                      </a:lnTo>
                                      <a:lnTo>
                                        <a:pt x="0" y="8186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36866" id="Group 18616" o:spid="_x0000_s1026" style="position:absolute;margin-left:94.35pt;margin-top:-.6pt;width:.5pt;height:64.45pt;z-index:251659264" coordsize="6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">
                      <v:shape id="Shape 22168" o:spid="_x0000_s1027" style="position:absolute;width:91;height:8186;visibility:visible;mso-wrap-style:square;v-text-anchor:top" coordsize="9144,81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" path="m,l9144,r,818693l,818693,,e" fillcolor="black" stroked="f" strokeweight="0">
                        <v:stroke miterlimit="83231f" joinstyle="miter"/>
                        <v:path arrowok="t" textboxrect="0,0,9144,818693"/>
                      </v:shape>
                      <w10:wrap type="square"/>
                    </v:group>
                  </w:pict>
                </mc:Fallback>
              </mc:AlternateContent>
            </w:r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Ministarstvo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pravde</w:t>
            </w:r>
            <w:proofErr w:type="spellEnd"/>
            <w:r w:rsidRPr="006A0618">
              <w:rPr>
                <w:sz w:val="24"/>
                <w:szCs w:val="24"/>
              </w:rPr>
              <w:t xml:space="preserve"> RS </w:t>
            </w:r>
          </w:p>
        </w:tc>
      </w:tr>
      <w:tr w:rsidR="004F31A4" w:rsidRPr="006A0618" w:rsidTr="006E3FB1">
        <w:trPr>
          <w:trHeight w:val="602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left="2" w:right="59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Pokazatelji</w:t>
            </w:r>
            <w:proofErr w:type="spellEnd"/>
            <w:r w:rsidRPr="006A0618">
              <w:rPr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sz w:val="24"/>
                <w:szCs w:val="24"/>
              </w:rPr>
              <w:t>krajnje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rezultate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4F31A4" w:rsidRPr="006A0618" w:rsidRDefault="004F31A4" w:rsidP="006E3FB1">
            <w:pPr>
              <w:spacing w:line="259" w:lineRule="auto"/>
              <w:ind w:right="68"/>
              <w:jc w:val="center"/>
              <w:rPr>
                <w:sz w:val="24"/>
                <w:szCs w:val="24"/>
              </w:rPr>
            </w:pPr>
            <w:proofErr w:type="spellStart"/>
            <w:r w:rsidRPr="006A0618">
              <w:rPr>
                <w:b/>
                <w:sz w:val="24"/>
                <w:szCs w:val="24"/>
              </w:rPr>
              <w:t>Ocekivani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rezultati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po</w:t>
            </w:r>
            <w:proofErr w:type="spellEnd"/>
            <w:r w:rsidRPr="006A0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b/>
                <w:sz w:val="24"/>
                <w:szCs w:val="24"/>
              </w:rPr>
              <w:t>godinama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F31A4" w:rsidRPr="006A0618" w:rsidTr="006E3FB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 </w:t>
            </w:r>
          </w:p>
        </w:tc>
      </w:tr>
      <w:tr w:rsidR="004F31A4" w:rsidRPr="006A0618" w:rsidTr="006E3FB1">
        <w:trPr>
          <w:trHeight w:val="9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objava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na</w:t>
            </w:r>
            <w:proofErr w:type="spellEnd"/>
            <w:r w:rsidRPr="006A0618">
              <w:rPr>
                <w:sz w:val="24"/>
                <w:szCs w:val="24"/>
              </w:rPr>
              <w:t xml:space="preserve"> web </w:t>
            </w:r>
            <w:proofErr w:type="spellStart"/>
            <w:r w:rsidRPr="006A0618">
              <w:rPr>
                <w:sz w:val="24"/>
                <w:szCs w:val="24"/>
              </w:rPr>
              <w:t>stranici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A4" w:rsidRPr="006A0618" w:rsidRDefault="004F31A4" w:rsidP="006E3FB1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15 </w:t>
            </w:r>
          </w:p>
        </w:tc>
      </w:tr>
    </w:tbl>
    <w:p w:rsidR="004F31A4" w:rsidRPr="006A0618" w:rsidRDefault="004F31A4" w:rsidP="004F31A4">
      <w:pPr>
        <w:spacing w:after="155" w:line="259" w:lineRule="auto"/>
        <w:ind w:left="0"/>
        <w:jc w:val="both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p w:rsidR="00CC4D1B" w:rsidRDefault="00CC4D1B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1942A4" w:rsidRDefault="001942A4" w:rsidP="001942A4">
      <w:pPr>
        <w:pStyle w:val="Heading2"/>
        <w:rPr>
          <w:rFonts w:eastAsia="Calibri"/>
          <w:b/>
          <w:w w:val="95"/>
          <w:lang w:val="hr-HR"/>
        </w:rPr>
      </w:pPr>
      <w:bookmarkStart w:id="16" w:name="_Toc96940601"/>
      <w:r w:rsidRPr="001942A4">
        <w:rPr>
          <w:rFonts w:eastAsia="Calibri"/>
          <w:b/>
          <w:w w:val="95"/>
          <w:lang w:val="hr-HR"/>
        </w:rPr>
        <w:t>b.1 . Obrazloženje za rezultate kod kojih je došlo do odstupanja u odnosu na očekivani godišnji rezultat</w:t>
      </w:r>
      <w:bookmarkEnd w:id="16"/>
    </w:p>
    <w:p w:rsidR="001942A4" w:rsidRDefault="001942A4" w:rsidP="001942A4">
      <w:pPr>
        <w:rPr>
          <w:lang w:val="hr-HR"/>
        </w:rPr>
      </w:pPr>
    </w:p>
    <w:p w:rsidR="004F31A4" w:rsidRDefault="004F31A4" w:rsidP="00C1626C">
      <w:pPr>
        <w:ind w:left="0"/>
        <w:rPr>
          <w:lang w:val="hr-HR"/>
        </w:rPr>
      </w:pPr>
      <w:r>
        <w:rPr>
          <w:lang w:val="hr-HR"/>
        </w:rPr>
        <w:t xml:space="preserve">Što se tiče realizacije </w:t>
      </w:r>
      <w:r w:rsidR="004D2519">
        <w:rPr>
          <w:lang w:val="hr-HR"/>
        </w:rPr>
        <w:t xml:space="preserve">strateških ciljeva kod Osnovnog suda u </w:t>
      </w:r>
      <w:proofErr w:type="spellStart"/>
      <w:r w:rsidR="004D2519">
        <w:rPr>
          <w:lang w:val="hr-HR"/>
        </w:rPr>
        <w:t>Vlasenici</w:t>
      </w:r>
      <w:proofErr w:type="spellEnd"/>
      <w:r w:rsidR="004D2519">
        <w:rPr>
          <w:lang w:val="hr-HR"/>
        </w:rPr>
        <w:t xml:space="preserve">, situacija je </w:t>
      </w:r>
      <w:proofErr w:type="spellStart"/>
      <w:r w:rsidR="004D2519">
        <w:rPr>
          <w:lang w:val="hr-HR"/>
        </w:rPr>
        <w:t>sledeća</w:t>
      </w:r>
      <w:proofErr w:type="spellEnd"/>
      <w:r w:rsidR="004D2519">
        <w:rPr>
          <w:lang w:val="hr-HR"/>
        </w:rPr>
        <w:t>:</w:t>
      </w:r>
    </w:p>
    <w:p w:rsidR="004D2519" w:rsidRDefault="004D2519" w:rsidP="004D2519">
      <w:pPr>
        <w:ind w:left="0"/>
        <w:jc w:val="both"/>
        <w:rPr>
          <w:lang w:val="hr-HR"/>
        </w:rPr>
      </w:pPr>
    </w:p>
    <w:p w:rsidR="004F31A4" w:rsidRDefault="004D2519" w:rsidP="004D2519">
      <w:pPr>
        <w:ind w:left="0"/>
        <w:jc w:val="both"/>
        <w:rPr>
          <w:lang w:val="hr-HR"/>
        </w:rPr>
      </w:pPr>
      <w:r>
        <w:rPr>
          <w:lang w:val="hr-HR"/>
        </w:rPr>
        <w:t xml:space="preserve">Prvi strateški cilj bio je povećati riješenost izvršnih komunalnih predmeta, međutim sud u </w:t>
      </w:r>
      <w:proofErr w:type="spellStart"/>
      <w:r>
        <w:rPr>
          <w:lang w:val="hr-HR"/>
        </w:rPr>
        <w:t>Vlasenici</w:t>
      </w:r>
      <w:proofErr w:type="spellEnd"/>
      <w:r>
        <w:rPr>
          <w:lang w:val="hr-HR"/>
        </w:rPr>
        <w:t xml:space="preserve"> nije postigao očekivane rezultate jer je došlo do povećanog priliva izvršnih komunalnih predmeta i taj broj iznosi tokom 2021. godine 931. Znači ukupno </w:t>
      </w:r>
      <w:proofErr w:type="spellStart"/>
      <w:r>
        <w:rPr>
          <w:lang w:val="hr-HR"/>
        </w:rPr>
        <w:t>nerešenih</w:t>
      </w:r>
      <w:proofErr w:type="spellEnd"/>
      <w:r>
        <w:rPr>
          <w:lang w:val="hr-HR"/>
        </w:rPr>
        <w:t xml:space="preserve"> izvršnih komunalnih predmeta u radu je bilo 1651. Osnovni sud u </w:t>
      </w:r>
      <w:proofErr w:type="spellStart"/>
      <w:r>
        <w:rPr>
          <w:lang w:val="hr-HR"/>
        </w:rPr>
        <w:t>Vlasenici</w:t>
      </w:r>
      <w:proofErr w:type="spellEnd"/>
      <w:r>
        <w:rPr>
          <w:lang w:val="hr-HR"/>
        </w:rPr>
        <w:t xml:space="preserve"> riješio je od toga 643 predmeta, što je opet dobar pokazatelj u smislu rješavanja predmeta.</w:t>
      </w:r>
    </w:p>
    <w:p w:rsidR="004D2519" w:rsidRDefault="004D2519" w:rsidP="004D2519">
      <w:pPr>
        <w:ind w:left="0"/>
        <w:jc w:val="both"/>
        <w:rPr>
          <w:lang w:val="hr-HR"/>
        </w:rPr>
      </w:pPr>
      <w:r>
        <w:rPr>
          <w:lang w:val="hr-HR"/>
        </w:rPr>
        <w:t xml:space="preserve">Došlo je do povećanja broja neriješenih predmeta na kraju 2021. godine i taj broj iznosi 1008 a to je </w:t>
      </w:r>
      <w:proofErr w:type="spellStart"/>
      <w:r>
        <w:rPr>
          <w:lang w:val="hr-HR"/>
        </w:rPr>
        <w:t>rezulitiralo</w:t>
      </w:r>
      <w:proofErr w:type="spellEnd"/>
      <w:r>
        <w:rPr>
          <w:lang w:val="hr-HR"/>
        </w:rPr>
        <w:t xml:space="preserve"> samim povećanjem priliva komunalnih izvršnih predmeta.</w:t>
      </w:r>
    </w:p>
    <w:p w:rsidR="004D2519" w:rsidRDefault="004D2519" w:rsidP="004D2519">
      <w:pPr>
        <w:ind w:left="0"/>
        <w:jc w:val="both"/>
        <w:rPr>
          <w:lang w:val="hr-HR"/>
        </w:rPr>
      </w:pPr>
      <w:r>
        <w:rPr>
          <w:lang w:val="hr-HR"/>
        </w:rPr>
        <w:t>Drugi strateški cilj se odnosio na povećanje kvaliteta potvrđenih odluka u odnosu na broj ukinutih odluka i tu je došlo do pada procenta kvaliteta odluka. Na kraju 2020. godine taj procent je iznio 84,51 % a na kraju 2021. godine taj procent je iznosio 79,73 %.</w:t>
      </w: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C1626C" w:rsidRDefault="00C1626C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C1626C" w:rsidRDefault="00C1626C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tbl>
      <w:tblPr>
        <w:tblStyle w:val="TableGrid0"/>
        <w:tblW w:w="9345" w:type="dxa"/>
        <w:tblInd w:w="5" w:type="dxa"/>
        <w:tblCellMar>
          <w:top w:w="1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110"/>
        <w:gridCol w:w="3455"/>
        <w:gridCol w:w="1862"/>
        <w:gridCol w:w="1918"/>
      </w:tblGrid>
      <w:tr w:rsidR="004D2519" w:rsidRPr="006A0618" w:rsidTr="006E3FB1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Strateski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1 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Unaprijedjenje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efikasnosti i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efektivnosti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55"/>
        </w:trPr>
        <w:tc>
          <w:tcPr>
            <w:tcW w:w="212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Trogodisnji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Smanjenje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broja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nerjesenih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predmeta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na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izvrsnom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referatu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02"/>
        </w:trPr>
        <w:tc>
          <w:tcPr>
            <w:tcW w:w="212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Pokazatelji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izlazne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Ocekivani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po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godinama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4D2519" w:rsidRPr="006A0618" w:rsidRDefault="004D2519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2021(n)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2022(n+1)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2023(n+2) </w:t>
            </w:r>
          </w:p>
        </w:tc>
      </w:tr>
      <w:tr w:rsidR="004D2519" w:rsidRPr="006A0618" w:rsidTr="006E3FB1">
        <w:trPr>
          <w:trHeight w:val="9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lastRenderedPageBreak/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nerjesenih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predmeta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720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300 </w:t>
            </w:r>
          </w:p>
        </w:tc>
      </w:tr>
      <w:tr w:rsidR="004D2519" w:rsidRPr="006A0618" w:rsidTr="006E3FB1">
        <w:trPr>
          <w:trHeight w:val="12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Redni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Naziv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aktivnosti</w:t>
            </w:r>
            <w:proofErr w:type="spellEnd"/>
            <w:r w:rsidRPr="006A0618">
              <w:rPr>
                <w:sz w:val="24"/>
                <w:szCs w:val="24"/>
              </w:rPr>
              <w:t xml:space="preserve"> za 2021. </w:t>
            </w:r>
          </w:p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godinu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Rok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izvrsenja</w:t>
            </w:r>
            <w:proofErr w:type="spellEnd"/>
            <w:r w:rsidRPr="006A0618">
              <w:rPr>
                <w:sz w:val="24"/>
                <w:szCs w:val="24"/>
              </w:rPr>
              <w:t>(</w:t>
            </w:r>
            <w:proofErr w:type="spellStart"/>
            <w:r w:rsidRPr="006A0618">
              <w:rPr>
                <w:sz w:val="24"/>
                <w:szCs w:val="24"/>
              </w:rPr>
              <w:t>po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kvartalima</w:t>
            </w:r>
            <w:proofErr w:type="spellEnd"/>
            <w:r w:rsidRPr="006A0618">
              <w:rPr>
                <w:sz w:val="24"/>
                <w:szCs w:val="24"/>
              </w:rPr>
              <w:t xml:space="preserve"> u 2021.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Nosilac</w:t>
            </w:r>
            <w:proofErr w:type="spellEnd"/>
            <w:r w:rsidRPr="006A0618">
              <w:rPr>
                <w:sz w:val="24"/>
                <w:szCs w:val="24"/>
              </w:rPr>
              <w:t xml:space="preserve"> (</w:t>
            </w:r>
            <w:proofErr w:type="spellStart"/>
            <w:r w:rsidRPr="006A0618">
              <w:rPr>
                <w:sz w:val="24"/>
                <w:szCs w:val="24"/>
              </w:rPr>
              <w:t>najmanji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organizacioni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dio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</w:tr>
      <w:tr w:rsidR="004D2519" w:rsidRPr="006A0618" w:rsidTr="006E3FB1">
        <w:trPr>
          <w:trHeight w:val="6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Ravnomjerna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raspodjela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predmeta</w:t>
            </w:r>
            <w:proofErr w:type="spellEnd"/>
            <w:r w:rsidRPr="006A06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Kordinacija</w:t>
            </w:r>
            <w:proofErr w:type="spellEnd"/>
            <w:r w:rsidRPr="006A0618">
              <w:rPr>
                <w:sz w:val="24"/>
                <w:szCs w:val="24"/>
              </w:rPr>
              <w:t xml:space="preserve"> rada </w:t>
            </w:r>
            <w:proofErr w:type="spellStart"/>
            <w:r w:rsidRPr="006A0618">
              <w:rPr>
                <w:sz w:val="24"/>
                <w:szCs w:val="24"/>
              </w:rPr>
              <w:t>sudskih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izvrsilaca</w:t>
            </w:r>
            <w:proofErr w:type="spellEnd"/>
            <w:r w:rsidRPr="006A06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I,II,III,IV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Evidencija</w:t>
            </w:r>
            <w:proofErr w:type="spellEnd"/>
            <w:r>
              <w:rPr>
                <w:sz w:val="24"/>
                <w:szCs w:val="24"/>
              </w:rPr>
              <w:t xml:space="preserve"> rada </w:t>
            </w:r>
            <w:proofErr w:type="spellStart"/>
            <w:r>
              <w:rPr>
                <w:sz w:val="24"/>
                <w:szCs w:val="24"/>
              </w:rPr>
              <w:t>sudskih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izvršilaca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I,II,III.IV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suda,sudije.sudski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izvršitelj</w:t>
            </w:r>
            <w:proofErr w:type="spellEnd"/>
          </w:p>
        </w:tc>
      </w:tr>
      <w:tr w:rsidR="004D2519" w:rsidRPr="006A0618" w:rsidTr="006E3FB1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stručnih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kolegija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I,II,III,IV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suda,sudije</w:t>
            </w:r>
            <w:proofErr w:type="spellEnd"/>
          </w:p>
        </w:tc>
      </w:tr>
    </w:tbl>
    <w:p w:rsidR="004D2519" w:rsidRDefault="004D2519" w:rsidP="004D2519">
      <w:pPr>
        <w:spacing w:line="259" w:lineRule="auto"/>
        <w:ind w:left="0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p w:rsidR="004D2519" w:rsidRDefault="004D2519" w:rsidP="004D2519">
      <w:pPr>
        <w:spacing w:line="259" w:lineRule="auto"/>
        <w:ind w:left="0"/>
        <w:rPr>
          <w:sz w:val="24"/>
          <w:szCs w:val="24"/>
        </w:rPr>
      </w:pPr>
    </w:p>
    <w:p w:rsidR="004D2519" w:rsidRPr="006A0618" w:rsidRDefault="004D2519" w:rsidP="004D2519">
      <w:pPr>
        <w:spacing w:line="259" w:lineRule="auto"/>
        <w:ind w:left="0"/>
        <w:rPr>
          <w:sz w:val="24"/>
          <w:szCs w:val="24"/>
        </w:rPr>
      </w:pPr>
    </w:p>
    <w:tbl>
      <w:tblPr>
        <w:tblStyle w:val="TableGrid0"/>
        <w:tblW w:w="9345" w:type="dxa"/>
        <w:tblInd w:w="5" w:type="dxa"/>
        <w:tblCellMar>
          <w:top w:w="1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6"/>
        <w:gridCol w:w="2115"/>
        <w:gridCol w:w="6"/>
        <w:gridCol w:w="3474"/>
        <w:gridCol w:w="6"/>
        <w:gridCol w:w="1862"/>
        <w:gridCol w:w="6"/>
        <w:gridCol w:w="1864"/>
        <w:gridCol w:w="6"/>
      </w:tblGrid>
      <w:tr w:rsidR="004D2519" w:rsidRPr="006A0618" w:rsidTr="006E3FB1">
        <w:trPr>
          <w:gridAfter w:val="1"/>
          <w:wAfter w:w="6" w:type="dxa"/>
          <w:trHeight w:val="601"/>
        </w:trPr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Strateski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2 </w:t>
            </w:r>
          </w:p>
        </w:tc>
        <w:tc>
          <w:tcPr>
            <w:tcW w:w="722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Unaprijedjenje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kvaliteta rada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suda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gridAfter w:val="1"/>
          <w:wAfter w:w="6" w:type="dxa"/>
          <w:trHeight w:val="655"/>
        </w:trPr>
        <w:tc>
          <w:tcPr>
            <w:tcW w:w="21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Trogodisnji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2.1. </w:t>
            </w:r>
          </w:p>
        </w:tc>
        <w:tc>
          <w:tcPr>
            <w:tcW w:w="722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Povecanje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procenata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potvrdjenih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odluka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odnosu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na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broj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ukinutih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gridAfter w:val="1"/>
          <w:wAfter w:w="6" w:type="dxa"/>
          <w:trHeight w:val="602"/>
        </w:trPr>
        <w:tc>
          <w:tcPr>
            <w:tcW w:w="212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Pokazatelji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izlazne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722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Ocekivani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po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godinama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gridAfter w:val="1"/>
          <w:wAfter w:w="6" w:type="dxa"/>
          <w:trHeight w:val="6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4D2519" w:rsidRPr="006A0618" w:rsidRDefault="004D2519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2021(n)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2022(n+1)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2023(n+2) </w:t>
            </w:r>
          </w:p>
        </w:tc>
      </w:tr>
      <w:tr w:rsidR="004D2519" w:rsidRPr="006A0618" w:rsidTr="006E3FB1">
        <w:trPr>
          <w:gridAfter w:val="1"/>
          <w:wAfter w:w="6" w:type="dxa"/>
          <w:trHeight w:val="13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Procenat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potvrdjenih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odluka</w:t>
            </w:r>
            <w:proofErr w:type="spellEnd"/>
            <w:r w:rsidRPr="006A0618">
              <w:rPr>
                <w:sz w:val="24"/>
                <w:szCs w:val="24"/>
              </w:rPr>
              <w:t xml:space="preserve"> u </w:t>
            </w:r>
            <w:proofErr w:type="spellStart"/>
            <w:r w:rsidRPr="006A0618">
              <w:rPr>
                <w:sz w:val="24"/>
                <w:szCs w:val="24"/>
              </w:rPr>
              <w:t>odnosu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ukinutih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84,51%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86%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90% </w:t>
            </w:r>
          </w:p>
        </w:tc>
      </w:tr>
      <w:tr w:rsidR="004D2519" w:rsidRPr="006A0618" w:rsidTr="006E3FB1">
        <w:trPr>
          <w:gridBefore w:val="1"/>
          <w:wBefore w:w="6" w:type="dxa"/>
          <w:trHeight w:val="129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Redni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Naziv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aktivnosti</w:t>
            </w:r>
            <w:proofErr w:type="spellEnd"/>
            <w:r w:rsidRPr="006A0618">
              <w:rPr>
                <w:sz w:val="24"/>
                <w:szCs w:val="24"/>
              </w:rPr>
              <w:t xml:space="preserve"> za 2021. </w:t>
            </w:r>
          </w:p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godinu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Rok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izvrsenja</w:t>
            </w:r>
            <w:proofErr w:type="spellEnd"/>
            <w:r w:rsidRPr="006A0618">
              <w:rPr>
                <w:sz w:val="24"/>
                <w:szCs w:val="24"/>
              </w:rPr>
              <w:t>(</w:t>
            </w:r>
            <w:proofErr w:type="spellStart"/>
            <w:r w:rsidRPr="006A0618">
              <w:rPr>
                <w:sz w:val="24"/>
                <w:szCs w:val="24"/>
              </w:rPr>
              <w:t>po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kvartalima</w:t>
            </w:r>
            <w:proofErr w:type="spellEnd"/>
            <w:r w:rsidRPr="006A0618">
              <w:rPr>
                <w:sz w:val="24"/>
                <w:szCs w:val="24"/>
              </w:rPr>
              <w:t xml:space="preserve"> u 2021.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Nosilac</w:t>
            </w:r>
            <w:proofErr w:type="spellEnd"/>
            <w:r w:rsidRPr="006A0618">
              <w:rPr>
                <w:sz w:val="24"/>
                <w:szCs w:val="24"/>
              </w:rPr>
              <w:t xml:space="preserve"> (</w:t>
            </w:r>
            <w:proofErr w:type="spellStart"/>
            <w:r w:rsidRPr="006A0618">
              <w:rPr>
                <w:sz w:val="24"/>
                <w:szCs w:val="24"/>
              </w:rPr>
              <w:t>najmanji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organizacioni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dio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</w:tr>
      <w:tr w:rsidR="004D2519" w:rsidRPr="006A0618" w:rsidTr="006E3FB1">
        <w:trPr>
          <w:gridBefore w:val="1"/>
          <w:wBefore w:w="6" w:type="dxa"/>
          <w:trHeight w:val="65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Adekvatna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raspodjela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predmeta</w:t>
            </w:r>
            <w:proofErr w:type="spellEnd"/>
            <w:r w:rsidRPr="006A06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gridBefore w:val="1"/>
          <w:wBefore w:w="6" w:type="dxa"/>
          <w:trHeight w:val="65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Odrzavanje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strucnih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kolegija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I,II,III,IV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i </w:t>
            </w:r>
            <w:proofErr w:type="spellStart"/>
            <w:r w:rsidRPr="006A0618">
              <w:rPr>
                <w:sz w:val="24"/>
                <w:szCs w:val="24"/>
              </w:rPr>
              <w:t>sudije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gridBefore w:val="1"/>
          <w:wBefore w:w="6" w:type="dxa"/>
          <w:trHeight w:val="65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Edukacija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saradnji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CEST RS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I,II,III,IV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suda,sudije</w:t>
            </w:r>
            <w:proofErr w:type="spellEnd"/>
          </w:p>
        </w:tc>
      </w:tr>
      <w:tr w:rsidR="004D2519" w:rsidRPr="006A0618" w:rsidTr="006E3FB1">
        <w:trPr>
          <w:gridBefore w:val="1"/>
          <w:wBefore w:w="6" w:type="dxa"/>
          <w:trHeight w:val="65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Default="004D2519" w:rsidP="006E3FB1">
            <w:pPr>
              <w:spacing w:line="259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Prikupljanje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Default="004D2519" w:rsidP="006E3FB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I,II,III,IV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Predsjednik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suda,sudije</w:t>
            </w:r>
            <w:proofErr w:type="spellEnd"/>
          </w:p>
        </w:tc>
      </w:tr>
    </w:tbl>
    <w:p w:rsidR="004D2519" w:rsidRPr="006A0618" w:rsidRDefault="004D2519" w:rsidP="004D2519">
      <w:pPr>
        <w:spacing w:line="259" w:lineRule="auto"/>
        <w:ind w:left="0"/>
        <w:jc w:val="both"/>
        <w:rPr>
          <w:sz w:val="24"/>
          <w:szCs w:val="24"/>
        </w:rPr>
      </w:pPr>
      <w:r w:rsidRPr="006A0618">
        <w:rPr>
          <w:sz w:val="24"/>
          <w:szCs w:val="24"/>
        </w:rPr>
        <w:t xml:space="preserve"> </w:t>
      </w:r>
    </w:p>
    <w:tbl>
      <w:tblPr>
        <w:tblStyle w:val="TableGrid0"/>
        <w:tblW w:w="9345" w:type="dxa"/>
        <w:tblInd w:w="5" w:type="dxa"/>
        <w:tblCellMar>
          <w:top w:w="1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122"/>
        <w:gridCol w:w="3483"/>
        <w:gridCol w:w="1869"/>
        <w:gridCol w:w="1871"/>
      </w:tblGrid>
      <w:tr w:rsidR="004D2519" w:rsidRPr="006A0618" w:rsidTr="006E3FB1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Strateski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3 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Transparentnost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rada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suda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i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komunikacija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javnoscu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56"/>
        </w:trPr>
        <w:tc>
          <w:tcPr>
            <w:tcW w:w="21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Trogodisnji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cilj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3.1. </w:t>
            </w: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Povecanje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broja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objava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na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web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stranici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suda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01"/>
        </w:trPr>
        <w:tc>
          <w:tcPr>
            <w:tcW w:w="212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Pokazatelji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za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izlazne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rezultate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72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color w:val="FFFFFF"/>
                <w:sz w:val="24"/>
                <w:szCs w:val="24"/>
              </w:rPr>
              <w:t>Ocekivani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rezultati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po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color w:val="FFFFFF"/>
                <w:sz w:val="24"/>
                <w:szCs w:val="24"/>
              </w:rPr>
              <w:t>godinama</w:t>
            </w:r>
            <w:proofErr w:type="spellEnd"/>
            <w:r w:rsidRPr="006A0618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D2519" w:rsidRPr="006A0618" w:rsidTr="006E3FB1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4D2519" w:rsidRPr="006A0618" w:rsidRDefault="004D2519" w:rsidP="006E3FB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2021(n)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2022(n+1)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2023(n+2) </w:t>
            </w:r>
          </w:p>
        </w:tc>
      </w:tr>
      <w:tr w:rsidR="004D2519" w:rsidRPr="006A0618" w:rsidTr="006E3FB1">
        <w:trPr>
          <w:trHeight w:val="9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 w:right="19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objava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na</w:t>
            </w:r>
            <w:proofErr w:type="spellEnd"/>
            <w:r w:rsidRPr="006A0618">
              <w:rPr>
                <w:sz w:val="24"/>
                <w:szCs w:val="24"/>
              </w:rPr>
              <w:t xml:space="preserve"> web </w:t>
            </w:r>
            <w:proofErr w:type="spellStart"/>
            <w:r w:rsidRPr="006A0618">
              <w:rPr>
                <w:sz w:val="24"/>
                <w:szCs w:val="24"/>
              </w:rPr>
              <w:t>stranici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15 </w:t>
            </w:r>
          </w:p>
        </w:tc>
      </w:tr>
      <w:tr w:rsidR="004D2519" w:rsidRPr="006A0618" w:rsidTr="006E3FB1">
        <w:trPr>
          <w:trHeight w:val="12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Redni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broj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Naziv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aktivnosti</w:t>
            </w:r>
            <w:proofErr w:type="spellEnd"/>
            <w:r w:rsidRPr="006A0618">
              <w:rPr>
                <w:sz w:val="24"/>
                <w:szCs w:val="24"/>
              </w:rPr>
              <w:t xml:space="preserve"> za 2021. </w:t>
            </w:r>
          </w:p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godinu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Rok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izvrsenja</w:t>
            </w:r>
            <w:proofErr w:type="spellEnd"/>
            <w:r w:rsidRPr="006A0618">
              <w:rPr>
                <w:sz w:val="24"/>
                <w:szCs w:val="24"/>
              </w:rPr>
              <w:t>(</w:t>
            </w:r>
            <w:proofErr w:type="spellStart"/>
            <w:r w:rsidRPr="006A0618">
              <w:rPr>
                <w:sz w:val="24"/>
                <w:szCs w:val="24"/>
              </w:rPr>
              <w:t>po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kvartalima</w:t>
            </w:r>
            <w:proofErr w:type="spellEnd"/>
            <w:r w:rsidRPr="006A0618">
              <w:rPr>
                <w:sz w:val="24"/>
                <w:szCs w:val="24"/>
              </w:rPr>
              <w:t xml:space="preserve"> u 2021. </w:t>
            </w:r>
            <w:proofErr w:type="spellStart"/>
            <w:r w:rsidRPr="006A0618">
              <w:rPr>
                <w:sz w:val="24"/>
                <w:szCs w:val="24"/>
              </w:rPr>
              <w:t>godine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Nosilac</w:t>
            </w:r>
            <w:proofErr w:type="spellEnd"/>
            <w:r w:rsidRPr="006A0618">
              <w:rPr>
                <w:sz w:val="24"/>
                <w:szCs w:val="24"/>
              </w:rPr>
              <w:t xml:space="preserve"> (</w:t>
            </w:r>
            <w:proofErr w:type="spellStart"/>
            <w:r w:rsidRPr="006A0618">
              <w:rPr>
                <w:sz w:val="24"/>
                <w:szCs w:val="24"/>
              </w:rPr>
              <w:t>najmanji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organizacioni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dio</w:t>
            </w:r>
            <w:proofErr w:type="spellEnd"/>
            <w:r w:rsidRPr="006A0618">
              <w:rPr>
                <w:sz w:val="24"/>
                <w:szCs w:val="24"/>
              </w:rPr>
              <w:t xml:space="preserve">) </w:t>
            </w:r>
          </w:p>
        </w:tc>
      </w:tr>
      <w:tr w:rsidR="004D2519" w:rsidRPr="006A0618" w:rsidTr="006E3FB1">
        <w:trPr>
          <w:trHeight w:val="97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Objavljivanje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informacija</w:t>
            </w:r>
            <w:proofErr w:type="spellEnd"/>
            <w:r w:rsidRPr="006A0618">
              <w:rPr>
                <w:sz w:val="24"/>
                <w:szCs w:val="24"/>
              </w:rPr>
              <w:t xml:space="preserve"> o </w:t>
            </w:r>
            <w:proofErr w:type="spellStart"/>
            <w:r w:rsidRPr="006A0618">
              <w:rPr>
                <w:sz w:val="24"/>
                <w:szCs w:val="24"/>
              </w:rPr>
              <w:t>javnim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nabavkama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I,II,III,IV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i IKT referent </w:t>
            </w:r>
          </w:p>
        </w:tc>
      </w:tr>
      <w:tr w:rsidR="004D2519" w:rsidRPr="006A0618" w:rsidTr="006E3FB1">
        <w:trPr>
          <w:trHeight w:val="9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Objavljivanje</w:t>
            </w:r>
            <w:proofErr w:type="spellEnd"/>
            <w:r w:rsidRPr="006A0618">
              <w:rPr>
                <w:sz w:val="24"/>
                <w:szCs w:val="24"/>
              </w:rPr>
              <w:t xml:space="preserve"> o </w:t>
            </w:r>
            <w:proofErr w:type="spellStart"/>
            <w:r w:rsidRPr="006A0618">
              <w:rPr>
                <w:sz w:val="24"/>
                <w:szCs w:val="24"/>
              </w:rPr>
              <w:t>izvjestaju</w:t>
            </w:r>
            <w:proofErr w:type="spellEnd"/>
            <w:r w:rsidRPr="006A0618">
              <w:rPr>
                <w:sz w:val="24"/>
                <w:szCs w:val="24"/>
              </w:rPr>
              <w:t xml:space="preserve"> rada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I,II,III,IV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i IKT referent </w:t>
            </w:r>
          </w:p>
        </w:tc>
      </w:tr>
      <w:tr w:rsidR="004D2519" w:rsidRPr="006A0618" w:rsidTr="006E3FB1">
        <w:trPr>
          <w:trHeight w:val="9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left="1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Objavljivanje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presuda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6A0618">
              <w:rPr>
                <w:sz w:val="24"/>
                <w:szCs w:val="24"/>
              </w:rPr>
              <w:t xml:space="preserve">I,II,III,IV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19" w:rsidRPr="006A0618" w:rsidRDefault="004D2519" w:rsidP="006E3FB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6A0618">
              <w:rPr>
                <w:sz w:val="24"/>
                <w:szCs w:val="24"/>
              </w:rPr>
              <w:t>Predsjednik</w:t>
            </w:r>
            <w:proofErr w:type="spellEnd"/>
            <w:r w:rsidRPr="006A0618">
              <w:rPr>
                <w:sz w:val="24"/>
                <w:szCs w:val="24"/>
              </w:rPr>
              <w:t xml:space="preserve"> </w:t>
            </w:r>
            <w:proofErr w:type="spellStart"/>
            <w:r w:rsidRPr="006A0618">
              <w:rPr>
                <w:sz w:val="24"/>
                <w:szCs w:val="24"/>
              </w:rPr>
              <w:t>suda</w:t>
            </w:r>
            <w:proofErr w:type="spellEnd"/>
            <w:r w:rsidRPr="006A0618">
              <w:rPr>
                <w:sz w:val="24"/>
                <w:szCs w:val="24"/>
              </w:rPr>
              <w:t xml:space="preserve"> i IKT referent </w:t>
            </w:r>
          </w:p>
        </w:tc>
      </w:tr>
    </w:tbl>
    <w:p w:rsidR="0096085E" w:rsidRDefault="0096085E">
      <w:pPr>
        <w:rPr>
          <w:rFonts w:asciiTheme="majorHAnsi" w:eastAsia="Calibri" w:hAnsiTheme="majorHAnsi" w:cstheme="majorBidi"/>
          <w:b/>
          <w:color w:val="2E74B5" w:themeColor="accent1" w:themeShade="BF"/>
          <w:w w:val="95"/>
          <w:sz w:val="26"/>
          <w:szCs w:val="26"/>
          <w:lang w:val="hr-HR"/>
        </w:rPr>
      </w:pPr>
    </w:p>
    <w:p w:rsidR="00C1626C" w:rsidRDefault="00C1626C" w:rsidP="00C1626C">
      <w:pPr>
        <w:pStyle w:val="Heading2"/>
        <w:rPr>
          <w:rFonts w:eastAsia="Calibri"/>
          <w:b/>
          <w:w w:val="95"/>
          <w:lang w:val="hr-HR"/>
        </w:rPr>
      </w:pPr>
      <w:bookmarkStart w:id="17" w:name="_Toc96940602"/>
      <w:r>
        <w:rPr>
          <w:rFonts w:eastAsia="Calibri"/>
          <w:b/>
          <w:w w:val="95"/>
          <w:lang w:val="hr-HR"/>
        </w:rPr>
        <w:t>b.2</w:t>
      </w:r>
      <w:r w:rsidRPr="001942A4">
        <w:rPr>
          <w:rFonts w:eastAsia="Calibri"/>
          <w:b/>
          <w:w w:val="95"/>
          <w:lang w:val="hr-HR"/>
        </w:rPr>
        <w:t xml:space="preserve"> . </w:t>
      </w:r>
      <w:r>
        <w:rPr>
          <w:rFonts w:eastAsia="Calibri"/>
          <w:b/>
          <w:w w:val="95"/>
          <w:lang w:val="hr-HR"/>
        </w:rPr>
        <w:t>Obrazloženje aktivnosti</w:t>
      </w:r>
      <w:r w:rsidR="00D178E8">
        <w:rPr>
          <w:rFonts w:eastAsia="Calibri"/>
          <w:b/>
          <w:w w:val="95"/>
          <w:lang w:val="hr-HR"/>
        </w:rPr>
        <w:t xml:space="preserve"> (</w:t>
      </w:r>
      <w:r>
        <w:rPr>
          <w:rFonts w:eastAsia="Calibri"/>
          <w:b/>
          <w:w w:val="95"/>
          <w:lang w:val="hr-HR"/>
        </w:rPr>
        <w:t xml:space="preserve"> načina i stepena realizacije aktivnosti</w:t>
      </w:r>
      <w:r w:rsidR="00D178E8">
        <w:rPr>
          <w:rFonts w:eastAsia="Calibri"/>
          <w:b/>
          <w:w w:val="95"/>
          <w:lang w:val="hr-HR"/>
        </w:rPr>
        <w:t>)</w:t>
      </w:r>
      <w:bookmarkEnd w:id="17"/>
    </w:p>
    <w:p w:rsidR="00C1626C" w:rsidRDefault="00C1626C" w:rsidP="00C1626C">
      <w:pPr>
        <w:rPr>
          <w:lang w:val="hr-HR"/>
        </w:rPr>
      </w:pPr>
    </w:p>
    <w:p w:rsidR="001E3F2A" w:rsidRDefault="001E3F2A" w:rsidP="00C1626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Procent realizacije svih aktivnosti i navedenih trogodišnjih ciljeva će se povećati prilikom izbora nosilaca pravosudnih funkcija (</w:t>
      </w:r>
      <w:proofErr w:type="spellStart"/>
      <w:r>
        <w:rPr>
          <w:rFonts w:ascii="Arial" w:hAnsi="Arial" w:cs="Arial"/>
          <w:lang w:val="hr-HR"/>
        </w:rPr>
        <w:t>sudija</w:t>
      </w:r>
      <w:proofErr w:type="spellEnd"/>
      <w:r>
        <w:rPr>
          <w:rFonts w:ascii="Arial" w:hAnsi="Arial" w:cs="Arial"/>
          <w:lang w:val="hr-HR"/>
        </w:rPr>
        <w:t>) koje očekujemo tokom 2022. godine.</w:t>
      </w:r>
    </w:p>
    <w:p w:rsidR="001E3F2A" w:rsidRDefault="001E3F2A" w:rsidP="00C1626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Navedene aktivnosti nisu </w:t>
      </w:r>
      <w:proofErr w:type="spellStart"/>
      <w:r>
        <w:rPr>
          <w:rFonts w:ascii="Arial" w:hAnsi="Arial" w:cs="Arial"/>
          <w:lang w:val="hr-HR"/>
        </w:rPr>
        <w:t>realizovane</w:t>
      </w:r>
      <w:proofErr w:type="spellEnd"/>
      <w:r>
        <w:rPr>
          <w:rFonts w:ascii="Arial" w:hAnsi="Arial" w:cs="Arial"/>
          <w:lang w:val="hr-HR"/>
        </w:rPr>
        <w:t xml:space="preserve"> upravo zbog nedostatka </w:t>
      </w:r>
      <w:proofErr w:type="spellStart"/>
      <w:r>
        <w:rPr>
          <w:rFonts w:ascii="Arial" w:hAnsi="Arial" w:cs="Arial"/>
          <w:lang w:val="hr-HR"/>
        </w:rPr>
        <w:t>sudija</w:t>
      </w:r>
      <w:proofErr w:type="spellEnd"/>
      <w:r>
        <w:rPr>
          <w:rFonts w:ascii="Arial" w:hAnsi="Arial" w:cs="Arial"/>
          <w:lang w:val="hr-HR"/>
        </w:rPr>
        <w:t>.</w:t>
      </w:r>
    </w:p>
    <w:p w:rsidR="001E3F2A" w:rsidRDefault="001E3F2A" w:rsidP="00C1626C">
      <w:pPr>
        <w:jc w:val="both"/>
        <w:rPr>
          <w:rFonts w:ascii="Arial" w:hAnsi="Arial" w:cs="Arial"/>
          <w:lang w:val="hr-HR"/>
        </w:rPr>
      </w:pPr>
    </w:p>
    <w:p w:rsidR="001E3F2A" w:rsidRDefault="001E3F2A" w:rsidP="00C1626C">
      <w:pPr>
        <w:jc w:val="both"/>
        <w:rPr>
          <w:rFonts w:ascii="Arial" w:hAnsi="Arial" w:cs="Arial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p w:rsidR="005C3227" w:rsidRPr="00850FF6" w:rsidRDefault="005C3227" w:rsidP="005C3227">
      <w:pPr>
        <w:spacing w:line="276" w:lineRule="auto"/>
        <w:ind w:left="0"/>
        <w:jc w:val="both"/>
        <w:rPr>
          <w:rFonts w:ascii="Arial" w:eastAsia="Calibri" w:hAnsi="Arial" w:cs="Arial"/>
          <w:w w:val="95"/>
          <w:lang w:val="hr-HR"/>
        </w:rPr>
      </w:pPr>
    </w:p>
    <w:sectPr w:rsidR="005C3227" w:rsidRPr="00850FF6" w:rsidSect="00850FF6">
      <w:footerReference w:type="default" r:id="rId8"/>
      <w:pgSz w:w="11906" w:h="16838" w:code="9"/>
      <w:pgMar w:top="1417" w:right="1417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12" w:rsidRDefault="00372D12" w:rsidP="0096085E">
      <w:r>
        <w:separator/>
      </w:r>
    </w:p>
  </w:endnote>
  <w:endnote w:type="continuationSeparator" w:id="0">
    <w:p w:rsidR="00372D12" w:rsidRDefault="00372D12" w:rsidP="0096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50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C62" w:rsidRDefault="00065C62" w:rsidP="00065C62">
        <w:pPr>
          <w:pStyle w:val="Footer"/>
          <w:jc w:val="right"/>
          <w:rPr>
            <w:sz w:val="24"/>
            <w:szCs w:val="24"/>
          </w:rPr>
        </w:pPr>
      </w:p>
      <w:tbl>
        <w:tblPr>
          <w:tblStyle w:val="TableGrid"/>
          <w:tblW w:w="0" w:type="auto"/>
          <w:tblBorders>
            <w:top w:val="single" w:sz="12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7"/>
          <w:gridCol w:w="845"/>
        </w:tblGrid>
        <w:tr w:rsidR="00065C62" w:rsidTr="00065C62">
          <w:tc>
            <w:tcPr>
              <w:tcW w:w="8217" w:type="dxa"/>
              <w:tcBorders>
                <w:top w:val="single" w:sz="12" w:space="0" w:color="0070C0"/>
                <w:left w:val="nil"/>
                <w:bottom w:val="nil"/>
                <w:right w:val="nil"/>
              </w:tcBorders>
            </w:tcPr>
            <w:p w:rsidR="00065C62" w:rsidRDefault="00065C62" w:rsidP="00065C62">
              <w:pPr>
                <w:pStyle w:val="Footer"/>
              </w:pPr>
            </w:p>
          </w:tc>
          <w:tc>
            <w:tcPr>
              <w:tcW w:w="845" w:type="dxa"/>
              <w:tcBorders>
                <w:top w:val="single" w:sz="12" w:space="0" w:color="0070C0"/>
                <w:left w:val="nil"/>
                <w:bottom w:val="nil"/>
                <w:right w:val="nil"/>
              </w:tcBorders>
              <w:shd w:val="clear" w:color="auto" w:fill="C00000"/>
              <w:vAlign w:val="center"/>
              <w:hideMark/>
            </w:tcPr>
            <w:p w:rsidR="00065C62" w:rsidRDefault="00065C62" w:rsidP="00065C62">
              <w:pPr>
                <w:pStyle w:val="Footer"/>
                <w:jc w:val="center"/>
                <w:rPr>
                  <w:rFonts w:ascii="Arial" w:hAnsi="Arial" w:cs="Arial"/>
                  <w:b/>
                  <w:bCs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bCs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</w:rPr>
                <w:instrText>PAGE   \* MERGEFORMAT</w:instrText>
              </w:r>
              <w:r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301026" w:rsidRPr="00301026">
                <w:rPr>
                  <w:rFonts w:ascii="Arial" w:hAnsi="Arial" w:cs="Arial"/>
                  <w:b/>
                  <w:bCs/>
                  <w:noProof/>
                  <w:lang w:val="hr-HR"/>
                </w:rPr>
                <w:t>2</w:t>
              </w:r>
              <w:r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tc>
        </w:tr>
      </w:tbl>
      <w:p w:rsidR="0096085E" w:rsidRDefault="00372D12">
        <w:pPr>
          <w:pStyle w:val="Footer"/>
          <w:jc w:val="right"/>
        </w:pPr>
      </w:p>
    </w:sdtContent>
  </w:sdt>
  <w:p w:rsidR="0096085E" w:rsidRDefault="0096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12" w:rsidRDefault="00372D12" w:rsidP="0096085E">
      <w:r>
        <w:separator/>
      </w:r>
    </w:p>
  </w:footnote>
  <w:footnote w:type="continuationSeparator" w:id="0">
    <w:p w:rsidR="00372D12" w:rsidRDefault="00372D12" w:rsidP="0096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AF"/>
    <w:multiLevelType w:val="hybridMultilevel"/>
    <w:tmpl w:val="D3FACA2A"/>
    <w:lvl w:ilvl="0" w:tplc="B3881A14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A410B3"/>
    <w:multiLevelType w:val="hybridMultilevel"/>
    <w:tmpl w:val="BE6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62E"/>
    <w:multiLevelType w:val="hybridMultilevel"/>
    <w:tmpl w:val="2196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F4710"/>
    <w:multiLevelType w:val="hybridMultilevel"/>
    <w:tmpl w:val="1C2E7CF6"/>
    <w:lvl w:ilvl="0" w:tplc="730CF804">
      <w:numFmt w:val="bullet"/>
      <w:lvlText w:val="-"/>
      <w:lvlJc w:val="left"/>
      <w:pPr>
        <w:ind w:left="1080" w:hanging="72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7"/>
    <w:rsid w:val="00065C62"/>
    <w:rsid w:val="000A71FB"/>
    <w:rsid w:val="001131FE"/>
    <w:rsid w:val="001942A4"/>
    <w:rsid w:val="001D40F1"/>
    <w:rsid w:val="001E3F2A"/>
    <w:rsid w:val="00301026"/>
    <w:rsid w:val="00353543"/>
    <w:rsid w:val="00372D12"/>
    <w:rsid w:val="00387306"/>
    <w:rsid w:val="00397C34"/>
    <w:rsid w:val="003F0278"/>
    <w:rsid w:val="00435BF7"/>
    <w:rsid w:val="0044429B"/>
    <w:rsid w:val="004D2519"/>
    <w:rsid w:val="004F31A4"/>
    <w:rsid w:val="005C3227"/>
    <w:rsid w:val="00647365"/>
    <w:rsid w:val="00712A06"/>
    <w:rsid w:val="007312E0"/>
    <w:rsid w:val="008E0BB1"/>
    <w:rsid w:val="008F6CE4"/>
    <w:rsid w:val="00956B11"/>
    <w:rsid w:val="0096085E"/>
    <w:rsid w:val="009E0383"/>
    <w:rsid w:val="00A16F70"/>
    <w:rsid w:val="00BC0B9E"/>
    <w:rsid w:val="00C1626C"/>
    <w:rsid w:val="00C811F9"/>
    <w:rsid w:val="00CC4D1B"/>
    <w:rsid w:val="00D178E8"/>
    <w:rsid w:val="00E26441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1F4F9"/>
  <w15:chartTrackingRefBased/>
  <w15:docId w15:val="{42EFE2CC-5D59-45BC-BB1C-7C95390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2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27"/>
    <w:pPr>
      <w:ind w:left="0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2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C3227"/>
    <w:pPr>
      <w:spacing w:line="259" w:lineRule="auto"/>
      <w:ind w:left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3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32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32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F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42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1626C"/>
    <w:pPr>
      <w:spacing w:after="100"/>
      <w:ind w:left="0"/>
    </w:pPr>
  </w:style>
  <w:style w:type="paragraph" w:styleId="Header">
    <w:name w:val="header"/>
    <w:basedOn w:val="Normal"/>
    <w:link w:val="HeaderChar"/>
    <w:uiPriority w:val="99"/>
    <w:unhideWhenUsed/>
    <w:rsid w:val="0096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5E"/>
    <w:rPr>
      <w:lang w:val="en-GB"/>
    </w:rPr>
  </w:style>
  <w:style w:type="table" w:customStyle="1" w:styleId="TableGrid0">
    <w:name w:val="TableGrid"/>
    <w:rsid w:val="004F31A4"/>
    <w:pPr>
      <w:ind w:left="0"/>
    </w:pPr>
    <w:rPr>
      <w:rFonts w:eastAsiaTheme="minorEastAsia"/>
      <w:lang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6E13-5F73-4EB2-A987-82E42BB6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Milijana Supic</cp:lastModifiedBy>
  <cp:revision>6</cp:revision>
  <dcterms:created xsi:type="dcterms:W3CDTF">2022-02-28T07:43:00Z</dcterms:created>
  <dcterms:modified xsi:type="dcterms:W3CDTF">2022-02-28T10:37:00Z</dcterms:modified>
</cp:coreProperties>
</file>