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FBC4C" w14:textId="7492102A" w:rsidR="00386A46" w:rsidRPr="00386A46" w:rsidRDefault="0027571B" w:rsidP="00386A46">
      <w:pPr>
        <w:rPr>
          <w:rFonts w:ascii="Arial" w:hAnsi="Arial" w:cs="Arial"/>
          <w:w w:val="95"/>
          <w:lang w:val="hr-HR"/>
        </w:rPr>
      </w:pPr>
      <w:bookmarkStart w:id="0" w:name="_Toc29479783"/>
      <w:bookmarkStart w:id="1" w:name="_Toc39666945"/>
      <w:r>
        <w:rPr>
          <w:rFonts w:ascii="Arial" w:hAnsi="Arial" w:cs="Arial"/>
          <w:w w:val="95"/>
          <w:lang w:val="hr-HR"/>
        </w:rPr>
        <w:t>KANTONALNI SUD U GORAŽDU</w:t>
      </w:r>
    </w:p>
    <w:p w14:paraId="0C3777C5" w14:textId="7D66867D" w:rsidR="00386A46" w:rsidRPr="00386A46" w:rsidRDefault="00386A46" w:rsidP="00386A46">
      <w:pPr>
        <w:rPr>
          <w:rFonts w:ascii="Arial" w:hAnsi="Arial" w:cs="Arial"/>
          <w:w w:val="95"/>
          <w:lang w:val="hr-HR"/>
        </w:rPr>
      </w:pPr>
      <w:bookmarkStart w:id="2" w:name="_Toc91766228"/>
      <w:bookmarkStart w:id="3" w:name="_Toc64460040"/>
      <w:bookmarkStart w:id="4" w:name="_Toc64459474"/>
      <w:bookmarkStart w:id="5" w:name="_Toc64458875"/>
      <w:r w:rsidRPr="00386A46">
        <w:rPr>
          <w:rFonts w:ascii="Arial" w:hAnsi="Arial" w:cs="Arial"/>
          <w:w w:val="95"/>
          <w:lang w:val="hr-HR"/>
        </w:rPr>
        <w:t>Broj:</w:t>
      </w:r>
      <w:bookmarkEnd w:id="2"/>
      <w:bookmarkEnd w:id="3"/>
      <w:bookmarkEnd w:id="4"/>
      <w:bookmarkEnd w:id="5"/>
      <w:r w:rsidR="0027571B">
        <w:rPr>
          <w:rFonts w:ascii="Arial" w:hAnsi="Arial" w:cs="Arial"/>
          <w:w w:val="95"/>
          <w:lang w:val="hr-HR"/>
        </w:rPr>
        <w:t>005-0-Su-22-000019</w:t>
      </w:r>
    </w:p>
    <w:p w14:paraId="46FA70F8" w14:textId="658823FA" w:rsidR="00386A46" w:rsidRPr="00386A46" w:rsidRDefault="0027571B" w:rsidP="00386A46">
      <w:pPr>
        <w:rPr>
          <w:rFonts w:ascii="Arial" w:hAnsi="Arial" w:cs="Arial"/>
          <w:w w:val="95"/>
          <w:lang w:val="hr-HR"/>
        </w:rPr>
      </w:pPr>
      <w:bookmarkStart w:id="6" w:name="_Toc91766229"/>
      <w:bookmarkStart w:id="7" w:name="_Toc64460041"/>
      <w:bookmarkStart w:id="8" w:name="_Toc64459475"/>
      <w:r>
        <w:rPr>
          <w:rFonts w:ascii="Arial" w:hAnsi="Arial" w:cs="Arial"/>
          <w:w w:val="95"/>
          <w:lang w:val="hr-HR"/>
        </w:rPr>
        <w:t>Goražde, 27.01.2022</w:t>
      </w:r>
      <w:r w:rsidR="00386A46" w:rsidRPr="00386A46">
        <w:rPr>
          <w:rFonts w:ascii="Arial" w:hAnsi="Arial" w:cs="Arial"/>
          <w:w w:val="95"/>
          <w:lang w:val="hr-HR"/>
        </w:rPr>
        <w:t>. godine</w:t>
      </w:r>
      <w:bookmarkEnd w:id="6"/>
      <w:bookmarkEnd w:id="7"/>
      <w:bookmarkEnd w:id="8"/>
    </w:p>
    <w:p w14:paraId="51D47F6C" w14:textId="77777777" w:rsidR="00850FF6" w:rsidRPr="009701D8" w:rsidRDefault="00850FF6" w:rsidP="009701D8">
      <w:pPr>
        <w:spacing w:before="40" w:line="276" w:lineRule="auto"/>
        <w:ind w:left="0"/>
        <w:rPr>
          <w:rFonts w:ascii="Arial" w:hAnsi="Arial" w:cs="Arial"/>
          <w:w w:val="95"/>
          <w:sz w:val="24"/>
          <w:szCs w:val="24"/>
          <w:lang w:val="hr-HR"/>
        </w:rPr>
      </w:pPr>
    </w:p>
    <w:p w14:paraId="60292614" w14:textId="77777777" w:rsidR="00850FF6" w:rsidRPr="009701D8" w:rsidRDefault="00850FF6" w:rsidP="009701D8">
      <w:pPr>
        <w:spacing w:before="40" w:line="276" w:lineRule="auto"/>
        <w:ind w:left="0"/>
        <w:rPr>
          <w:rFonts w:ascii="Arial" w:hAnsi="Arial" w:cs="Arial"/>
          <w:w w:val="95"/>
          <w:sz w:val="24"/>
          <w:szCs w:val="24"/>
          <w:lang w:val="hr-HR"/>
        </w:rPr>
      </w:pPr>
    </w:p>
    <w:p w14:paraId="25A6B0EC" w14:textId="77777777" w:rsidR="00850FF6" w:rsidRPr="009701D8" w:rsidRDefault="00850FF6" w:rsidP="009701D8">
      <w:pPr>
        <w:spacing w:before="40" w:line="276" w:lineRule="auto"/>
        <w:ind w:left="0"/>
        <w:rPr>
          <w:rFonts w:ascii="Arial" w:hAnsi="Arial" w:cs="Arial"/>
          <w:w w:val="95"/>
          <w:sz w:val="24"/>
          <w:szCs w:val="24"/>
          <w:lang w:val="hr-HR"/>
        </w:rPr>
      </w:pPr>
    </w:p>
    <w:p w14:paraId="06DE178B" w14:textId="77777777" w:rsidR="00850FF6" w:rsidRPr="009701D8" w:rsidRDefault="00850FF6" w:rsidP="009701D8">
      <w:pPr>
        <w:spacing w:before="40" w:line="276" w:lineRule="auto"/>
        <w:ind w:left="0"/>
        <w:rPr>
          <w:rFonts w:ascii="Arial" w:hAnsi="Arial" w:cs="Arial"/>
          <w:w w:val="95"/>
          <w:sz w:val="24"/>
          <w:szCs w:val="24"/>
          <w:lang w:val="hr-HR"/>
        </w:rPr>
      </w:pPr>
    </w:p>
    <w:p w14:paraId="1139DFC1" w14:textId="77777777" w:rsidR="00850FF6" w:rsidRPr="009701D8" w:rsidRDefault="00850FF6" w:rsidP="009701D8">
      <w:pPr>
        <w:spacing w:before="40" w:line="276" w:lineRule="auto"/>
        <w:ind w:left="0"/>
        <w:rPr>
          <w:rFonts w:ascii="Arial" w:hAnsi="Arial" w:cs="Arial"/>
          <w:w w:val="95"/>
          <w:sz w:val="24"/>
          <w:szCs w:val="24"/>
          <w:lang w:val="hr-HR"/>
        </w:rPr>
      </w:pPr>
    </w:p>
    <w:p w14:paraId="7449A1B0" w14:textId="77777777" w:rsidR="00850FF6" w:rsidRPr="009701D8" w:rsidRDefault="00850FF6" w:rsidP="009701D8">
      <w:pPr>
        <w:spacing w:before="40" w:line="276" w:lineRule="auto"/>
        <w:ind w:left="0"/>
        <w:rPr>
          <w:rFonts w:ascii="Arial" w:hAnsi="Arial" w:cs="Arial"/>
          <w:w w:val="95"/>
          <w:sz w:val="24"/>
          <w:szCs w:val="24"/>
          <w:lang w:val="hr-HR"/>
        </w:rPr>
      </w:pPr>
    </w:p>
    <w:p w14:paraId="47CCCE14" w14:textId="77777777" w:rsidR="009416D8" w:rsidRPr="009701D8" w:rsidRDefault="009416D8" w:rsidP="009701D8">
      <w:pPr>
        <w:spacing w:before="40" w:line="276" w:lineRule="auto"/>
        <w:ind w:left="0"/>
        <w:rPr>
          <w:rFonts w:ascii="Arial" w:hAnsi="Arial" w:cs="Arial"/>
          <w:w w:val="95"/>
          <w:sz w:val="24"/>
          <w:szCs w:val="24"/>
          <w:lang w:val="hr-HR"/>
        </w:rPr>
      </w:pPr>
    </w:p>
    <w:p w14:paraId="170AB9E6" w14:textId="631C272A" w:rsidR="009416D8" w:rsidRDefault="009416D8" w:rsidP="009701D8">
      <w:pPr>
        <w:spacing w:before="40" w:line="276" w:lineRule="auto"/>
        <w:ind w:left="0"/>
        <w:rPr>
          <w:rFonts w:ascii="Arial" w:hAnsi="Arial" w:cs="Arial"/>
          <w:w w:val="95"/>
          <w:sz w:val="24"/>
          <w:szCs w:val="24"/>
          <w:lang w:val="hr-HR"/>
        </w:rPr>
      </w:pPr>
    </w:p>
    <w:p w14:paraId="4A17521F" w14:textId="77777777" w:rsidR="00DF721C" w:rsidRDefault="00DF721C" w:rsidP="009701D8">
      <w:pPr>
        <w:spacing w:before="40" w:line="276" w:lineRule="auto"/>
        <w:ind w:left="0"/>
        <w:rPr>
          <w:rFonts w:ascii="Arial" w:hAnsi="Arial" w:cs="Arial"/>
          <w:w w:val="95"/>
          <w:sz w:val="24"/>
          <w:szCs w:val="24"/>
          <w:lang w:val="hr-HR"/>
        </w:rPr>
      </w:pPr>
    </w:p>
    <w:p w14:paraId="39A0A664" w14:textId="77777777" w:rsidR="00DF721C" w:rsidRPr="009701D8" w:rsidRDefault="00DF721C" w:rsidP="009701D8">
      <w:pPr>
        <w:spacing w:before="40" w:line="276" w:lineRule="auto"/>
        <w:ind w:left="0"/>
        <w:rPr>
          <w:rFonts w:ascii="Arial" w:hAnsi="Arial" w:cs="Arial"/>
          <w:w w:val="95"/>
          <w:sz w:val="24"/>
          <w:szCs w:val="24"/>
          <w:lang w:val="hr-HR"/>
        </w:rPr>
      </w:pPr>
    </w:p>
    <w:p w14:paraId="118A5DDC" w14:textId="77777777" w:rsidR="00850FF6" w:rsidRPr="009701D8" w:rsidRDefault="00850FF6" w:rsidP="009701D8">
      <w:pPr>
        <w:spacing w:before="40" w:line="276" w:lineRule="auto"/>
        <w:ind w:left="0"/>
        <w:rPr>
          <w:rFonts w:ascii="Arial" w:hAnsi="Arial" w:cs="Arial"/>
          <w:w w:val="95"/>
          <w:sz w:val="24"/>
          <w:szCs w:val="24"/>
          <w:lang w:val="hr-HR"/>
        </w:rPr>
      </w:pPr>
    </w:p>
    <w:p w14:paraId="043F8855" w14:textId="5AC6F40A" w:rsidR="00850FF6" w:rsidRDefault="00850FF6" w:rsidP="009701D8">
      <w:pPr>
        <w:spacing w:before="40" w:line="276" w:lineRule="auto"/>
        <w:ind w:left="0"/>
        <w:rPr>
          <w:rFonts w:ascii="Arial" w:hAnsi="Arial" w:cs="Arial"/>
          <w:w w:val="95"/>
          <w:sz w:val="24"/>
          <w:szCs w:val="24"/>
          <w:lang w:val="hr-HR"/>
        </w:rPr>
      </w:pPr>
    </w:p>
    <w:p w14:paraId="1D8D1C0C" w14:textId="77777777" w:rsidR="003E7538" w:rsidRDefault="003E7538" w:rsidP="009701D8">
      <w:pPr>
        <w:spacing w:before="40" w:line="276" w:lineRule="auto"/>
        <w:ind w:left="0"/>
        <w:rPr>
          <w:rFonts w:ascii="Arial" w:hAnsi="Arial" w:cs="Arial"/>
          <w:w w:val="95"/>
          <w:sz w:val="24"/>
          <w:szCs w:val="24"/>
          <w:lang w:val="hr-HR"/>
        </w:rPr>
      </w:pPr>
    </w:p>
    <w:p w14:paraId="4B58AB40" w14:textId="77777777" w:rsidR="009701D8" w:rsidRPr="009701D8" w:rsidRDefault="009701D8" w:rsidP="009701D8">
      <w:pPr>
        <w:spacing w:before="40" w:line="276" w:lineRule="auto"/>
        <w:ind w:left="0"/>
        <w:rPr>
          <w:rFonts w:ascii="Arial" w:hAnsi="Arial" w:cs="Arial"/>
          <w:w w:val="95"/>
          <w:sz w:val="24"/>
          <w:szCs w:val="24"/>
          <w:lang w:val="hr-HR"/>
        </w:rPr>
      </w:pPr>
    </w:p>
    <w:p w14:paraId="32CFE554" w14:textId="71391BC7" w:rsidR="00C80EA6" w:rsidRDefault="00C80EA6" w:rsidP="003E7538">
      <w:pPr>
        <w:spacing w:before="40" w:line="276" w:lineRule="auto"/>
        <w:ind w:left="0"/>
        <w:jc w:val="right"/>
        <w:rPr>
          <w:rFonts w:ascii="Arial" w:hAnsi="Arial" w:cs="Arial"/>
          <w:b/>
          <w:bCs/>
          <w:color w:val="0070C0"/>
          <w:w w:val="95"/>
          <w:sz w:val="56"/>
          <w:szCs w:val="56"/>
          <w:lang w:val="hr-HR"/>
        </w:rPr>
      </w:pPr>
      <w:r>
        <w:rPr>
          <w:rFonts w:ascii="Arial" w:hAnsi="Arial" w:cs="Arial"/>
          <w:b/>
          <w:bCs/>
          <w:color w:val="0070C0"/>
          <w:w w:val="95"/>
          <w:sz w:val="56"/>
          <w:szCs w:val="56"/>
          <w:lang w:val="hr-HR"/>
        </w:rPr>
        <w:t>Strateški plan rada</w:t>
      </w:r>
    </w:p>
    <w:p w14:paraId="36EB9984" w14:textId="3CEFF2CB" w:rsidR="00C80EA6" w:rsidRPr="00C80EA6" w:rsidRDefault="00C80EA6" w:rsidP="003E7538">
      <w:pPr>
        <w:spacing w:before="40" w:line="276" w:lineRule="auto"/>
        <w:ind w:left="0"/>
        <w:jc w:val="right"/>
        <w:rPr>
          <w:rFonts w:ascii="Arial" w:hAnsi="Arial" w:cs="Arial"/>
          <w:b/>
          <w:bCs/>
          <w:w w:val="95"/>
          <w:sz w:val="56"/>
          <w:szCs w:val="56"/>
          <w:lang w:val="hr-HR"/>
        </w:rPr>
      </w:pPr>
      <w:r w:rsidRPr="00C80EA6">
        <w:rPr>
          <w:rFonts w:ascii="Arial" w:hAnsi="Arial" w:cs="Arial"/>
          <w:b/>
          <w:bCs/>
          <w:w w:val="95"/>
          <w:sz w:val="56"/>
          <w:szCs w:val="56"/>
          <w:lang w:val="hr-HR"/>
        </w:rPr>
        <w:t>2022 - 2024</w:t>
      </w:r>
    </w:p>
    <w:p w14:paraId="393FAC6F" w14:textId="67F8EAD4" w:rsidR="003E7538" w:rsidRDefault="009701D8" w:rsidP="003E7538">
      <w:pPr>
        <w:spacing w:before="40" w:line="276" w:lineRule="auto"/>
        <w:ind w:left="0"/>
        <w:jc w:val="right"/>
        <w:rPr>
          <w:rFonts w:ascii="Arial" w:hAnsi="Arial" w:cs="Arial"/>
          <w:b/>
          <w:bCs/>
          <w:color w:val="0070C0"/>
          <w:w w:val="95"/>
          <w:sz w:val="56"/>
          <w:szCs w:val="56"/>
          <w:lang w:val="hr-HR"/>
        </w:rPr>
      </w:pPr>
      <w:r w:rsidRPr="003E7538">
        <w:rPr>
          <w:rFonts w:ascii="Arial" w:hAnsi="Arial" w:cs="Arial"/>
          <w:b/>
          <w:bCs/>
          <w:color w:val="0070C0"/>
          <w:w w:val="95"/>
          <w:sz w:val="56"/>
          <w:szCs w:val="56"/>
          <w:lang w:val="hr-HR"/>
        </w:rPr>
        <w:t>Godišnji program rada</w:t>
      </w:r>
    </w:p>
    <w:p w14:paraId="5355BC6D" w14:textId="2B61B65B" w:rsidR="00C80EA6" w:rsidRPr="00A52F51" w:rsidRDefault="00C80EA6" w:rsidP="003E7538">
      <w:pPr>
        <w:spacing w:before="40" w:line="276" w:lineRule="auto"/>
        <w:ind w:left="0"/>
        <w:jc w:val="right"/>
        <w:rPr>
          <w:rFonts w:ascii="Arial" w:hAnsi="Arial" w:cs="Arial"/>
          <w:b/>
          <w:bCs/>
          <w:w w:val="95"/>
          <w:sz w:val="56"/>
          <w:szCs w:val="56"/>
          <w:lang w:val="hr-HR"/>
        </w:rPr>
      </w:pPr>
      <w:r w:rsidRPr="00A52F51">
        <w:rPr>
          <w:rFonts w:ascii="Arial" w:hAnsi="Arial" w:cs="Arial"/>
          <w:b/>
          <w:bCs/>
          <w:w w:val="95"/>
          <w:sz w:val="56"/>
          <w:szCs w:val="56"/>
          <w:lang w:val="hr-HR"/>
        </w:rPr>
        <w:t>za 2022. godinu</w:t>
      </w:r>
    </w:p>
    <w:p w14:paraId="145DDC54" w14:textId="6D1E51ED" w:rsidR="00850FF6" w:rsidRPr="00A52F51" w:rsidRDefault="0027571B" w:rsidP="003E7538">
      <w:pPr>
        <w:spacing w:before="40" w:line="276" w:lineRule="auto"/>
        <w:ind w:left="0"/>
        <w:jc w:val="right"/>
        <w:rPr>
          <w:rFonts w:ascii="Arial" w:hAnsi="Arial" w:cs="Arial"/>
          <w:b/>
          <w:bCs/>
          <w:w w:val="95"/>
          <w:sz w:val="48"/>
          <w:szCs w:val="48"/>
          <w:lang w:val="hr-HR"/>
        </w:rPr>
      </w:pPr>
      <w:r w:rsidRPr="00A52F51">
        <w:rPr>
          <w:rFonts w:ascii="Arial" w:hAnsi="Arial" w:cs="Arial"/>
          <w:b/>
          <w:bCs/>
          <w:w w:val="95"/>
          <w:sz w:val="48"/>
          <w:szCs w:val="48"/>
          <w:lang w:val="hr-HR"/>
        </w:rPr>
        <w:t>KANTONALNI SUD U GORAŽDU</w:t>
      </w:r>
    </w:p>
    <w:p w14:paraId="5D2B116D" w14:textId="61896B6E" w:rsidR="009701D8" w:rsidRPr="003E7538" w:rsidRDefault="009701D8" w:rsidP="003E7538">
      <w:pPr>
        <w:spacing w:before="40" w:line="276" w:lineRule="auto"/>
        <w:ind w:left="0"/>
        <w:jc w:val="right"/>
        <w:rPr>
          <w:rFonts w:ascii="Arial" w:hAnsi="Arial" w:cs="Arial"/>
          <w:b/>
          <w:bCs/>
          <w:w w:val="95"/>
          <w:sz w:val="48"/>
          <w:szCs w:val="48"/>
          <w:lang w:val="hr-HR"/>
        </w:rPr>
      </w:pPr>
    </w:p>
    <w:bookmarkEnd w:id="0"/>
    <w:bookmarkEnd w:id="1"/>
    <w:tbl>
      <w:tblPr>
        <w:tblStyle w:val="TableGrid"/>
        <w:tblW w:w="0" w:type="auto"/>
        <w:tblBorders>
          <w:top w:val="single" w:sz="12" w:space="0" w:color="00B0F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660"/>
      </w:tblGrid>
      <w:tr w:rsidR="00F6014C" w14:paraId="0B5BC71D" w14:textId="77777777" w:rsidTr="003E3123">
        <w:tc>
          <w:tcPr>
            <w:tcW w:w="3402" w:type="dxa"/>
            <w:tcBorders>
              <w:top w:val="nil"/>
            </w:tcBorders>
          </w:tcPr>
          <w:p w14:paraId="3877D1DE" w14:textId="77777777" w:rsidR="00F6014C" w:rsidRDefault="00F6014C" w:rsidP="009701D8">
            <w:pPr>
              <w:spacing w:before="40" w:line="276" w:lineRule="auto"/>
              <w:rPr>
                <w:rFonts w:ascii="Arial" w:hAnsi="Arial" w:cs="Arial"/>
                <w:w w:val="95"/>
                <w:lang w:val="hr-HR"/>
              </w:rPr>
            </w:pPr>
          </w:p>
        </w:tc>
        <w:tc>
          <w:tcPr>
            <w:tcW w:w="5660" w:type="dxa"/>
            <w:tcBorders>
              <w:top w:val="single" w:sz="18" w:space="0" w:color="0070C0"/>
            </w:tcBorders>
          </w:tcPr>
          <w:p w14:paraId="67BAFBD3" w14:textId="77777777" w:rsidR="00F6014C" w:rsidRDefault="00F6014C" w:rsidP="009701D8">
            <w:pPr>
              <w:spacing w:before="40" w:line="276" w:lineRule="auto"/>
              <w:rPr>
                <w:rFonts w:ascii="Arial" w:hAnsi="Arial" w:cs="Arial"/>
                <w:w w:val="95"/>
                <w:lang w:val="hr-HR"/>
              </w:rPr>
            </w:pPr>
          </w:p>
        </w:tc>
      </w:tr>
    </w:tbl>
    <w:p w14:paraId="52D72846" w14:textId="77777777" w:rsidR="00850FF6" w:rsidRPr="009701D8" w:rsidRDefault="00850FF6" w:rsidP="009701D8">
      <w:pPr>
        <w:spacing w:before="40" w:line="276" w:lineRule="auto"/>
        <w:ind w:left="0"/>
        <w:rPr>
          <w:rFonts w:ascii="Arial" w:hAnsi="Arial" w:cs="Arial"/>
          <w:w w:val="95"/>
          <w:sz w:val="24"/>
          <w:szCs w:val="24"/>
          <w:lang w:val="hr-HR"/>
        </w:rPr>
      </w:pPr>
    </w:p>
    <w:p w14:paraId="4447B6C1" w14:textId="77777777" w:rsidR="00850FF6" w:rsidRPr="009701D8" w:rsidRDefault="00850FF6" w:rsidP="009701D8">
      <w:pPr>
        <w:spacing w:before="40" w:line="276" w:lineRule="auto"/>
        <w:ind w:left="0"/>
        <w:rPr>
          <w:rFonts w:ascii="Arial" w:hAnsi="Arial" w:cs="Arial"/>
          <w:w w:val="95"/>
          <w:sz w:val="24"/>
          <w:szCs w:val="24"/>
          <w:lang w:val="hr-HR"/>
        </w:rPr>
      </w:pPr>
    </w:p>
    <w:p w14:paraId="0E3AD69E" w14:textId="77777777" w:rsidR="00850FF6" w:rsidRPr="009701D8" w:rsidRDefault="00850FF6" w:rsidP="009701D8">
      <w:pPr>
        <w:spacing w:before="40" w:line="276" w:lineRule="auto"/>
        <w:ind w:left="0"/>
        <w:rPr>
          <w:rFonts w:ascii="Arial" w:hAnsi="Arial" w:cs="Arial"/>
          <w:w w:val="95"/>
          <w:sz w:val="24"/>
          <w:szCs w:val="24"/>
          <w:lang w:val="hr-HR"/>
        </w:rPr>
      </w:pPr>
    </w:p>
    <w:p w14:paraId="02483056" w14:textId="77777777" w:rsidR="00850FF6" w:rsidRPr="009701D8" w:rsidRDefault="00850FF6" w:rsidP="009701D8">
      <w:pPr>
        <w:spacing w:before="40" w:line="276" w:lineRule="auto"/>
        <w:ind w:left="0"/>
        <w:rPr>
          <w:rFonts w:ascii="Arial" w:hAnsi="Arial" w:cs="Arial"/>
          <w:w w:val="95"/>
          <w:sz w:val="24"/>
          <w:szCs w:val="24"/>
          <w:lang w:val="hr-HR"/>
        </w:rPr>
      </w:pPr>
    </w:p>
    <w:p w14:paraId="5F887F38" w14:textId="77777777" w:rsidR="00850FF6" w:rsidRPr="009701D8" w:rsidRDefault="00850FF6" w:rsidP="009701D8">
      <w:pPr>
        <w:spacing w:before="40" w:line="276" w:lineRule="auto"/>
        <w:ind w:left="0"/>
        <w:rPr>
          <w:rFonts w:ascii="Arial" w:hAnsi="Arial" w:cs="Arial"/>
          <w:w w:val="95"/>
          <w:sz w:val="24"/>
          <w:szCs w:val="24"/>
          <w:lang w:val="hr-HR"/>
        </w:rPr>
      </w:pPr>
    </w:p>
    <w:p w14:paraId="12857259" w14:textId="4EB976AD" w:rsidR="00850FF6" w:rsidRDefault="00850FF6" w:rsidP="009701D8">
      <w:pPr>
        <w:spacing w:before="40" w:line="276" w:lineRule="auto"/>
        <w:ind w:left="0"/>
        <w:rPr>
          <w:rFonts w:ascii="Arial" w:hAnsi="Arial" w:cs="Arial"/>
          <w:w w:val="95"/>
          <w:sz w:val="24"/>
          <w:szCs w:val="24"/>
          <w:lang w:val="hr-HR"/>
        </w:rPr>
      </w:pPr>
    </w:p>
    <w:p w14:paraId="3C0AAA62" w14:textId="77777777" w:rsidR="009701D8" w:rsidRPr="009701D8" w:rsidRDefault="009701D8" w:rsidP="009701D8">
      <w:pPr>
        <w:spacing w:before="40" w:line="276" w:lineRule="auto"/>
        <w:ind w:left="0"/>
        <w:rPr>
          <w:rFonts w:ascii="Arial" w:hAnsi="Arial" w:cs="Arial"/>
          <w:w w:val="95"/>
          <w:sz w:val="24"/>
          <w:szCs w:val="24"/>
          <w:lang w:val="hr-HR"/>
        </w:rPr>
      </w:pPr>
    </w:p>
    <w:p w14:paraId="24807323" w14:textId="4FC78013" w:rsidR="00850FF6" w:rsidRPr="009701D8" w:rsidRDefault="0027571B" w:rsidP="009701D8">
      <w:pPr>
        <w:spacing w:before="40" w:line="276" w:lineRule="auto"/>
        <w:ind w:left="0"/>
        <w:jc w:val="center"/>
        <w:rPr>
          <w:rFonts w:ascii="Arial" w:hAnsi="Arial" w:cs="Arial"/>
          <w:w w:val="95"/>
          <w:sz w:val="24"/>
          <w:szCs w:val="24"/>
          <w:lang w:val="hr-HR"/>
        </w:rPr>
      </w:pPr>
      <w:r>
        <w:rPr>
          <w:rFonts w:ascii="Arial" w:hAnsi="Arial" w:cs="Arial"/>
          <w:w w:val="95"/>
          <w:sz w:val="24"/>
          <w:szCs w:val="24"/>
          <w:lang w:val="hr-HR"/>
        </w:rPr>
        <w:t>Goražde, januar</w:t>
      </w:r>
      <w:r w:rsidR="00C80EA6">
        <w:rPr>
          <w:rFonts w:ascii="Arial" w:hAnsi="Arial" w:cs="Arial"/>
          <w:w w:val="95"/>
          <w:sz w:val="24"/>
          <w:szCs w:val="24"/>
          <w:lang w:val="hr-HR"/>
        </w:rPr>
        <w:t xml:space="preserve"> 2022</w:t>
      </w:r>
      <w:r w:rsidR="009701D8">
        <w:rPr>
          <w:rFonts w:ascii="Arial" w:hAnsi="Arial" w:cs="Arial"/>
          <w:w w:val="95"/>
          <w:sz w:val="24"/>
          <w:szCs w:val="24"/>
          <w:lang w:val="hr-HR"/>
        </w:rPr>
        <w:t>. godine</w:t>
      </w:r>
    </w:p>
    <w:p w14:paraId="66269462" w14:textId="65512D71" w:rsidR="00850FF6" w:rsidRPr="00C80453" w:rsidRDefault="00850FF6" w:rsidP="009701D8">
      <w:pPr>
        <w:spacing w:before="40" w:line="276" w:lineRule="auto"/>
        <w:ind w:left="0"/>
        <w:jc w:val="both"/>
        <w:rPr>
          <w:rFonts w:ascii="Arial" w:hAnsi="Arial" w:cs="Arial"/>
          <w:w w:val="95"/>
          <w:sz w:val="4"/>
          <w:szCs w:val="8"/>
          <w:lang w:val="hr-HR"/>
        </w:rPr>
      </w:pPr>
    </w:p>
    <w:p w14:paraId="76492F4D" w14:textId="2EAAEB7A" w:rsidR="00B829AF" w:rsidRPr="009701D8" w:rsidRDefault="00B829AF" w:rsidP="00C80EA6">
      <w:pPr>
        <w:ind w:left="0"/>
        <w:rPr>
          <w:rFonts w:ascii="Arial" w:hAnsi="Arial" w:cs="Arial"/>
          <w:w w:val="95"/>
          <w:sz w:val="24"/>
          <w:szCs w:val="24"/>
          <w:lang w:val="hr-HR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w w:val="100"/>
          <w:sz w:val="22"/>
          <w:szCs w:val="22"/>
          <w:lang w:val="en-GB"/>
        </w:rPr>
        <w:id w:val="-221673831"/>
        <w:docPartObj>
          <w:docPartGallery w:val="Table of Contents"/>
          <w:docPartUnique/>
        </w:docPartObj>
      </w:sdtPr>
      <w:sdtEndPr>
        <w:rPr>
          <w:rFonts w:ascii="Arial" w:hAnsi="Arial" w:cs="Arial"/>
          <w:noProof/>
          <w:sz w:val="24"/>
          <w:szCs w:val="24"/>
          <w:lang w:val="hr-HR"/>
        </w:rPr>
      </w:sdtEndPr>
      <w:sdtContent>
        <w:p w14:paraId="711764D1" w14:textId="77777777" w:rsidR="00850FF6" w:rsidRPr="009336F9" w:rsidRDefault="006E51F2" w:rsidP="00A222AE">
          <w:pPr>
            <w:pStyle w:val="TOCHeading"/>
          </w:pPr>
          <w:r w:rsidRPr="009336F9">
            <w:t>SADRŽAJ</w:t>
          </w:r>
        </w:p>
        <w:p w14:paraId="423EEA3A" w14:textId="1E5B1FE2" w:rsidR="00B36A86" w:rsidRDefault="00B36A86" w:rsidP="00B36A86">
          <w:pPr>
            <w:pStyle w:val="TOC1"/>
            <w:rPr>
              <w:noProof/>
              <w:w w:val="95"/>
              <w:lang w:val="hr-HR"/>
            </w:rPr>
          </w:pPr>
        </w:p>
        <w:p w14:paraId="28E2F52C" w14:textId="77777777" w:rsidR="00DF721C" w:rsidRPr="00386A46" w:rsidRDefault="00DF721C" w:rsidP="00DF721C">
          <w:pPr>
            <w:ind w:left="0"/>
            <w:rPr>
              <w:rFonts w:ascii="Arial" w:hAnsi="Arial" w:cs="Arial"/>
              <w:lang w:val="hr-HR"/>
            </w:rPr>
          </w:pPr>
        </w:p>
        <w:p w14:paraId="4D56479C" w14:textId="346F4DB0" w:rsidR="00386A46" w:rsidRPr="00386A46" w:rsidRDefault="00850FF6">
          <w:pPr>
            <w:pStyle w:val="TOC1"/>
            <w:rPr>
              <w:rFonts w:ascii="Arial" w:eastAsiaTheme="minorEastAsia" w:hAnsi="Arial" w:cs="Arial"/>
              <w:noProof/>
              <w:lang w:val="en-US"/>
            </w:rPr>
          </w:pPr>
          <w:r w:rsidRPr="00386A46">
            <w:rPr>
              <w:rFonts w:ascii="Arial" w:hAnsi="Arial" w:cs="Arial"/>
              <w:b/>
              <w:bCs/>
              <w:noProof/>
              <w:w w:val="95"/>
              <w:lang w:val="hr-HR"/>
            </w:rPr>
            <w:fldChar w:fldCharType="begin"/>
          </w:r>
          <w:r w:rsidRPr="00386A46">
            <w:rPr>
              <w:rFonts w:ascii="Arial" w:hAnsi="Arial" w:cs="Arial"/>
              <w:b/>
              <w:bCs/>
              <w:noProof/>
              <w:w w:val="95"/>
              <w:lang w:val="hr-HR"/>
            </w:rPr>
            <w:instrText xml:space="preserve"> TOC \o "1-3" \h \z \u </w:instrText>
          </w:r>
          <w:r w:rsidRPr="00386A46">
            <w:rPr>
              <w:rFonts w:ascii="Arial" w:hAnsi="Arial" w:cs="Arial"/>
              <w:b/>
              <w:bCs/>
              <w:noProof/>
              <w:w w:val="95"/>
              <w:lang w:val="hr-HR"/>
            </w:rPr>
            <w:fldChar w:fldCharType="separate"/>
          </w:r>
          <w:hyperlink w:anchor="_Toc91766450" w:history="1">
            <w:r w:rsidR="00386A46" w:rsidRPr="00386A46">
              <w:rPr>
                <w:rStyle w:val="Hyperlink"/>
                <w:rFonts w:ascii="Arial" w:hAnsi="Arial" w:cs="Arial"/>
                <w:noProof/>
              </w:rPr>
              <w:t xml:space="preserve">A. </w:t>
            </w:r>
            <w:r w:rsidR="00386A46" w:rsidRPr="00386A46">
              <w:rPr>
                <w:rFonts w:ascii="Arial" w:eastAsiaTheme="minorEastAsia" w:hAnsi="Arial" w:cs="Arial"/>
                <w:noProof/>
                <w:lang w:val="en-US"/>
              </w:rPr>
              <w:tab/>
            </w:r>
            <w:r w:rsidR="00386A46" w:rsidRPr="00386A46">
              <w:rPr>
                <w:rStyle w:val="Hyperlink"/>
                <w:rFonts w:ascii="Arial" w:hAnsi="Arial" w:cs="Arial"/>
                <w:noProof/>
              </w:rPr>
              <w:t>Uvod</w:t>
            </w:r>
            <w:r w:rsidR="00386A46" w:rsidRPr="00386A46">
              <w:rPr>
                <w:rFonts w:ascii="Arial" w:hAnsi="Arial" w:cs="Arial"/>
                <w:noProof/>
                <w:webHidden/>
              </w:rPr>
              <w:tab/>
            </w:r>
            <w:r w:rsidR="00386A46" w:rsidRPr="00386A46">
              <w:rPr>
                <w:rFonts w:ascii="Arial" w:hAnsi="Arial" w:cs="Arial"/>
                <w:noProof/>
                <w:webHidden/>
              </w:rPr>
              <w:fldChar w:fldCharType="begin"/>
            </w:r>
            <w:r w:rsidR="00386A46" w:rsidRPr="00386A46">
              <w:rPr>
                <w:rFonts w:ascii="Arial" w:hAnsi="Arial" w:cs="Arial"/>
                <w:noProof/>
                <w:webHidden/>
              </w:rPr>
              <w:instrText xml:space="preserve"> PAGEREF _Toc91766450 \h </w:instrText>
            </w:r>
            <w:r w:rsidR="00386A46" w:rsidRPr="00386A46">
              <w:rPr>
                <w:rFonts w:ascii="Arial" w:hAnsi="Arial" w:cs="Arial"/>
                <w:noProof/>
                <w:webHidden/>
              </w:rPr>
            </w:r>
            <w:r w:rsidR="00386A46" w:rsidRPr="00386A4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6075B">
              <w:rPr>
                <w:rFonts w:ascii="Arial" w:hAnsi="Arial" w:cs="Arial"/>
                <w:noProof/>
                <w:webHidden/>
              </w:rPr>
              <w:t>2</w:t>
            </w:r>
            <w:r w:rsidR="00386A46" w:rsidRPr="00386A4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2060C09" w14:textId="7C51F320" w:rsidR="00386A46" w:rsidRPr="00386A46" w:rsidRDefault="0043424E">
          <w:pPr>
            <w:pStyle w:val="TOC1"/>
            <w:rPr>
              <w:rFonts w:ascii="Arial" w:eastAsiaTheme="minorEastAsia" w:hAnsi="Arial" w:cs="Arial"/>
              <w:noProof/>
              <w:lang w:val="en-US"/>
            </w:rPr>
          </w:pPr>
          <w:hyperlink w:anchor="_Toc91766451" w:history="1">
            <w:r w:rsidR="00386A46" w:rsidRPr="00386A46">
              <w:rPr>
                <w:rStyle w:val="Hyperlink"/>
                <w:rFonts w:ascii="Arial" w:eastAsia="Calibri" w:hAnsi="Arial" w:cs="Arial"/>
                <w:noProof/>
              </w:rPr>
              <w:t>1)</w:t>
            </w:r>
            <w:r w:rsidR="00386A46" w:rsidRPr="00386A46">
              <w:rPr>
                <w:rFonts w:ascii="Arial" w:eastAsiaTheme="minorEastAsia" w:hAnsi="Arial" w:cs="Arial"/>
                <w:noProof/>
                <w:lang w:val="en-US"/>
              </w:rPr>
              <w:tab/>
            </w:r>
            <w:r w:rsidR="00386A46" w:rsidRPr="00386A46">
              <w:rPr>
                <w:rStyle w:val="Hyperlink"/>
                <w:rFonts w:ascii="Arial" w:eastAsia="Calibri" w:hAnsi="Arial" w:cs="Arial"/>
                <w:noProof/>
              </w:rPr>
              <w:t>Opis nadležnosti suda, s vizijom i izjavom o misiji. Mandat, misija i vizija</w:t>
            </w:r>
            <w:r w:rsidR="00386A46" w:rsidRPr="00386A46">
              <w:rPr>
                <w:rFonts w:ascii="Arial" w:hAnsi="Arial" w:cs="Arial"/>
                <w:noProof/>
                <w:webHidden/>
              </w:rPr>
              <w:tab/>
            </w:r>
            <w:r w:rsidR="00386A46" w:rsidRPr="00386A46">
              <w:rPr>
                <w:rFonts w:ascii="Arial" w:hAnsi="Arial" w:cs="Arial"/>
                <w:noProof/>
                <w:webHidden/>
              </w:rPr>
              <w:fldChar w:fldCharType="begin"/>
            </w:r>
            <w:r w:rsidR="00386A46" w:rsidRPr="00386A46">
              <w:rPr>
                <w:rFonts w:ascii="Arial" w:hAnsi="Arial" w:cs="Arial"/>
                <w:noProof/>
                <w:webHidden/>
              </w:rPr>
              <w:instrText xml:space="preserve"> PAGEREF _Toc91766451 \h </w:instrText>
            </w:r>
            <w:r w:rsidR="00386A46" w:rsidRPr="00386A46">
              <w:rPr>
                <w:rFonts w:ascii="Arial" w:hAnsi="Arial" w:cs="Arial"/>
                <w:noProof/>
                <w:webHidden/>
              </w:rPr>
            </w:r>
            <w:r w:rsidR="00386A46" w:rsidRPr="00386A4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6075B">
              <w:rPr>
                <w:rFonts w:ascii="Arial" w:hAnsi="Arial" w:cs="Arial"/>
                <w:noProof/>
                <w:webHidden/>
              </w:rPr>
              <w:t>3</w:t>
            </w:r>
            <w:r w:rsidR="00386A46" w:rsidRPr="00386A4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D085903" w14:textId="7D1FB0CC" w:rsidR="00386A46" w:rsidRPr="00386A46" w:rsidRDefault="0043424E">
          <w:pPr>
            <w:pStyle w:val="TOC1"/>
            <w:rPr>
              <w:rFonts w:ascii="Arial" w:eastAsiaTheme="minorEastAsia" w:hAnsi="Arial" w:cs="Arial"/>
              <w:noProof/>
              <w:lang w:val="en-US"/>
            </w:rPr>
          </w:pPr>
          <w:hyperlink w:anchor="_Toc91766452" w:history="1">
            <w:r w:rsidR="00386A46" w:rsidRPr="00386A46">
              <w:rPr>
                <w:rStyle w:val="Hyperlink"/>
                <w:rFonts w:ascii="Arial" w:hAnsi="Arial" w:cs="Arial"/>
                <w:noProof/>
              </w:rPr>
              <w:t>2)</w:t>
            </w:r>
            <w:r w:rsidR="00386A46" w:rsidRPr="00386A46">
              <w:rPr>
                <w:rFonts w:ascii="Arial" w:eastAsiaTheme="minorEastAsia" w:hAnsi="Arial" w:cs="Arial"/>
                <w:noProof/>
                <w:lang w:val="en-US"/>
              </w:rPr>
              <w:tab/>
            </w:r>
            <w:r w:rsidR="00386A46" w:rsidRPr="00386A46">
              <w:rPr>
                <w:rStyle w:val="Hyperlink"/>
                <w:rFonts w:ascii="Arial" w:eastAsia="Calibri" w:hAnsi="Arial" w:cs="Arial"/>
                <w:noProof/>
              </w:rPr>
              <w:t>Sažetak analize strateškog okvira</w:t>
            </w:r>
            <w:r w:rsidR="00386A46" w:rsidRPr="00386A46">
              <w:rPr>
                <w:rFonts w:ascii="Arial" w:hAnsi="Arial" w:cs="Arial"/>
                <w:noProof/>
                <w:webHidden/>
              </w:rPr>
              <w:tab/>
            </w:r>
            <w:r w:rsidR="00386A46" w:rsidRPr="00386A46">
              <w:rPr>
                <w:rFonts w:ascii="Arial" w:hAnsi="Arial" w:cs="Arial"/>
                <w:noProof/>
                <w:webHidden/>
              </w:rPr>
              <w:fldChar w:fldCharType="begin"/>
            </w:r>
            <w:r w:rsidR="00386A46" w:rsidRPr="00386A46">
              <w:rPr>
                <w:rFonts w:ascii="Arial" w:hAnsi="Arial" w:cs="Arial"/>
                <w:noProof/>
                <w:webHidden/>
              </w:rPr>
              <w:instrText xml:space="preserve"> PAGEREF _Toc91766452 \h </w:instrText>
            </w:r>
            <w:r w:rsidR="00386A46" w:rsidRPr="00386A46">
              <w:rPr>
                <w:rFonts w:ascii="Arial" w:hAnsi="Arial" w:cs="Arial"/>
                <w:noProof/>
                <w:webHidden/>
              </w:rPr>
            </w:r>
            <w:r w:rsidR="00386A46" w:rsidRPr="00386A4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6075B">
              <w:rPr>
                <w:rFonts w:ascii="Arial" w:hAnsi="Arial" w:cs="Arial"/>
                <w:noProof/>
                <w:webHidden/>
              </w:rPr>
              <w:t>4</w:t>
            </w:r>
            <w:r w:rsidR="00386A46" w:rsidRPr="00386A4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44B9439" w14:textId="75D9AA4C" w:rsidR="00386A46" w:rsidRPr="00386A46" w:rsidRDefault="0043424E">
          <w:pPr>
            <w:pStyle w:val="TOC1"/>
            <w:rPr>
              <w:rFonts w:ascii="Arial" w:eastAsiaTheme="minorEastAsia" w:hAnsi="Arial" w:cs="Arial"/>
              <w:noProof/>
              <w:lang w:val="en-US"/>
            </w:rPr>
          </w:pPr>
          <w:hyperlink w:anchor="_Toc91766453" w:history="1">
            <w:r w:rsidR="00386A46" w:rsidRPr="00386A46">
              <w:rPr>
                <w:rStyle w:val="Hyperlink"/>
                <w:rFonts w:ascii="Arial" w:hAnsi="Arial" w:cs="Arial"/>
                <w:noProof/>
              </w:rPr>
              <w:t>3)</w:t>
            </w:r>
            <w:r w:rsidR="00386A46" w:rsidRPr="00386A46">
              <w:rPr>
                <w:rFonts w:ascii="Arial" w:eastAsiaTheme="minorEastAsia" w:hAnsi="Arial" w:cs="Arial"/>
                <w:noProof/>
                <w:lang w:val="en-US"/>
              </w:rPr>
              <w:tab/>
            </w:r>
            <w:r w:rsidR="00386A46" w:rsidRPr="00386A46">
              <w:rPr>
                <w:rStyle w:val="Hyperlink"/>
                <w:rFonts w:ascii="Arial" w:hAnsi="Arial" w:cs="Arial"/>
                <w:noProof/>
              </w:rPr>
              <w:t>Pregled strateških / trogodišnjih</w:t>
            </w:r>
            <w:r w:rsidR="00386A46" w:rsidRPr="00386A46">
              <w:rPr>
                <w:rStyle w:val="Hyperlink"/>
                <w:rFonts w:ascii="Arial" w:eastAsia="Calibri" w:hAnsi="Arial" w:cs="Arial"/>
                <w:noProof/>
              </w:rPr>
              <w:t xml:space="preserve"> ciljeva za period strateškog planiranja</w:t>
            </w:r>
            <w:r w:rsidR="00386A46" w:rsidRPr="00386A46">
              <w:rPr>
                <w:rFonts w:ascii="Arial" w:hAnsi="Arial" w:cs="Arial"/>
                <w:noProof/>
                <w:webHidden/>
              </w:rPr>
              <w:tab/>
            </w:r>
          </w:hyperlink>
          <w:r w:rsidR="00F7202A">
            <w:rPr>
              <w:rFonts w:ascii="Arial" w:hAnsi="Arial" w:cs="Arial"/>
              <w:noProof/>
            </w:rPr>
            <w:t>5</w:t>
          </w:r>
        </w:p>
        <w:p w14:paraId="628207CD" w14:textId="617EAA6F" w:rsidR="00386A46" w:rsidRPr="00386A46" w:rsidRDefault="0043424E">
          <w:pPr>
            <w:pStyle w:val="TOC1"/>
            <w:rPr>
              <w:rFonts w:ascii="Arial" w:eastAsiaTheme="minorEastAsia" w:hAnsi="Arial" w:cs="Arial"/>
              <w:noProof/>
              <w:lang w:val="en-US"/>
            </w:rPr>
          </w:pPr>
          <w:hyperlink w:anchor="_Toc91766454" w:history="1">
            <w:r w:rsidR="00386A46" w:rsidRPr="00386A46">
              <w:rPr>
                <w:rStyle w:val="Hyperlink"/>
                <w:rFonts w:ascii="Arial" w:hAnsi="Arial" w:cs="Arial"/>
                <w:noProof/>
              </w:rPr>
              <w:t>4)</w:t>
            </w:r>
            <w:r w:rsidR="00386A46" w:rsidRPr="00386A46">
              <w:rPr>
                <w:rFonts w:ascii="Arial" w:eastAsiaTheme="minorEastAsia" w:hAnsi="Arial" w:cs="Arial"/>
                <w:noProof/>
                <w:lang w:val="en-US"/>
              </w:rPr>
              <w:tab/>
            </w:r>
            <w:r w:rsidR="00386A46" w:rsidRPr="00386A46">
              <w:rPr>
                <w:rStyle w:val="Hyperlink"/>
                <w:rFonts w:ascii="Arial" w:eastAsia="Calibri" w:hAnsi="Arial" w:cs="Arial"/>
                <w:noProof/>
              </w:rPr>
              <w:t>Sažetak prioriteta za plansku godinu, kao i procjene mogućih problema i rizika u realizaciji</w:t>
            </w:r>
            <w:r w:rsidR="00386A46" w:rsidRPr="00386A46">
              <w:rPr>
                <w:rFonts w:ascii="Arial" w:hAnsi="Arial" w:cs="Arial"/>
                <w:noProof/>
                <w:webHidden/>
              </w:rPr>
              <w:tab/>
            </w:r>
            <w:r w:rsidR="00386A46" w:rsidRPr="00386A46">
              <w:rPr>
                <w:rFonts w:ascii="Arial" w:hAnsi="Arial" w:cs="Arial"/>
                <w:noProof/>
                <w:webHidden/>
              </w:rPr>
              <w:fldChar w:fldCharType="begin"/>
            </w:r>
            <w:r w:rsidR="00386A46" w:rsidRPr="00386A46">
              <w:rPr>
                <w:rFonts w:ascii="Arial" w:hAnsi="Arial" w:cs="Arial"/>
                <w:noProof/>
                <w:webHidden/>
              </w:rPr>
              <w:instrText xml:space="preserve"> PAGEREF _Toc91766454 \h </w:instrText>
            </w:r>
            <w:r w:rsidR="00386A46" w:rsidRPr="00386A46">
              <w:rPr>
                <w:rFonts w:ascii="Arial" w:hAnsi="Arial" w:cs="Arial"/>
                <w:noProof/>
                <w:webHidden/>
              </w:rPr>
            </w:r>
            <w:r w:rsidR="00386A46" w:rsidRPr="00386A4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6075B">
              <w:rPr>
                <w:rFonts w:ascii="Arial" w:hAnsi="Arial" w:cs="Arial"/>
                <w:noProof/>
                <w:webHidden/>
              </w:rPr>
              <w:t>6</w:t>
            </w:r>
            <w:r w:rsidR="00386A46" w:rsidRPr="00386A4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1722D0C" w14:textId="266B9913" w:rsidR="00386A46" w:rsidRPr="00386A46" w:rsidRDefault="0043424E">
          <w:pPr>
            <w:pStyle w:val="TOC1"/>
            <w:rPr>
              <w:rFonts w:ascii="Arial" w:eastAsiaTheme="minorEastAsia" w:hAnsi="Arial" w:cs="Arial"/>
              <w:noProof/>
              <w:lang w:val="en-US"/>
            </w:rPr>
          </w:pPr>
          <w:hyperlink w:anchor="_Toc91766455" w:history="1">
            <w:r w:rsidR="00053C22">
              <w:rPr>
                <w:rStyle w:val="Hyperlink"/>
                <w:rFonts w:ascii="Arial" w:hAnsi="Arial" w:cs="Arial"/>
                <w:noProof/>
              </w:rPr>
              <w:t>5</w:t>
            </w:r>
            <w:r w:rsidR="00386A46" w:rsidRPr="00386A46">
              <w:rPr>
                <w:rStyle w:val="Hyperlink"/>
                <w:rFonts w:ascii="Arial" w:hAnsi="Arial" w:cs="Arial"/>
                <w:noProof/>
              </w:rPr>
              <w:t>)</w:t>
            </w:r>
            <w:r w:rsidR="00386A46" w:rsidRPr="00386A46">
              <w:rPr>
                <w:rFonts w:ascii="Arial" w:eastAsiaTheme="minorEastAsia" w:hAnsi="Arial" w:cs="Arial"/>
                <w:noProof/>
                <w:lang w:val="en-US"/>
              </w:rPr>
              <w:tab/>
            </w:r>
            <w:r w:rsidR="00386A46" w:rsidRPr="00386A46">
              <w:rPr>
                <w:rStyle w:val="Hyperlink"/>
                <w:rFonts w:ascii="Arial" w:eastAsia="Calibri" w:hAnsi="Arial" w:cs="Arial"/>
                <w:noProof/>
              </w:rPr>
              <w:t>Analiza unutarnjeg i vanjskog okruženja u kojem radi sud</w:t>
            </w:r>
            <w:r w:rsidR="00386A46" w:rsidRPr="00386A46">
              <w:rPr>
                <w:rFonts w:ascii="Arial" w:hAnsi="Arial" w:cs="Arial"/>
                <w:noProof/>
                <w:webHidden/>
              </w:rPr>
              <w:tab/>
            </w:r>
          </w:hyperlink>
          <w:r w:rsidR="00F7202A">
            <w:rPr>
              <w:rFonts w:ascii="Arial" w:hAnsi="Arial" w:cs="Arial"/>
              <w:noProof/>
            </w:rPr>
            <w:t>7</w:t>
          </w:r>
        </w:p>
        <w:p w14:paraId="0436FC94" w14:textId="40FE60BA" w:rsidR="00386A46" w:rsidRPr="00386A46" w:rsidRDefault="0043424E">
          <w:pPr>
            <w:pStyle w:val="TOC1"/>
            <w:rPr>
              <w:rFonts w:ascii="Arial" w:eastAsiaTheme="minorEastAsia" w:hAnsi="Arial" w:cs="Arial"/>
              <w:noProof/>
              <w:lang w:val="en-US"/>
            </w:rPr>
          </w:pPr>
          <w:hyperlink w:anchor="_Toc91766456" w:history="1">
            <w:r w:rsidR="00386A46" w:rsidRPr="00386A46">
              <w:rPr>
                <w:rStyle w:val="Hyperlink"/>
                <w:rFonts w:ascii="Arial" w:hAnsi="Arial" w:cs="Arial"/>
                <w:noProof/>
              </w:rPr>
              <w:t>B. Pregled ciljeva i godišnjih aktivnosti po strateškim i trogodišnjim ciljevima</w:t>
            </w:r>
            <w:r w:rsidR="00386A46" w:rsidRPr="00386A46">
              <w:rPr>
                <w:rFonts w:ascii="Arial" w:hAnsi="Arial" w:cs="Arial"/>
                <w:noProof/>
                <w:webHidden/>
              </w:rPr>
              <w:tab/>
            </w:r>
          </w:hyperlink>
          <w:r w:rsidR="00D356AA">
            <w:rPr>
              <w:rFonts w:ascii="Arial" w:hAnsi="Arial" w:cs="Arial"/>
              <w:noProof/>
            </w:rPr>
            <w:t>8</w:t>
          </w:r>
        </w:p>
        <w:p w14:paraId="4C847DBA" w14:textId="3BB93C56" w:rsidR="00386A46" w:rsidRPr="00386A46" w:rsidRDefault="0043424E">
          <w:pPr>
            <w:pStyle w:val="TOC1"/>
            <w:rPr>
              <w:rFonts w:ascii="Arial" w:eastAsiaTheme="minorEastAsia" w:hAnsi="Arial" w:cs="Arial"/>
              <w:noProof/>
              <w:lang w:val="en-US"/>
            </w:rPr>
          </w:pPr>
          <w:hyperlink w:anchor="_Toc91766457" w:history="1">
            <w:r w:rsidR="00386A46" w:rsidRPr="00386A46">
              <w:rPr>
                <w:rStyle w:val="Hyperlink"/>
                <w:rFonts w:ascii="Arial" w:hAnsi="Arial" w:cs="Arial"/>
                <w:noProof/>
              </w:rPr>
              <w:t>C.</w:t>
            </w:r>
            <w:r w:rsidR="00386A46" w:rsidRPr="00386A46">
              <w:rPr>
                <w:rFonts w:ascii="Arial" w:eastAsiaTheme="minorEastAsia" w:hAnsi="Arial" w:cs="Arial"/>
                <w:noProof/>
                <w:lang w:val="en-US"/>
              </w:rPr>
              <w:tab/>
            </w:r>
            <w:r w:rsidR="00386A46" w:rsidRPr="00386A46">
              <w:rPr>
                <w:rStyle w:val="Hyperlink"/>
                <w:rFonts w:ascii="Arial" w:hAnsi="Arial" w:cs="Arial"/>
                <w:noProof/>
              </w:rPr>
              <w:t>Godišnji plan rješavanja sudskih predmeta</w:t>
            </w:r>
            <w:r w:rsidR="00386A46" w:rsidRPr="00386A46">
              <w:rPr>
                <w:rFonts w:ascii="Arial" w:hAnsi="Arial" w:cs="Arial"/>
                <w:noProof/>
                <w:webHidden/>
              </w:rPr>
              <w:tab/>
            </w:r>
            <w:r w:rsidR="00386A46" w:rsidRPr="00386A46">
              <w:rPr>
                <w:rFonts w:ascii="Arial" w:hAnsi="Arial" w:cs="Arial"/>
                <w:noProof/>
                <w:webHidden/>
              </w:rPr>
              <w:fldChar w:fldCharType="begin"/>
            </w:r>
            <w:r w:rsidR="00386A46" w:rsidRPr="00386A46">
              <w:rPr>
                <w:rFonts w:ascii="Arial" w:hAnsi="Arial" w:cs="Arial"/>
                <w:noProof/>
                <w:webHidden/>
              </w:rPr>
              <w:instrText xml:space="preserve"> PAGEREF _Toc91766457 \h </w:instrText>
            </w:r>
            <w:r w:rsidR="00386A46" w:rsidRPr="00386A46">
              <w:rPr>
                <w:rFonts w:ascii="Arial" w:hAnsi="Arial" w:cs="Arial"/>
                <w:noProof/>
                <w:webHidden/>
              </w:rPr>
            </w:r>
            <w:r w:rsidR="00386A46" w:rsidRPr="00386A4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6075B">
              <w:rPr>
                <w:rFonts w:ascii="Arial" w:hAnsi="Arial" w:cs="Arial"/>
                <w:noProof/>
                <w:webHidden/>
              </w:rPr>
              <w:t>11</w:t>
            </w:r>
            <w:r w:rsidR="00386A46" w:rsidRPr="00386A4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1D818BF" w14:textId="2C623CC3" w:rsidR="00386A46" w:rsidRPr="00386A46" w:rsidRDefault="0043424E">
          <w:pPr>
            <w:pStyle w:val="TOC1"/>
            <w:rPr>
              <w:rFonts w:ascii="Arial" w:eastAsiaTheme="minorEastAsia" w:hAnsi="Arial" w:cs="Arial"/>
              <w:noProof/>
              <w:lang w:val="en-US"/>
            </w:rPr>
          </w:pPr>
          <w:hyperlink w:anchor="_Toc91766458" w:history="1">
            <w:r w:rsidR="00386A46" w:rsidRPr="00386A46">
              <w:rPr>
                <w:rStyle w:val="Hyperlink"/>
                <w:rFonts w:ascii="Arial" w:hAnsi="Arial" w:cs="Arial"/>
                <w:noProof/>
              </w:rPr>
              <w:t>D. Ostale informacije</w:t>
            </w:r>
            <w:r w:rsidR="00386A46" w:rsidRPr="00386A46">
              <w:rPr>
                <w:rFonts w:ascii="Arial" w:hAnsi="Arial" w:cs="Arial"/>
                <w:noProof/>
                <w:webHidden/>
              </w:rPr>
              <w:tab/>
            </w:r>
            <w:r w:rsidR="00386A46" w:rsidRPr="00386A46">
              <w:rPr>
                <w:rFonts w:ascii="Arial" w:hAnsi="Arial" w:cs="Arial"/>
                <w:noProof/>
                <w:webHidden/>
              </w:rPr>
              <w:fldChar w:fldCharType="begin"/>
            </w:r>
            <w:r w:rsidR="00386A46" w:rsidRPr="00386A46">
              <w:rPr>
                <w:rFonts w:ascii="Arial" w:hAnsi="Arial" w:cs="Arial"/>
                <w:noProof/>
                <w:webHidden/>
              </w:rPr>
              <w:instrText xml:space="preserve"> PAGEREF _Toc91766458 \h </w:instrText>
            </w:r>
            <w:r w:rsidR="00386A46" w:rsidRPr="00386A46">
              <w:rPr>
                <w:rFonts w:ascii="Arial" w:hAnsi="Arial" w:cs="Arial"/>
                <w:noProof/>
                <w:webHidden/>
              </w:rPr>
            </w:r>
            <w:r w:rsidR="00386A46" w:rsidRPr="00386A4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6075B">
              <w:rPr>
                <w:rFonts w:ascii="Arial" w:hAnsi="Arial" w:cs="Arial"/>
                <w:noProof/>
                <w:webHidden/>
              </w:rPr>
              <w:t>11</w:t>
            </w:r>
            <w:r w:rsidR="00386A46" w:rsidRPr="00386A4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81B8AC5" w14:textId="494A9581" w:rsidR="00850FF6" w:rsidRPr="000D7707" w:rsidRDefault="00850FF6" w:rsidP="004B6F87">
          <w:pPr>
            <w:ind w:left="0"/>
            <w:rPr>
              <w:rFonts w:ascii="Arial" w:hAnsi="Arial" w:cs="Arial"/>
              <w:w w:val="95"/>
              <w:sz w:val="24"/>
              <w:szCs w:val="24"/>
              <w:lang w:val="hr-HR"/>
            </w:rPr>
          </w:pPr>
          <w:r w:rsidRPr="00386A46">
            <w:rPr>
              <w:rFonts w:ascii="Arial" w:hAnsi="Arial" w:cs="Arial"/>
              <w:b/>
              <w:bCs/>
              <w:noProof/>
              <w:w w:val="95"/>
              <w:lang w:val="hr-HR"/>
            </w:rPr>
            <w:fldChar w:fldCharType="end"/>
          </w:r>
        </w:p>
      </w:sdtContent>
    </w:sdt>
    <w:p w14:paraId="73A76AA0" w14:textId="77777777" w:rsidR="00850FF6" w:rsidRPr="003E7538" w:rsidRDefault="00850FF6" w:rsidP="009701D8">
      <w:pPr>
        <w:spacing w:before="40" w:line="276" w:lineRule="auto"/>
        <w:ind w:left="0"/>
        <w:jc w:val="both"/>
        <w:rPr>
          <w:rFonts w:ascii="Arial" w:hAnsi="Arial" w:cs="Arial"/>
          <w:w w:val="95"/>
          <w:sz w:val="24"/>
          <w:szCs w:val="24"/>
          <w:lang w:val="hr-HR"/>
        </w:rPr>
      </w:pPr>
    </w:p>
    <w:p w14:paraId="78B26BC4" w14:textId="77777777" w:rsidR="009D17E7" w:rsidRPr="009336F9" w:rsidRDefault="009D17E7" w:rsidP="004B6F87">
      <w:pPr>
        <w:ind w:left="0"/>
        <w:rPr>
          <w:rFonts w:ascii="Arial" w:eastAsia="Times New Roman" w:hAnsi="Arial" w:cs="Arial"/>
          <w:w w:val="95"/>
          <w:sz w:val="24"/>
          <w:szCs w:val="24"/>
          <w:lang w:val="hr-HR"/>
        </w:rPr>
      </w:pPr>
      <w:bookmarkStart w:id="9" w:name="_Toc29479784"/>
      <w:bookmarkStart w:id="10" w:name="_Toc39666946"/>
      <w:r w:rsidRPr="009336F9">
        <w:rPr>
          <w:rFonts w:ascii="Arial" w:eastAsia="Times New Roman" w:hAnsi="Arial" w:cs="Arial"/>
          <w:w w:val="95"/>
          <w:sz w:val="24"/>
          <w:szCs w:val="24"/>
          <w:lang w:val="hr-HR"/>
        </w:rPr>
        <w:br w:type="page"/>
      </w:r>
    </w:p>
    <w:p w14:paraId="6FDD30EA" w14:textId="57E20652" w:rsidR="00850FF6" w:rsidRPr="009336F9" w:rsidRDefault="009336F9" w:rsidP="00A222AE">
      <w:pPr>
        <w:pStyle w:val="Heading1"/>
      </w:pPr>
      <w:bookmarkStart w:id="11" w:name="_Toc91766450"/>
      <w:r w:rsidRPr="009336F9">
        <w:lastRenderedPageBreak/>
        <w:t xml:space="preserve">A. </w:t>
      </w:r>
      <w:r w:rsidRPr="009336F9">
        <w:tab/>
      </w:r>
      <w:r w:rsidR="00850FF6" w:rsidRPr="009336F9">
        <w:t>Uvod</w:t>
      </w:r>
      <w:bookmarkEnd w:id="9"/>
      <w:bookmarkEnd w:id="10"/>
      <w:bookmarkEnd w:id="11"/>
    </w:p>
    <w:p w14:paraId="095E41DE" w14:textId="1869FDD9" w:rsidR="00AD0011" w:rsidRPr="00FA5D68" w:rsidRDefault="00AD0011" w:rsidP="00AD0011">
      <w:pPr>
        <w:keepNext/>
        <w:keepLines/>
        <w:spacing w:before="40"/>
        <w:ind w:left="0" w:firstLine="696"/>
        <w:jc w:val="both"/>
        <w:outlineLvl w:val="2"/>
        <w:rPr>
          <w:rFonts w:ascii="Arial" w:eastAsia="Times New Roman" w:hAnsi="Arial" w:cs="Arial"/>
          <w:w w:val="95"/>
          <w:sz w:val="24"/>
          <w:szCs w:val="24"/>
          <w:lang w:val="bs-Latn-BA"/>
        </w:rPr>
      </w:pPr>
      <w:bookmarkStart w:id="12" w:name="_Toc68028681"/>
      <w:bookmarkStart w:id="13" w:name="_Toc68028828"/>
      <w:r w:rsidRPr="00FA5D68">
        <w:rPr>
          <w:rFonts w:ascii="Arial" w:eastAsia="Times New Roman" w:hAnsi="Arial" w:cs="Arial"/>
          <w:w w:val="95"/>
          <w:sz w:val="24"/>
          <w:szCs w:val="24"/>
          <w:lang w:val="bs-Latn-BA"/>
        </w:rPr>
        <w:t>Program rada Kantonalnog suda u Goraždu za 2022. godinu predviđa realizaciju zadataka i poslova koji proizilaze iz nadležnosti ustanovljene Ustavom BiH, Ustavom FBiH, Zakonom o sudovima u FBiH, Zakonom o VSTV BiH te drugim zakonskim i podzakonskim propisima kojima se reguliše nadležnost sudova</w:t>
      </w:r>
      <w:r w:rsidR="00DC72F4">
        <w:rPr>
          <w:rFonts w:ascii="Arial" w:eastAsia="Times New Roman" w:hAnsi="Arial" w:cs="Arial"/>
          <w:w w:val="95"/>
          <w:sz w:val="24"/>
          <w:szCs w:val="24"/>
          <w:lang w:val="bs-Latn-BA"/>
        </w:rPr>
        <w:t>,</w:t>
      </w:r>
      <w:bookmarkStart w:id="14" w:name="_Toc68028682"/>
      <w:bookmarkStart w:id="15" w:name="_Toc68028829"/>
      <w:bookmarkEnd w:id="12"/>
      <w:bookmarkEnd w:id="13"/>
      <w:r w:rsidRPr="00FA5D68">
        <w:rPr>
          <w:rFonts w:ascii="Arial" w:eastAsia="Times New Roman" w:hAnsi="Arial" w:cs="Arial"/>
          <w:w w:val="95"/>
          <w:sz w:val="24"/>
          <w:szCs w:val="24"/>
          <w:lang w:val="bs-Latn-BA"/>
        </w:rPr>
        <w:t xml:space="preserve"> osiguravaju se uslovi za blagovremeno, efikasno i kvalitetno obavljanje poslova iz utvrđene nadležnosti suda.</w:t>
      </w:r>
      <w:bookmarkEnd w:id="14"/>
      <w:bookmarkEnd w:id="15"/>
      <w:r w:rsidRPr="00FA5D68">
        <w:rPr>
          <w:rFonts w:ascii="Arial" w:eastAsia="Times New Roman" w:hAnsi="Arial" w:cs="Arial"/>
          <w:w w:val="95"/>
          <w:sz w:val="24"/>
          <w:szCs w:val="24"/>
          <w:lang w:val="bs-Latn-BA"/>
        </w:rPr>
        <w:t xml:space="preserve"> </w:t>
      </w:r>
    </w:p>
    <w:p w14:paraId="6E2AF4AD" w14:textId="77777777" w:rsidR="00DC72F4" w:rsidRDefault="00DC72F4" w:rsidP="00AD0011">
      <w:pPr>
        <w:keepNext/>
        <w:keepLines/>
        <w:spacing w:before="40"/>
        <w:ind w:left="0" w:firstLine="696"/>
        <w:jc w:val="both"/>
        <w:outlineLvl w:val="2"/>
        <w:rPr>
          <w:rFonts w:ascii="Arial" w:eastAsia="Times New Roman" w:hAnsi="Arial" w:cs="Arial"/>
          <w:w w:val="95"/>
          <w:sz w:val="24"/>
          <w:szCs w:val="24"/>
          <w:lang w:val="bs-Latn-BA"/>
        </w:rPr>
      </w:pPr>
      <w:bookmarkStart w:id="16" w:name="_Toc68028683"/>
      <w:bookmarkStart w:id="17" w:name="_Toc68028830"/>
    </w:p>
    <w:p w14:paraId="105C5454" w14:textId="77777777" w:rsidR="00DC72F4" w:rsidRDefault="00AD0011" w:rsidP="00DC72F4">
      <w:pPr>
        <w:keepNext/>
        <w:keepLines/>
        <w:spacing w:before="40"/>
        <w:ind w:left="0" w:firstLine="696"/>
        <w:jc w:val="both"/>
        <w:outlineLvl w:val="2"/>
        <w:rPr>
          <w:rFonts w:ascii="Arial" w:eastAsia="Times New Roman" w:hAnsi="Arial" w:cs="Arial"/>
          <w:w w:val="95"/>
          <w:sz w:val="24"/>
          <w:szCs w:val="24"/>
          <w:lang w:val="bs-Latn-BA"/>
        </w:rPr>
      </w:pPr>
      <w:r w:rsidRPr="00FA5D68">
        <w:rPr>
          <w:rFonts w:ascii="Arial" w:eastAsia="Times New Roman" w:hAnsi="Arial" w:cs="Arial"/>
          <w:w w:val="95"/>
          <w:sz w:val="24"/>
          <w:szCs w:val="24"/>
          <w:lang w:val="bs-Latn-BA"/>
        </w:rPr>
        <w:t>Strateški cilj ovog suda je dalje jačati i održavati neovisnost, odgovornost, efikasnost i profesionalnost  a koji cilj je  utvrđen Strategijom za reformu sektora pravde za pravosuđe u BiH</w:t>
      </w:r>
      <w:bookmarkStart w:id="18" w:name="_Toc68028687"/>
      <w:bookmarkStart w:id="19" w:name="_Toc68028834"/>
      <w:bookmarkEnd w:id="16"/>
      <w:bookmarkEnd w:id="17"/>
      <w:r w:rsidR="00DC72F4">
        <w:rPr>
          <w:rFonts w:ascii="Arial" w:eastAsia="Times New Roman" w:hAnsi="Arial" w:cs="Arial"/>
          <w:w w:val="95"/>
          <w:sz w:val="24"/>
          <w:szCs w:val="24"/>
          <w:lang w:val="bs-Latn-BA"/>
        </w:rPr>
        <w:t>.</w:t>
      </w:r>
    </w:p>
    <w:p w14:paraId="27F75D50" w14:textId="2477509D" w:rsidR="00DC72F4" w:rsidRPr="00FA5D68" w:rsidRDefault="00DC72F4" w:rsidP="00DC72F4">
      <w:pPr>
        <w:keepNext/>
        <w:keepLines/>
        <w:spacing w:before="40"/>
        <w:ind w:left="0" w:firstLine="696"/>
        <w:jc w:val="both"/>
        <w:outlineLvl w:val="2"/>
        <w:rPr>
          <w:rFonts w:ascii="Arial" w:eastAsia="Times New Roman" w:hAnsi="Arial" w:cs="Arial"/>
          <w:w w:val="95"/>
          <w:sz w:val="24"/>
          <w:szCs w:val="24"/>
          <w:lang w:val="bs-Latn-BA"/>
        </w:rPr>
      </w:pPr>
      <w:r w:rsidRPr="00DC72F4">
        <w:rPr>
          <w:rFonts w:ascii="Arial" w:eastAsia="Times New Roman" w:hAnsi="Arial" w:cs="Arial"/>
          <w:w w:val="95"/>
          <w:sz w:val="24"/>
          <w:szCs w:val="24"/>
          <w:lang w:val="bs-Latn-BA"/>
        </w:rPr>
        <w:t xml:space="preserve"> </w:t>
      </w:r>
      <w:r w:rsidRPr="00FA5D68">
        <w:rPr>
          <w:rFonts w:ascii="Arial" w:eastAsia="Times New Roman" w:hAnsi="Arial" w:cs="Arial"/>
          <w:w w:val="95"/>
          <w:sz w:val="24"/>
          <w:szCs w:val="24"/>
          <w:lang w:val="bs-Latn-BA"/>
        </w:rPr>
        <w:t>Strateškim planiranjem ovaj sud želi osigurati da ova pravosudna institucija najvećim dijelom bude orijentisana na što kvalitetnije zadovoljenje potreba građana na način što će se u okviru procesa planiranja uzeti u obzir sve informacije prikupljene iz različitih izvora vezano za kvalitet pruženih usluga u ovom sudu.</w:t>
      </w:r>
      <w:bookmarkEnd w:id="18"/>
      <w:bookmarkEnd w:id="19"/>
    </w:p>
    <w:p w14:paraId="33713ACE" w14:textId="6B308F70" w:rsidR="00AD0011" w:rsidRPr="00FA5D68" w:rsidRDefault="00AD0011" w:rsidP="00AD0011">
      <w:pPr>
        <w:keepNext/>
        <w:keepLines/>
        <w:spacing w:before="40"/>
        <w:ind w:left="0" w:firstLine="696"/>
        <w:jc w:val="both"/>
        <w:outlineLvl w:val="2"/>
        <w:rPr>
          <w:rFonts w:ascii="Arial" w:eastAsia="Times New Roman" w:hAnsi="Arial" w:cs="Arial"/>
          <w:w w:val="95"/>
          <w:sz w:val="24"/>
          <w:szCs w:val="24"/>
          <w:lang w:val="bs-Latn-BA"/>
        </w:rPr>
      </w:pPr>
    </w:p>
    <w:p w14:paraId="19E9CC07" w14:textId="77777777" w:rsidR="00AD0011" w:rsidRPr="00FA5D68" w:rsidRDefault="00AD0011" w:rsidP="00AD0011">
      <w:pPr>
        <w:keepNext/>
        <w:keepLines/>
        <w:spacing w:before="40"/>
        <w:ind w:left="0" w:firstLine="696"/>
        <w:jc w:val="both"/>
        <w:outlineLvl w:val="2"/>
        <w:rPr>
          <w:rFonts w:ascii="Arial" w:eastAsia="Times New Roman" w:hAnsi="Arial" w:cs="Arial"/>
          <w:w w:val="95"/>
          <w:sz w:val="24"/>
          <w:szCs w:val="24"/>
          <w:lang w:val="bs-Latn-BA"/>
        </w:rPr>
      </w:pPr>
      <w:bookmarkStart w:id="20" w:name="_Toc68028684"/>
      <w:bookmarkStart w:id="21" w:name="_Toc68028831"/>
      <w:r w:rsidRPr="00FA5D68">
        <w:rPr>
          <w:rFonts w:ascii="Arial" w:eastAsia="Times New Roman" w:hAnsi="Arial" w:cs="Arial"/>
          <w:w w:val="95"/>
          <w:sz w:val="24"/>
          <w:szCs w:val="24"/>
          <w:lang w:val="bs-Latn-BA"/>
        </w:rPr>
        <w:t>Pri izvršavanju postavljenih zadataka od strane uposlenih u sudu tražiće se odgovoran i profesionalan odnos prema radu i sredstvima rada u skladu sa Kodeksom sudačke etike i Etičkim kodeksom za državne službenike u F BiH primjenjiv i za namještenike. Sudije i službenici suda dužni su čuvati u tajnosti sve što u toku svog rada saznaju o učesnicima u postupku i o pravnim i činjeničnim okolnostima predmeta te su dužni čuvati kao povjerljive podatke koji nisu dostupni javnosti.</w:t>
      </w:r>
      <w:bookmarkEnd w:id="20"/>
      <w:bookmarkEnd w:id="21"/>
    </w:p>
    <w:p w14:paraId="3944DE31" w14:textId="77777777" w:rsidR="00AD0011" w:rsidRPr="00FA5D68" w:rsidRDefault="00AD0011" w:rsidP="00AD0011">
      <w:pPr>
        <w:keepNext/>
        <w:keepLines/>
        <w:spacing w:before="40"/>
        <w:ind w:left="0" w:firstLine="696"/>
        <w:jc w:val="both"/>
        <w:outlineLvl w:val="2"/>
        <w:rPr>
          <w:rFonts w:ascii="Arial" w:eastAsia="Times New Roman" w:hAnsi="Arial" w:cs="Arial"/>
          <w:w w:val="95"/>
          <w:sz w:val="24"/>
          <w:szCs w:val="24"/>
          <w:lang w:val="bs-Latn-BA"/>
        </w:rPr>
      </w:pPr>
    </w:p>
    <w:p w14:paraId="253C4439" w14:textId="3C217C6C" w:rsidR="00DC72F4" w:rsidRPr="00FA5D68" w:rsidRDefault="00AD0011" w:rsidP="00AD0011">
      <w:pPr>
        <w:keepNext/>
        <w:keepLines/>
        <w:spacing w:before="40"/>
        <w:ind w:left="0" w:firstLine="696"/>
        <w:jc w:val="both"/>
        <w:outlineLvl w:val="2"/>
        <w:rPr>
          <w:rFonts w:ascii="Arial" w:eastAsia="Times New Roman" w:hAnsi="Arial" w:cs="Arial"/>
          <w:w w:val="95"/>
          <w:sz w:val="24"/>
          <w:szCs w:val="24"/>
          <w:lang w:val="bs-Latn-BA"/>
        </w:rPr>
      </w:pPr>
      <w:bookmarkStart w:id="22" w:name="_Toc68028686"/>
      <w:bookmarkStart w:id="23" w:name="_Toc68028833"/>
      <w:r w:rsidRPr="00FA5D68">
        <w:rPr>
          <w:rFonts w:ascii="Arial" w:eastAsia="Times New Roman" w:hAnsi="Arial" w:cs="Arial"/>
          <w:w w:val="95"/>
          <w:sz w:val="24"/>
          <w:szCs w:val="24"/>
          <w:lang w:val="bs-Latn-BA"/>
        </w:rPr>
        <w:t>Uspostavljanjem internih elektronskih evidencija pravnih shvatanja, odluka ovog suda, odluka Vrhovnog suda FBiH,  odluka Ustavnog suda FBiH i Ustavnog suda BiH doprinijeće se profesionalnom usavršavanju novoimenovanih sudija u cilju ujednačavanja sudske prakse. S ciljem ujednačavanja sudske prakse i u vezi pravilne primjene zakona i zauzimanja pravnih shvatanja iniciraće se održavanje sjednica kolegija sudija a redovno će se pratiti i relevantna sudska praksa. Na planu postizanja što boljeg kvaliteta rada putem programa JU CEST FBiH nastaviće se edukacija sudija a kada je to moguće koristit će se i online edukacije.</w:t>
      </w:r>
      <w:bookmarkEnd w:id="22"/>
      <w:bookmarkEnd w:id="23"/>
    </w:p>
    <w:p w14:paraId="72435936" w14:textId="517255EA" w:rsidR="00AD0011" w:rsidRPr="00FA5D68" w:rsidRDefault="00AD0011" w:rsidP="00AD0011">
      <w:pPr>
        <w:keepNext/>
        <w:keepLines/>
        <w:spacing w:before="40"/>
        <w:ind w:left="0" w:firstLine="696"/>
        <w:jc w:val="both"/>
        <w:outlineLvl w:val="2"/>
        <w:rPr>
          <w:rFonts w:ascii="Arial" w:eastAsia="Times New Roman" w:hAnsi="Arial" w:cs="Arial"/>
          <w:w w:val="95"/>
          <w:sz w:val="24"/>
          <w:szCs w:val="24"/>
          <w:lang w:val="bs-Latn-BA"/>
        </w:rPr>
      </w:pPr>
    </w:p>
    <w:p w14:paraId="1CC25BBD" w14:textId="4DAAC851" w:rsidR="00AD0011" w:rsidRDefault="00AD0011" w:rsidP="00AD0011">
      <w:pPr>
        <w:keepNext/>
        <w:keepLines/>
        <w:spacing w:before="40"/>
        <w:ind w:left="0" w:firstLine="696"/>
        <w:jc w:val="both"/>
        <w:outlineLvl w:val="2"/>
        <w:rPr>
          <w:rFonts w:ascii="Arial" w:eastAsia="Times New Roman" w:hAnsi="Arial" w:cs="Arial"/>
          <w:b/>
          <w:w w:val="95"/>
          <w:sz w:val="24"/>
          <w:szCs w:val="24"/>
          <w:lang w:val="bs-Latn-BA"/>
        </w:rPr>
      </w:pPr>
      <w:bookmarkStart w:id="24" w:name="_Toc68028688"/>
      <w:bookmarkStart w:id="25" w:name="_Toc68028835"/>
      <w:r w:rsidRPr="00FA5D68">
        <w:rPr>
          <w:rFonts w:ascii="Arial" w:eastAsia="Times New Roman" w:hAnsi="Arial" w:cs="Arial"/>
          <w:w w:val="95"/>
          <w:sz w:val="24"/>
          <w:szCs w:val="24"/>
          <w:lang w:val="bs-Latn-BA"/>
        </w:rPr>
        <w:t>Planom će se obuhvatiti i osiguranje boljih uslova za rad sudija i ostalih uposlenika u sudu. U ovom dijelu moguće su određene poteškoće vezano za osiguranje novčanih sredstava obzirom da se nekoliko godina unazad ne poštuju zakonske odredbe vezane za usvajanje budžeta suda i u većini slučajeva ignorišu se primjedbe suda na Nacrt budžeta.</w:t>
      </w:r>
      <w:bookmarkEnd w:id="24"/>
      <w:bookmarkEnd w:id="25"/>
      <w:r w:rsidRPr="00FA5D68">
        <w:rPr>
          <w:rFonts w:ascii="Arial" w:eastAsia="Times New Roman" w:hAnsi="Arial" w:cs="Arial"/>
          <w:w w:val="95"/>
          <w:sz w:val="24"/>
          <w:szCs w:val="24"/>
          <w:lang w:val="bs-Latn-BA"/>
        </w:rPr>
        <w:t xml:space="preserve"> </w:t>
      </w:r>
      <w:r w:rsidRPr="00DC72F4">
        <w:rPr>
          <w:rFonts w:ascii="Arial" w:eastAsia="Times New Roman" w:hAnsi="Arial" w:cs="Arial"/>
          <w:w w:val="95"/>
          <w:sz w:val="24"/>
          <w:szCs w:val="24"/>
          <w:lang w:val="bs-Latn-BA"/>
        </w:rPr>
        <w:t>Sud će nastojati da ostvari što bolju saradnju sa nadležnim ministarstvom u realizaciji postavljenog cilja, a kroz redovno održavanje kontakata i organizovanje sastanaka u vezi sa realizacijom postavljenog cilja.</w:t>
      </w:r>
      <w:r w:rsidRPr="00FA5D68">
        <w:rPr>
          <w:rFonts w:ascii="Arial" w:eastAsia="Times New Roman" w:hAnsi="Arial" w:cs="Arial"/>
          <w:b/>
          <w:w w:val="95"/>
          <w:sz w:val="24"/>
          <w:szCs w:val="24"/>
          <w:lang w:val="bs-Latn-BA"/>
        </w:rPr>
        <w:t xml:space="preserve"> </w:t>
      </w:r>
    </w:p>
    <w:p w14:paraId="2BD3A8CA" w14:textId="77777777" w:rsidR="00860A75" w:rsidRDefault="00860A75" w:rsidP="00AD0011">
      <w:pPr>
        <w:keepNext/>
        <w:keepLines/>
        <w:spacing w:before="40"/>
        <w:ind w:left="0" w:firstLine="696"/>
        <w:jc w:val="both"/>
        <w:outlineLvl w:val="2"/>
        <w:rPr>
          <w:rFonts w:ascii="Arial" w:eastAsia="Times New Roman" w:hAnsi="Arial" w:cs="Arial"/>
          <w:b/>
          <w:w w:val="95"/>
          <w:sz w:val="24"/>
          <w:szCs w:val="24"/>
          <w:lang w:val="bs-Latn-BA"/>
        </w:rPr>
      </w:pPr>
    </w:p>
    <w:p w14:paraId="67462385" w14:textId="5018B727" w:rsidR="00AD0011" w:rsidRPr="00DC72F4" w:rsidRDefault="00DC72F4" w:rsidP="00AD0011">
      <w:pPr>
        <w:keepNext/>
        <w:keepLines/>
        <w:spacing w:before="40"/>
        <w:ind w:left="0" w:firstLine="696"/>
        <w:jc w:val="both"/>
        <w:outlineLvl w:val="2"/>
        <w:rPr>
          <w:rFonts w:ascii="Arial" w:eastAsia="Times New Roman" w:hAnsi="Arial" w:cs="Arial"/>
          <w:w w:val="95"/>
          <w:sz w:val="24"/>
          <w:szCs w:val="24"/>
          <w:lang w:val="bs-Latn-BA"/>
        </w:rPr>
      </w:pPr>
      <w:r w:rsidRPr="00DC72F4">
        <w:rPr>
          <w:rFonts w:ascii="Arial" w:eastAsia="Times New Roman" w:hAnsi="Arial" w:cs="Arial"/>
          <w:w w:val="95"/>
          <w:sz w:val="24"/>
          <w:szCs w:val="24"/>
          <w:lang w:val="bs-Latn-BA"/>
        </w:rPr>
        <w:t xml:space="preserve">Kao sud koji je osnovan za područje Bosansko-podrinjskog kantona </w:t>
      </w:r>
      <w:r w:rsidR="00860A75">
        <w:rPr>
          <w:rFonts w:ascii="Arial" w:eastAsia="Times New Roman" w:hAnsi="Arial" w:cs="Arial"/>
          <w:w w:val="95"/>
          <w:sz w:val="24"/>
          <w:szCs w:val="24"/>
          <w:lang w:val="bs-Latn-BA"/>
        </w:rPr>
        <w:t>G</w:t>
      </w:r>
      <w:r w:rsidRPr="00DC72F4">
        <w:rPr>
          <w:rFonts w:ascii="Arial" w:eastAsia="Times New Roman" w:hAnsi="Arial" w:cs="Arial"/>
          <w:w w:val="95"/>
          <w:sz w:val="24"/>
          <w:szCs w:val="24"/>
          <w:lang w:val="bs-Latn-BA"/>
        </w:rPr>
        <w:t>oražde i koji je otpočeo sa radom u septembru 1996.godine</w:t>
      </w:r>
      <w:r w:rsidR="00860A75">
        <w:rPr>
          <w:rFonts w:ascii="Arial" w:eastAsia="Times New Roman" w:hAnsi="Arial" w:cs="Arial"/>
          <w:w w:val="95"/>
          <w:sz w:val="24"/>
          <w:szCs w:val="24"/>
          <w:lang w:val="bs-Latn-BA"/>
        </w:rPr>
        <w:t>,</w:t>
      </w:r>
      <w:r w:rsidRPr="00DC72F4">
        <w:rPr>
          <w:rFonts w:ascii="Arial" w:eastAsia="Times New Roman" w:hAnsi="Arial" w:cs="Arial"/>
          <w:w w:val="95"/>
          <w:sz w:val="24"/>
          <w:szCs w:val="24"/>
          <w:lang w:val="bs-Latn-BA"/>
        </w:rPr>
        <w:t xml:space="preserve"> strateške ciljeve ostvariće </w:t>
      </w:r>
      <w:r>
        <w:rPr>
          <w:rFonts w:ascii="Arial" w:eastAsia="Times New Roman" w:hAnsi="Arial" w:cs="Arial"/>
          <w:w w:val="95"/>
          <w:sz w:val="24"/>
          <w:szCs w:val="24"/>
          <w:lang w:val="bs-Latn-BA"/>
        </w:rPr>
        <w:t>angažovanjem svih zaposlenih iz organizacionih jedinica : organizaci</w:t>
      </w:r>
      <w:r w:rsidR="002E0B58">
        <w:rPr>
          <w:rFonts w:ascii="Arial" w:eastAsia="Times New Roman" w:hAnsi="Arial" w:cs="Arial"/>
          <w:w w:val="95"/>
          <w:sz w:val="24"/>
          <w:szCs w:val="24"/>
          <w:lang w:val="bs-Latn-BA"/>
        </w:rPr>
        <w:t>o</w:t>
      </w:r>
      <w:r>
        <w:rPr>
          <w:rFonts w:ascii="Arial" w:eastAsia="Times New Roman" w:hAnsi="Arial" w:cs="Arial"/>
          <w:w w:val="95"/>
          <w:sz w:val="24"/>
          <w:szCs w:val="24"/>
          <w:lang w:val="bs-Latn-BA"/>
        </w:rPr>
        <w:t>na jedinica sudija i organizaciona jedinica</w:t>
      </w:r>
      <w:r w:rsidRPr="00DC72F4">
        <w:rPr>
          <w:rFonts w:ascii="Arial" w:eastAsia="Times New Roman" w:hAnsi="Arial" w:cs="Arial"/>
          <w:w w:val="95"/>
          <w:sz w:val="24"/>
          <w:szCs w:val="24"/>
          <w:lang w:val="bs-Latn-BA"/>
        </w:rPr>
        <w:t xml:space="preserve"> dopunskih poslova osnovne djelatnosti  i poslova pomoćne djelatnosti</w:t>
      </w:r>
      <w:r w:rsidR="00860A75">
        <w:rPr>
          <w:rFonts w:ascii="Arial" w:eastAsia="Times New Roman" w:hAnsi="Arial" w:cs="Arial"/>
          <w:w w:val="95"/>
          <w:sz w:val="24"/>
          <w:szCs w:val="24"/>
          <w:lang w:val="bs-Latn-BA"/>
        </w:rPr>
        <w:t xml:space="preserve"> iz člana 4. Pravilnika o unutrašnjoj organizaciji Kantonalnog suda u Goraždu.</w:t>
      </w:r>
    </w:p>
    <w:p w14:paraId="08CD988F" w14:textId="77777777" w:rsidR="00AD0011" w:rsidRPr="00FA5D68" w:rsidRDefault="00AD0011" w:rsidP="00AD0011">
      <w:pPr>
        <w:ind w:left="0"/>
        <w:rPr>
          <w:rFonts w:ascii="Arial" w:hAnsi="Arial" w:cs="Arial"/>
          <w:sz w:val="24"/>
          <w:szCs w:val="24"/>
          <w:lang w:val="bs-Latn-BA"/>
        </w:rPr>
      </w:pPr>
    </w:p>
    <w:p w14:paraId="5262675C" w14:textId="77777777" w:rsidR="00AD0011" w:rsidRPr="00FA5D68" w:rsidRDefault="00AD0011" w:rsidP="00AD0011">
      <w:pPr>
        <w:rPr>
          <w:rFonts w:ascii="Arial" w:hAnsi="Arial" w:cs="Arial"/>
          <w:sz w:val="24"/>
          <w:szCs w:val="24"/>
          <w:lang w:val="bs-Latn-BA"/>
        </w:rPr>
      </w:pPr>
    </w:p>
    <w:p w14:paraId="24242438" w14:textId="2C5259F7" w:rsidR="00AD0011" w:rsidRDefault="00AD0011" w:rsidP="00AD0011">
      <w:pPr>
        <w:rPr>
          <w:rFonts w:ascii="Arial" w:hAnsi="Arial" w:cs="Arial"/>
          <w:sz w:val="24"/>
          <w:szCs w:val="24"/>
          <w:lang w:val="bs-Latn-BA"/>
        </w:rPr>
      </w:pPr>
    </w:p>
    <w:p w14:paraId="58DE02E4" w14:textId="4712024D" w:rsidR="00DC72F4" w:rsidRPr="00FA5D68" w:rsidRDefault="00DC72F4" w:rsidP="00AD0011">
      <w:pPr>
        <w:rPr>
          <w:rFonts w:ascii="Arial" w:hAnsi="Arial" w:cs="Arial"/>
          <w:sz w:val="24"/>
          <w:szCs w:val="24"/>
          <w:lang w:val="bs-Latn-BA"/>
        </w:rPr>
      </w:pPr>
    </w:p>
    <w:p w14:paraId="7D523EA5" w14:textId="77777777" w:rsidR="00AD0011" w:rsidRPr="0027571B" w:rsidRDefault="00AD0011" w:rsidP="00AD0011">
      <w:pPr>
        <w:pStyle w:val="Heading1"/>
        <w:rPr>
          <w:rFonts w:eastAsia="Calibri"/>
        </w:rPr>
      </w:pPr>
      <w:bookmarkStart w:id="26" w:name="_Toc91766451"/>
      <w:r>
        <w:rPr>
          <w:rFonts w:eastAsia="Calibri"/>
        </w:rPr>
        <w:lastRenderedPageBreak/>
        <w:t>1)</w:t>
      </w:r>
      <w:r>
        <w:rPr>
          <w:rFonts w:eastAsia="Calibri"/>
        </w:rPr>
        <w:tab/>
      </w:r>
      <w:bookmarkStart w:id="27" w:name="_GoBack"/>
      <w:r w:rsidRPr="00A90E77">
        <w:rPr>
          <w:rFonts w:eastAsia="Calibri"/>
        </w:rPr>
        <w:t>Opis</w:t>
      </w:r>
      <w:r w:rsidRPr="009336F9">
        <w:rPr>
          <w:rFonts w:eastAsia="Calibri"/>
        </w:rPr>
        <w:t xml:space="preserve"> nadležnosti suda, s vizijom i izjavom o misiji. Mandat, misija i vizija</w:t>
      </w:r>
      <w:bookmarkEnd w:id="26"/>
    </w:p>
    <w:bookmarkEnd w:id="27"/>
    <w:p w14:paraId="573A4A8F" w14:textId="77777777" w:rsidR="00AD0011" w:rsidRDefault="00AD0011" w:rsidP="00AD0011">
      <w:pPr>
        <w:pStyle w:val="ListParagraph"/>
        <w:shd w:val="clear" w:color="auto" w:fill="FFFFFF"/>
        <w:spacing w:line="276" w:lineRule="auto"/>
        <w:ind w:left="142" w:right="146"/>
        <w:jc w:val="both"/>
        <w:outlineLvl w:val="1"/>
        <w:rPr>
          <w:rFonts w:ascii="Arial" w:eastAsia="Times New Roman" w:hAnsi="Arial" w:cs="Arial"/>
          <w:w w:val="95"/>
          <w:sz w:val="24"/>
          <w:szCs w:val="24"/>
          <w:lang w:val="bs-Latn-BA"/>
        </w:rPr>
      </w:pPr>
      <w:r w:rsidRPr="00F17AF0">
        <w:rPr>
          <w:rFonts w:ascii="Arial" w:hAnsi="Arial" w:cs="Arial"/>
          <w:b/>
          <w:bCs/>
          <w:color w:val="0070C0"/>
          <w:w w:val="95"/>
          <w:sz w:val="24"/>
          <w:szCs w:val="24"/>
          <w:u w:val="single"/>
          <w:lang w:val="hr-HR"/>
        </w:rPr>
        <w:t>MANDAT:</w:t>
      </w:r>
      <w:bookmarkStart w:id="28" w:name="_Toc68028690"/>
      <w:bookmarkStart w:id="29" w:name="_Toc68028837"/>
      <w:r w:rsidRPr="0027571B">
        <w:rPr>
          <w:rFonts w:ascii="Arial" w:eastAsia="Times New Roman" w:hAnsi="Arial" w:cs="Arial"/>
          <w:w w:val="95"/>
          <w:sz w:val="24"/>
          <w:szCs w:val="24"/>
          <w:lang w:val="bs-Latn-BA"/>
        </w:rPr>
        <w:t xml:space="preserve"> </w:t>
      </w:r>
    </w:p>
    <w:p w14:paraId="724B2B49" w14:textId="77777777" w:rsidR="00AD0011" w:rsidRPr="00FA5D68" w:rsidRDefault="00AD0011" w:rsidP="00AD0011">
      <w:pPr>
        <w:pStyle w:val="ListParagraph"/>
        <w:shd w:val="clear" w:color="auto" w:fill="FFFFFF"/>
        <w:spacing w:line="276" w:lineRule="auto"/>
        <w:ind w:left="142" w:right="146"/>
        <w:jc w:val="both"/>
        <w:outlineLvl w:val="1"/>
        <w:rPr>
          <w:rFonts w:ascii="Arial" w:eastAsia="Times New Roman" w:hAnsi="Arial" w:cs="Arial"/>
          <w:w w:val="95"/>
          <w:sz w:val="24"/>
          <w:szCs w:val="24"/>
          <w:lang w:val="bs-Latn-BA"/>
        </w:rPr>
      </w:pPr>
      <w:r w:rsidRPr="00FA5D68">
        <w:rPr>
          <w:rFonts w:ascii="Arial" w:eastAsia="Times New Roman" w:hAnsi="Arial" w:cs="Arial"/>
          <w:w w:val="95"/>
          <w:sz w:val="24"/>
          <w:szCs w:val="24"/>
          <w:lang w:val="bs-Latn-BA"/>
        </w:rPr>
        <w:t>Mandat Kantonalnog suda u Goraždu je definiran  odredbama člana 17. te člana 25. stav 1. tačka 5. Zakona o sudovima u FBiH („Službene novine F BiH“ broj: 38/05-52/14). Stvarna nadležnost ovog suda propisana je članom 28. istog zakona a obuhvata slijedeće:</w:t>
      </w:r>
      <w:bookmarkEnd w:id="28"/>
      <w:bookmarkEnd w:id="29"/>
    </w:p>
    <w:p w14:paraId="48C87978" w14:textId="77777777" w:rsidR="00AD0011" w:rsidRPr="00FA5D68" w:rsidRDefault="00AD0011" w:rsidP="00AD0011">
      <w:pPr>
        <w:pStyle w:val="ListParagraph"/>
        <w:keepNext/>
        <w:keepLines/>
        <w:numPr>
          <w:ilvl w:val="0"/>
          <w:numId w:val="36"/>
        </w:numPr>
        <w:spacing w:before="40"/>
        <w:ind w:left="851"/>
        <w:jc w:val="both"/>
        <w:outlineLvl w:val="2"/>
        <w:rPr>
          <w:rFonts w:ascii="Arial" w:eastAsia="Times New Roman" w:hAnsi="Arial" w:cs="Arial"/>
          <w:w w:val="95"/>
          <w:sz w:val="24"/>
          <w:szCs w:val="24"/>
          <w:lang w:val="bs-Latn-BA"/>
        </w:rPr>
      </w:pPr>
      <w:bookmarkStart w:id="30" w:name="_Toc68028691"/>
      <w:bookmarkStart w:id="31" w:name="_Toc68028838"/>
      <w:r w:rsidRPr="00FA5D68">
        <w:rPr>
          <w:rFonts w:ascii="Arial" w:eastAsia="Times New Roman" w:hAnsi="Arial" w:cs="Arial"/>
          <w:w w:val="95"/>
          <w:sz w:val="24"/>
          <w:szCs w:val="24"/>
          <w:lang w:val="bs-Latn-BA"/>
        </w:rPr>
        <w:t>Prvostepena nadležnost:</w:t>
      </w:r>
      <w:bookmarkEnd w:id="30"/>
      <w:bookmarkEnd w:id="31"/>
    </w:p>
    <w:p w14:paraId="4DE8C470" w14:textId="3F504359" w:rsidR="00AD0011" w:rsidRPr="00FA5D68" w:rsidRDefault="00AD0011" w:rsidP="00AD0011">
      <w:pPr>
        <w:pStyle w:val="ListParagraph"/>
        <w:keepNext/>
        <w:keepLines/>
        <w:numPr>
          <w:ilvl w:val="0"/>
          <w:numId w:val="37"/>
        </w:numPr>
        <w:spacing w:before="40"/>
        <w:ind w:left="1418"/>
        <w:jc w:val="both"/>
        <w:outlineLvl w:val="2"/>
        <w:rPr>
          <w:rFonts w:ascii="Arial" w:eastAsia="Times New Roman" w:hAnsi="Arial" w:cs="Arial"/>
          <w:w w:val="95"/>
          <w:sz w:val="24"/>
          <w:szCs w:val="24"/>
          <w:lang w:val="bs-Latn-BA"/>
        </w:rPr>
      </w:pPr>
      <w:bookmarkStart w:id="32" w:name="_Toc68028692"/>
      <w:bookmarkStart w:id="33" w:name="_Toc68028839"/>
      <w:r w:rsidRPr="00FA5D68">
        <w:rPr>
          <w:rFonts w:ascii="Arial" w:eastAsia="Times New Roman" w:hAnsi="Arial" w:cs="Arial"/>
          <w:w w:val="95"/>
          <w:sz w:val="24"/>
          <w:szCs w:val="24"/>
          <w:lang w:val="bs-Latn-BA"/>
        </w:rPr>
        <w:t>da sudi za krivična djela za koja je zakonom propisana kazna zatvora više od 10 godina ili dugotrajni zatvor, ako zakonom nije određena nadležnost drugog suda</w:t>
      </w:r>
      <w:bookmarkEnd w:id="32"/>
      <w:bookmarkEnd w:id="33"/>
    </w:p>
    <w:p w14:paraId="75C4E057" w14:textId="77777777" w:rsidR="00AD0011" w:rsidRPr="00FA5D68" w:rsidRDefault="00AD0011" w:rsidP="00AD0011">
      <w:pPr>
        <w:pStyle w:val="ListParagraph"/>
        <w:keepNext/>
        <w:keepLines/>
        <w:numPr>
          <w:ilvl w:val="0"/>
          <w:numId w:val="37"/>
        </w:numPr>
        <w:spacing w:before="40"/>
        <w:ind w:left="1418"/>
        <w:jc w:val="both"/>
        <w:outlineLvl w:val="2"/>
        <w:rPr>
          <w:rFonts w:ascii="Arial" w:eastAsia="Times New Roman" w:hAnsi="Arial" w:cs="Arial"/>
          <w:w w:val="95"/>
          <w:sz w:val="24"/>
          <w:szCs w:val="24"/>
          <w:lang w:val="bs-Latn-BA"/>
        </w:rPr>
      </w:pPr>
      <w:bookmarkStart w:id="34" w:name="_Toc68028693"/>
      <w:bookmarkStart w:id="35" w:name="_Toc68028840"/>
      <w:r w:rsidRPr="00FA5D68">
        <w:rPr>
          <w:rFonts w:ascii="Arial" w:eastAsia="Times New Roman" w:hAnsi="Arial" w:cs="Arial"/>
          <w:w w:val="95"/>
          <w:sz w:val="24"/>
          <w:szCs w:val="24"/>
          <w:lang w:val="bs-Latn-BA"/>
        </w:rPr>
        <w:t>da postupa u toku istrage i nakon podizanja optužnice u skladu sa zakonom</w:t>
      </w:r>
      <w:bookmarkEnd w:id="34"/>
      <w:bookmarkEnd w:id="35"/>
    </w:p>
    <w:p w14:paraId="1CDF59C7" w14:textId="77777777" w:rsidR="00AD0011" w:rsidRPr="00FA5D68" w:rsidRDefault="00AD0011" w:rsidP="00AD0011">
      <w:pPr>
        <w:pStyle w:val="ListParagraph"/>
        <w:keepNext/>
        <w:keepLines/>
        <w:numPr>
          <w:ilvl w:val="0"/>
          <w:numId w:val="37"/>
        </w:numPr>
        <w:spacing w:before="40"/>
        <w:ind w:left="1418"/>
        <w:jc w:val="both"/>
        <w:outlineLvl w:val="2"/>
        <w:rPr>
          <w:rFonts w:ascii="Arial" w:eastAsia="Times New Roman" w:hAnsi="Arial" w:cs="Arial"/>
          <w:w w:val="95"/>
          <w:sz w:val="24"/>
          <w:szCs w:val="24"/>
          <w:lang w:val="bs-Latn-BA"/>
        </w:rPr>
      </w:pPr>
      <w:bookmarkStart w:id="36" w:name="_Toc68028694"/>
      <w:bookmarkStart w:id="37" w:name="_Toc68028841"/>
      <w:r w:rsidRPr="00FA5D68">
        <w:rPr>
          <w:rFonts w:ascii="Arial" w:eastAsia="Times New Roman" w:hAnsi="Arial" w:cs="Arial"/>
          <w:w w:val="95"/>
          <w:sz w:val="24"/>
          <w:szCs w:val="24"/>
          <w:lang w:val="bs-Latn-BA"/>
        </w:rPr>
        <w:t>da sudi za krivična djela za koja je Sud Bosne i Hercegovine prenio nadležnost na kantonalne sudove i</w:t>
      </w:r>
      <w:bookmarkEnd w:id="36"/>
      <w:bookmarkEnd w:id="37"/>
    </w:p>
    <w:p w14:paraId="3F83D79F" w14:textId="77777777" w:rsidR="00AD0011" w:rsidRPr="0027571B" w:rsidRDefault="00AD0011" w:rsidP="00AD0011">
      <w:pPr>
        <w:pStyle w:val="ListParagraph"/>
        <w:keepNext/>
        <w:keepLines/>
        <w:numPr>
          <w:ilvl w:val="0"/>
          <w:numId w:val="37"/>
        </w:numPr>
        <w:spacing w:before="40"/>
        <w:ind w:left="1418"/>
        <w:jc w:val="both"/>
        <w:outlineLvl w:val="2"/>
        <w:rPr>
          <w:rFonts w:ascii="Arial" w:eastAsia="Times New Roman" w:hAnsi="Arial" w:cs="Arial"/>
          <w:w w:val="95"/>
          <w:sz w:val="24"/>
          <w:szCs w:val="24"/>
          <w:lang w:val="bs-Latn-BA"/>
        </w:rPr>
      </w:pPr>
      <w:bookmarkStart w:id="38" w:name="_Toc68028695"/>
      <w:bookmarkStart w:id="39" w:name="_Toc68028842"/>
      <w:r w:rsidRPr="00FA5D68">
        <w:rPr>
          <w:rFonts w:ascii="Arial" w:eastAsia="Times New Roman" w:hAnsi="Arial" w:cs="Arial"/>
          <w:w w:val="95"/>
          <w:sz w:val="24"/>
          <w:szCs w:val="24"/>
          <w:lang w:val="bs-Latn-BA"/>
        </w:rPr>
        <w:t>da odlučuje u svim upravnim sporovima kao i u zahtjevima za zaštitu sloboda i prava utvrđenih ustavom ako su takve slobode i prava povrijeđeni konačnim pojedinačnim aktom ili radnjom službenog lica u organima uprave  odnosno odgovornog lica u preduzeću, ustanovi ili drugom pravnom licu kada za zaštitu tih prava nije osigurana druga sudska zaštita.</w:t>
      </w:r>
      <w:bookmarkEnd w:id="38"/>
      <w:bookmarkEnd w:id="39"/>
    </w:p>
    <w:p w14:paraId="3FF3CEAC" w14:textId="77777777" w:rsidR="00AD0011" w:rsidRPr="0027571B" w:rsidRDefault="00AD0011" w:rsidP="00AD0011">
      <w:pPr>
        <w:pStyle w:val="ListParagraph"/>
        <w:keepNext/>
        <w:keepLines/>
        <w:numPr>
          <w:ilvl w:val="0"/>
          <w:numId w:val="36"/>
        </w:numPr>
        <w:spacing w:before="40"/>
        <w:ind w:left="851"/>
        <w:jc w:val="both"/>
        <w:outlineLvl w:val="2"/>
        <w:rPr>
          <w:rFonts w:ascii="Arial" w:eastAsia="Times New Roman" w:hAnsi="Arial" w:cs="Arial"/>
          <w:w w:val="95"/>
          <w:sz w:val="24"/>
          <w:szCs w:val="24"/>
          <w:lang w:val="bs-Latn-BA"/>
        </w:rPr>
      </w:pPr>
      <w:bookmarkStart w:id="40" w:name="_Toc68028696"/>
      <w:bookmarkStart w:id="41" w:name="_Toc68028843"/>
      <w:r w:rsidRPr="00FA5D68">
        <w:rPr>
          <w:rFonts w:ascii="Arial" w:eastAsia="Times New Roman" w:hAnsi="Arial" w:cs="Arial"/>
          <w:w w:val="95"/>
          <w:sz w:val="24"/>
          <w:szCs w:val="24"/>
          <w:lang w:val="bs-Latn-BA"/>
        </w:rPr>
        <w:t>Drugostepena nadležnost:</w:t>
      </w:r>
      <w:bookmarkEnd w:id="40"/>
      <w:bookmarkEnd w:id="41"/>
    </w:p>
    <w:p w14:paraId="074C6325" w14:textId="77777777" w:rsidR="00AD0011" w:rsidRPr="00FA5D68" w:rsidRDefault="00AD0011" w:rsidP="00AD0011">
      <w:pPr>
        <w:pStyle w:val="ListParagraph"/>
        <w:keepNext/>
        <w:keepLines/>
        <w:numPr>
          <w:ilvl w:val="0"/>
          <w:numId w:val="38"/>
        </w:numPr>
        <w:spacing w:before="40"/>
        <w:ind w:left="1418"/>
        <w:jc w:val="both"/>
        <w:outlineLvl w:val="2"/>
        <w:rPr>
          <w:rFonts w:ascii="Arial" w:eastAsia="Times New Roman" w:hAnsi="Arial" w:cs="Arial"/>
          <w:w w:val="95"/>
          <w:sz w:val="24"/>
          <w:szCs w:val="24"/>
          <w:lang w:val="bs-Latn-BA"/>
        </w:rPr>
      </w:pPr>
      <w:bookmarkStart w:id="42" w:name="_Toc68028697"/>
      <w:bookmarkStart w:id="43" w:name="_Toc68028844"/>
      <w:r w:rsidRPr="00FA5D68">
        <w:rPr>
          <w:rFonts w:ascii="Arial" w:eastAsia="Times New Roman" w:hAnsi="Arial" w:cs="Arial"/>
          <w:w w:val="95"/>
          <w:sz w:val="24"/>
          <w:szCs w:val="24"/>
          <w:lang w:val="bs-Latn-BA"/>
        </w:rPr>
        <w:t>da odlučuje o žalbama protiv odluka općinskih sudova</w:t>
      </w:r>
      <w:bookmarkEnd w:id="42"/>
      <w:bookmarkEnd w:id="43"/>
    </w:p>
    <w:p w14:paraId="188440EF" w14:textId="77777777" w:rsidR="00AD0011" w:rsidRPr="00FA5D68" w:rsidRDefault="00AD0011" w:rsidP="00AD0011">
      <w:pPr>
        <w:pStyle w:val="ListParagraph"/>
        <w:keepNext/>
        <w:keepLines/>
        <w:numPr>
          <w:ilvl w:val="0"/>
          <w:numId w:val="38"/>
        </w:numPr>
        <w:spacing w:before="40"/>
        <w:ind w:left="1418"/>
        <w:jc w:val="both"/>
        <w:outlineLvl w:val="2"/>
        <w:rPr>
          <w:rFonts w:ascii="Arial" w:eastAsia="Times New Roman" w:hAnsi="Arial" w:cs="Arial"/>
          <w:w w:val="95"/>
          <w:sz w:val="24"/>
          <w:szCs w:val="24"/>
          <w:lang w:val="bs-Latn-BA"/>
        </w:rPr>
      </w:pPr>
      <w:bookmarkStart w:id="44" w:name="_Toc68028698"/>
      <w:bookmarkStart w:id="45" w:name="_Toc68028845"/>
      <w:r w:rsidRPr="00FA5D68">
        <w:rPr>
          <w:rFonts w:ascii="Arial" w:eastAsia="Times New Roman" w:hAnsi="Arial" w:cs="Arial"/>
          <w:w w:val="95"/>
          <w:sz w:val="24"/>
          <w:szCs w:val="24"/>
          <w:lang w:val="bs-Latn-BA"/>
        </w:rPr>
        <w:t>da odlučuje o žalbama izjavljenim na rješenja o prekršajima</w:t>
      </w:r>
      <w:bookmarkEnd w:id="44"/>
      <w:bookmarkEnd w:id="45"/>
    </w:p>
    <w:p w14:paraId="24BBD709" w14:textId="67D1F4AD" w:rsidR="00AD0011" w:rsidRPr="0027571B" w:rsidRDefault="00AD0011" w:rsidP="00AD0011">
      <w:pPr>
        <w:pStyle w:val="ListParagraph"/>
        <w:keepNext/>
        <w:keepLines/>
        <w:numPr>
          <w:ilvl w:val="0"/>
          <w:numId w:val="38"/>
        </w:numPr>
        <w:spacing w:before="40"/>
        <w:ind w:left="1418"/>
        <w:jc w:val="both"/>
        <w:outlineLvl w:val="2"/>
        <w:rPr>
          <w:rFonts w:ascii="Arial" w:eastAsia="Times New Roman" w:hAnsi="Arial" w:cs="Arial"/>
          <w:w w:val="95"/>
          <w:sz w:val="24"/>
          <w:szCs w:val="24"/>
          <w:lang w:val="bs-Latn-BA"/>
        </w:rPr>
      </w:pPr>
      <w:bookmarkStart w:id="46" w:name="_Toc68028699"/>
      <w:bookmarkStart w:id="47" w:name="_Toc68028846"/>
      <w:r w:rsidRPr="00FA5D68">
        <w:rPr>
          <w:rFonts w:ascii="Arial" w:eastAsia="Times New Roman" w:hAnsi="Arial" w:cs="Arial"/>
          <w:w w:val="95"/>
          <w:sz w:val="24"/>
          <w:szCs w:val="24"/>
          <w:lang w:val="bs-Latn-BA"/>
        </w:rPr>
        <w:t>da odlučuje o drugim redovnim i vanrednim pravnim lijekovima ako je to određeno zakonom</w:t>
      </w:r>
      <w:bookmarkEnd w:id="46"/>
      <w:bookmarkEnd w:id="47"/>
      <w:r w:rsidR="002E0B58">
        <w:rPr>
          <w:rFonts w:ascii="Arial" w:eastAsia="Times New Roman" w:hAnsi="Arial" w:cs="Arial"/>
          <w:w w:val="95"/>
          <w:sz w:val="24"/>
          <w:szCs w:val="24"/>
          <w:lang w:val="bs-Latn-BA"/>
        </w:rPr>
        <w:t>.</w:t>
      </w:r>
    </w:p>
    <w:p w14:paraId="55352F50" w14:textId="77777777" w:rsidR="00AD0011" w:rsidRPr="0027571B" w:rsidRDefault="00AD0011" w:rsidP="00AD0011">
      <w:pPr>
        <w:pStyle w:val="ListParagraph"/>
        <w:keepNext/>
        <w:keepLines/>
        <w:numPr>
          <w:ilvl w:val="0"/>
          <w:numId w:val="36"/>
        </w:numPr>
        <w:spacing w:before="40"/>
        <w:ind w:left="851"/>
        <w:jc w:val="both"/>
        <w:outlineLvl w:val="2"/>
        <w:rPr>
          <w:rFonts w:ascii="Arial" w:eastAsia="Times New Roman" w:hAnsi="Arial" w:cs="Arial"/>
          <w:w w:val="95"/>
          <w:sz w:val="24"/>
          <w:szCs w:val="24"/>
          <w:lang w:val="bs-Latn-BA"/>
        </w:rPr>
      </w:pPr>
      <w:bookmarkStart w:id="48" w:name="_Toc68028700"/>
      <w:bookmarkStart w:id="49" w:name="_Toc68028847"/>
      <w:r w:rsidRPr="00FA5D68">
        <w:rPr>
          <w:rFonts w:ascii="Arial" w:eastAsia="Times New Roman" w:hAnsi="Arial" w:cs="Arial"/>
          <w:w w:val="95"/>
          <w:sz w:val="24"/>
          <w:szCs w:val="24"/>
          <w:lang w:val="bs-Latn-BA"/>
        </w:rPr>
        <w:t>Ostalo:</w:t>
      </w:r>
      <w:bookmarkEnd w:id="48"/>
      <w:bookmarkEnd w:id="49"/>
    </w:p>
    <w:p w14:paraId="7464EEFE" w14:textId="77777777" w:rsidR="00AD0011" w:rsidRPr="00FA5D68" w:rsidRDefault="00AD0011" w:rsidP="00AD0011">
      <w:pPr>
        <w:pStyle w:val="ListParagraph"/>
        <w:keepNext/>
        <w:keepLines/>
        <w:numPr>
          <w:ilvl w:val="0"/>
          <w:numId w:val="39"/>
        </w:numPr>
        <w:spacing w:before="40"/>
        <w:ind w:left="1418"/>
        <w:jc w:val="both"/>
        <w:outlineLvl w:val="2"/>
        <w:rPr>
          <w:rFonts w:ascii="Arial" w:eastAsia="Times New Roman" w:hAnsi="Arial" w:cs="Arial"/>
          <w:w w:val="95"/>
          <w:sz w:val="24"/>
          <w:szCs w:val="24"/>
          <w:lang w:val="bs-Latn-BA"/>
        </w:rPr>
      </w:pPr>
      <w:bookmarkStart w:id="50" w:name="_Toc68028701"/>
      <w:bookmarkStart w:id="51" w:name="_Toc68028848"/>
      <w:r w:rsidRPr="00FA5D68">
        <w:rPr>
          <w:rFonts w:ascii="Arial" w:eastAsia="Times New Roman" w:hAnsi="Arial" w:cs="Arial"/>
          <w:w w:val="95"/>
          <w:sz w:val="24"/>
          <w:szCs w:val="24"/>
          <w:lang w:val="bs-Latn-BA"/>
        </w:rPr>
        <w:t>da rješava o sukobu mjesne nadležnosti između općinskih sudova sa područja kantona</w:t>
      </w:r>
      <w:bookmarkEnd w:id="50"/>
      <w:bookmarkEnd w:id="51"/>
    </w:p>
    <w:p w14:paraId="5F318BCB" w14:textId="77777777" w:rsidR="00AD0011" w:rsidRPr="00FA5D68" w:rsidRDefault="00AD0011" w:rsidP="00AD0011">
      <w:pPr>
        <w:pStyle w:val="ListParagraph"/>
        <w:keepNext/>
        <w:keepLines/>
        <w:numPr>
          <w:ilvl w:val="0"/>
          <w:numId w:val="39"/>
        </w:numPr>
        <w:spacing w:before="40"/>
        <w:ind w:left="1418"/>
        <w:jc w:val="both"/>
        <w:outlineLvl w:val="2"/>
        <w:rPr>
          <w:rFonts w:ascii="Arial" w:eastAsia="Times New Roman" w:hAnsi="Arial" w:cs="Arial"/>
          <w:w w:val="95"/>
          <w:sz w:val="24"/>
          <w:szCs w:val="24"/>
          <w:lang w:val="bs-Latn-BA"/>
        </w:rPr>
      </w:pPr>
      <w:r w:rsidRPr="00FA5D68">
        <w:rPr>
          <w:rFonts w:ascii="Arial" w:eastAsia="Times New Roman" w:hAnsi="Arial" w:cs="Arial"/>
          <w:w w:val="95"/>
          <w:sz w:val="24"/>
          <w:szCs w:val="24"/>
          <w:lang w:val="bs-Latn-BA"/>
        </w:rPr>
        <w:t xml:space="preserve"> </w:t>
      </w:r>
      <w:bookmarkStart w:id="52" w:name="_Toc68028702"/>
      <w:bookmarkStart w:id="53" w:name="_Toc68028849"/>
      <w:r w:rsidRPr="00FA5D68">
        <w:rPr>
          <w:rFonts w:ascii="Arial" w:eastAsia="Times New Roman" w:hAnsi="Arial" w:cs="Arial"/>
          <w:w w:val="95"/>
          <w:sz w:val="24"/>
          <w:szCs w:val="24"/>
          <w:lang w:val="bs-Latn-BA"/>
        </w:rPr>
        <w:t>da odlučuje o prijenosu mjesne nadležnosti sa jednog općinskog suda na drugi općinski sud na području kantona</w:t>
      </w:r>
      <w:bookmarkEnd w:id="52"/>
      <w:bookmarkEnd w:id="53"/>
    </w:p>
    <w:p w14:paraId="0ACCDEF7" w14:textId="77777777" w:rsidR="00AD0011" w:rsidRPr="00FA5D68" w:rsidRDefault="00AD0011" w:rsidP="00AD0011">
      <w:pPr>
        <w:pStyle w:val="ListParagraph"/>
        <w:keepNext/>
        <w:keepLines/>
        <w:numPr>
          <w:ilvl w:val="0"/>
          <w:numId w:val="39"/>
        </w:numPr>
        <w:spacing w:before="40"/>
        <w:ind w:left="1418"/>
        <w:jc w:val="both"/>
        <w:outlineLvl w:val="2"/>
        <w:rPr>
          <w:rFonts w:ascii="Arial" w:eastAsia="Times New Roman" w:hAnsi="Arial" w:cs="Arial"/>
          <w:w w:val="95"/>
          <w:sz w:val="24"/>
          <w:szCs w:val="24"/>
          <w:lang w:val="bs-Latn-BA"/>
        </w:rPr>
      </w:pPr>
      <w:bookmarkStart w:id="54" w:name="_Toc68028703"/>
      <w:bookmarkStart w:id="55" w:name="_Toc68028850"/>
      <w:r w:rsidRPr="00FA5D68">
        <w:rPr>
          <w:rFonts w:ascii="Arial" w:eastAsia="Times New Roman" w:hAnsi="Arial" w:cs="Arial"/>
          <w:w w:val="95"/>
          <w:sz w:val="24"/>
          <w:szCs w:val="24"/>
          <w:lang w:val="bs-Latn-BA"/>
        </w:rPr>
        <w:t>da odlučuje o brisanju osude i prestanku mjera sigurnosti i pravnih posljedica osude na osnovu sudske odluke</w:t>
      </w:r>
      <w:bookmarkEnd w:id="54"/>
      <w:bookmarkEnd w:id="55"/>
    </w:p>
    <w:p w14:paraId="709252A4" w14:textId="77777777" w:rsidR="00AD0011" w:rsidRPr="00FA5D68" w:rsidRDefault="00AD0011" w:rsidP="00AD0011">
      <w:pPr>
        <w:pStyle w:val="ListParagraph"/>
        <w:keepNext/>
        <w:keepLines/>
        <w:numPr>
          <w:ilvl w:val="0"/>
          <w:numId w:val="39"/>
        </w:numPr>
        <w:spacing w:before="40"/>
        <w:ind w:left="1418"/>
        <w:jc w:val="both"/>
        <w:outlineLvl w:val="2"/>
        <w:rPr>
          <w:rFonts w:ascii="Arial" w:eastAsia="Times New Roman" w:hAnsi="Arial" w:cs="Arial"/>
          <w:w w:val="95"/>
          <w:sz w:val="24"/>
          <w:szCs w:val="24"/>
          <w:lang w:val="bs-Latn-BA"/>
        </w:rPr>
      </w:pPr>
      <w:bookmarkStart w:id="56" w:name="_Toc68028704"/>
      <w:bookmarkStart w:id="57" w:name="_Toc68028851"/>
      <w:r w:rsidRPr="00FA5D68">
        <w:rPr>
          <w:rFonts w:ascii="Arial" w:eastAsia="Times New Roman" w:hAnsi="Arial" w:cs="Arial"/>
          <w:w w:val="95"/>
          <w:sz w:val="24"/>
          <w:szCs w:val="24"/>
          <w:lang w:val="bs-Latn-BA"/>
        </w:rPr>
        <w:t>da postupa po molbama za pomilovanje u skladu sa zakonom</w:t>
      </w:r>
      <w:bookmarkEnd w:id="56"/>
      <w:bookmarkEnd w:id="57"/>
    </w:p>
    <w:p w14:paraId="38793E29" w14:textId="77777777" w:rsidR="00AD0011" w:rsidRPr="00FA5D68" w:rsidRDefault="00AD0011" w:rsidP="00AD0011">
      <w:pPr>
        <w:pStyle w:val="ListParagraph"/>
        <w:keepNext/>
        <w:keepLines/>
        <w:numPr>
          <w:ilvl w:val="0"/>
          <w:numId w:val="39"/>
        </w:numPr>
        <w:spacing w:before="40"/>
        <w:ind w:left="1418"/>
        <w:jc w:val="both"/>
        <w:outlineLvl w:val="2"/>
        <w:rPr>
          <w:rFonts w:ascii="Arial" w:eastAsia="Times New Roman" w:hAnsi="Arial" w:cs="Arial"/>
          <w:w w:val="95"/>
          <w:sz w:val="24"/>
          <w:szCs w:val="24"/>
          <w:lang w:val="bs-Latn-BA"/>
        </w:rPr>
      </w:pPr>
      <w:bookmarkStart w:id="58" w:name="_Toc68028705"/>
      <w:bookmarkStart w:id="59" w:name="_Toc68028852"/>
      <w:r w:rsidRPr="00FA5D68">
        <w:rPr>
          <w:rFonts w:ascii="Arial" w:eastAsia="Times New Roman" w:hAnsi="Arial" w:cs="Arial"/>
          <w:w w:val="95"/>
          <w:sz w:val="24"/>
          <w:szCs w:val="24"/>
          <w:lang w:val="bs-Latn-BA"/>
        </w:rPr>
        <w:t>da rješava o priznavanju odluka stranih sudova, stranih trgovačkih sudova i stranih arbitraža</w:t>
      </w:r>
      <w:bookmarkEnd w:id="58"/>
      <w:bookmarkEnd w:id="59"/>
    </w:p>
    <w:p w14:paraId="1E5289FB" w14:textId="77777777" w:rsidR="00AD0011" w:rsidRPr="00FA5D68" w:rsidRDefault="00AD0011" w:rsidP="00AD0011">
      <w:pPr>
        <w:pStyle w:val="ListParagraph"/>
        <w:keepNext/>
        <w:keepLines/>
        <w:numPr>
          <w:ilvl w:val="0"/>
          <w:numId w:val="39"/>
        </w:numPr>
        <w:spacing w:before="40"/>
        <w:ind w:left="1418"/>
        <w:jc w:val="both"/>
        <w:outlineLvl w:val="2"/>
        <w:rPr>
          <w:rFonts w:ascii="Arial" w:eastAsia="Times New Roman" w:hAnsi="Arial" w:cs="Arial"/>
          <w:w w:val="95"/>
          <w:sz w:val="24"/>
          <w:szCs w:val="24"/>
          <w:lang w:val="bs-Latn-BA"/>
        </w:rPr>
      </w:pPr>
      <w:bookmarkStart w:id="60" w:name="_Toc68028706"/>
      <w:bookmarkStart w:id="61" w:name="_Toc68028853"/>
      <w:r w:rsidRPr="00FA5D68">
        <w:rPr>
          <w:rFonts w:ascii="Arial" w:eastAsia="Times New Roman" w:hAnsi="Arial" w:cs="Arial"/>
          <w:w w:val="95"/>
          <w:sz w:val="24"/>
          <w:szCs w:val="24"/>
          <w:lang w:val="bs-Latn-BA"/>
        </w:rPr>
        <w:t>da pruža međunarodnu pravnu pomoć u krivičnim predmetima i</w:t>
      </w:r>
      <w:bookmarkEnd w:id="60"/>
      <w:bookmarkEnd w:id="61"/>
    </w:p>
    <w:p w14:paraId="5F8428EA" w14:textId="06DD860E" w:rsidR="00AD0011" w:rsidRPr="0027571B" w:rsidRDefault="00AD0011" w:rsidP="00AD0011">
      <w:pPr>
        <w:pStyle w:val="ListParagraph"/>
        <w:keepNext/>
        <w:keepLines/>
        <w:numPr>
          <w:ilvl w:val="0"/>
          <w:numId w:val="39"/>
        </w:numPr>
        <w:spacing w:before="40"/>
        <w:ind w:left="1418"/>
        <w:jc w:val="both"/>
        <w:outlineLvl w:val="2"/>
        <w:rPr>
          <w:rFonts w:ascii="Arial" w:eastAsia="Times New Roman" w:hAnsi="Arial" w:cs="Arial"/>
          <w:w w:val="95"/>
          <w:sz w:val="24"/>
          <w:szCs w:val="24"/>
          <w:lang w:val="bs-Latn-BA"/>
        </w:rPr>
      </w:pPr>
      <w:bookmarkStart w:id="62" w:name="_Toc68028707"/>
      <w:bookmarkStart w:id="63" w:name="_Toc68028854"/>
      <w:r w:rsidRPr="00FA5D68">
        <w:rPr>
          <w:rFonts w:ascii="Arial" w:eastAsia="Times New Roman" w:hAnsi="Arial" w:cs="Arial"/>
          <w:w w:val="95"/>
          <w:sz w:val="24"/>
          <w:szCs w:val="24"/>
          <w:lang w:val="bs-Latn-BA"/>
        </w:rPr>
        <w:t>da obavlja druge poslove određene zakonom</w:t>
      </w:r>
      <w:bookmarkEnd w:id="62"/>
      <w:bookmarkEnd w:id="63"/>
      <w:r w:rsidR="002E0B58">
        <w:rPr>
          <w:rFonts w:ascii="Arial" w:eastAsia="Times New Roman" w:hAnsi="Arial" w:cs="Arial"/>
          <w:w w:val="95"/>
          <w:sz w:val="24"/>
          <w:szCs w:val="24"/>
          <w:lang w:val="bs-Latn-BA"/>
        </w:rPr>
        <w:t>.</w:t>
      </w:r>
    </w:p>
    <w:p w14:paraId="6C2284D4" w14:textId="54C9D317" w:rsidR="00AD0011" w:rsidRDefault="00AD0011" w:rsidP="00AD0011">
      <w:pPr>
        <w:keepNext/>
        <w:keepLines/>
        <w:spacing w:before="40"/>
        <w:ind w:left="0" w:firstLine="1"/>
        <w:jc w:val="both"/>
        <w:outlineLvl w:val="2"/>
        <w:rPr>
          <w:rFonts w:ascii="Arial" w:eastAsia="Times New Roman" w:hAnsi="Arial" w:cs="Arial"/>
          <w:w w:val="95"/>
          <w:sz w:val="24"/>
          <w:szCs w:val="24"/>
          <w:lang w:val="bs-Latn-BA"/>
        </w:rPr>
      </w:pPr>
      <w:r w:rsidRPr="00F17AF0">
        <w:rPr>
          <w:rFonts w:ascii="Arial" w:hAnsi="Arial" w:cs="Arial"/>
          <w:b/>
          <w:bCs/>
          <w:color w:val="0070C0"/>
          <w:w w:val="95"/>
          <w:sz w:val="24"/>
          <w:szCs w:val="24"/>
          <w:u w:val="single"/>
          <w:lang w:val="hr-HR"/>
        </w:rPr>
        <w:t>VIZIJA:</w:t>
      </w:r>
      <w:bookmarkStart w:id="64" w:name="_Toc68028709"/>
      <w:bookmarkStart w:id="65" w:name="_Toc68028856"/>
      <w:r w:rsidRPr="0027571B">
        <w:rPr>
          <w:rFonts w:ascii="Arial" w:eastAsia="Times New Roman" w:hAnsi="Arial" w:cs="Arial"/>
          <w:w w:val="95"/>
          <w:sz w:val="24"/>
          <w:szCs w:val="24"/>
          <w:lang w:val="bs-Latn-BA"/>
        </w:rPr>
        <w:t xml:space="preserve"> </w:t>
      </w:r>
    </w:p>
    <w:p w14:paraId="5DB3EEB3" w14:textId="77777777" w:rsidR="00860A75" w:rsidRDefault="00860A75" w:rsidP="00AD0011">
      <w:pPr>
        <w:keepNext/>
        <w:keepLines/>
        <w:spacing w:before="40"/>
        <w:ind w:left="0" w:firstLine="1"/>
        <w:jc w:val="both"/>
        <w:outlineLvl w:val="2"/>
        <w:rPr>
          <w:rFonts w:ascii="Arial" w:eastAsia="Times New Roman" w:hAnsi="Arial" w:cs="Arial"/>
          <w:w w:val="95"/>
          <w:sz w:val="24"/>
          <w:szCs w:val="24"/>
          <w:lang w:val="bs-Latn-BA"/>
        </w:rPr>
      </w:pPr>
    </w:p>
    <w:p w14:paraId="034EA178" w14:textId="77777777" w:rsidR="00AD0011" w:rsidRPr="0027571B" w:rsidRDefault="00AD0011" w:rsidP="00AD0011">
      <w:pPr>
        <w:keepNext/>
        <w:keepLines/>
        <w:spacing w:before="40"/>
        <w:ind w:left="0" w:firstLine="1"/>
        <w:jc w:val="both"/>
        <w:outlineLvl w:val="2"/>
        <w:rPr>
          <w:rFonts w:ascii="Arial" w:eastAsia="Times New Roman" w:hAnsi="Arial" w:cs="Arial"/>
          <w:w w:val="95"/>
          <w:sz w:val="24"/>
          <w:szCs w:val="24"/>
          <w:lang w:val="bs-Latn-BA"/>
        </w:rPr>
      </w:pPr>
      <w:r w:rsidRPr="00FA5D68">
        <w:rPr>
          <w:rFonts w:ascii="Arial" w:eastAsia="Times New Roman" w:hAnsi="Arial" w:cs="Arial"/>
          <w:w w:val="95"/>
          <w:sz w:val="24"/>
          <w:szCs w:val="24"/>
          <w:lang w:val="bs-Latn-BA"/>
        </w:rPr>
        <w:t>Vizija Kantonalnog suda u Goraždu, kao najviše instance sudske vlasti u Bosansko-podrinjskom kantonu Goražde je da osigura svim građanima jednak pristup pravdi u skladu sa zakonom i najvećim standardima zaštite ljudskih prava i sloboda i u zakonskim rokovima  efikasno rješava sve postupke na sudu.</w:t>
      </w:r>
      <w:bookmarkEnd w:id="64"/>
      <w:bookmarkEnd w:id="65"/>
      <w:r w:rsidRPr="00FA5D68">
        <w:rPr>
          <w:rFonts w:ascii="Arial" w:eastAsia="Times New Roman" w:hAnsi="Arial" w:cs="Arial"/>
          <w:w w:val="95"/>
          <w:sz w:val="24"/>
          <w:szCs w:val="24"/>
          <w:lang w:val="bs-Latn-BA"/>
        </w:rPr>
        <w:t xml:space="preserve"> </w:t>
      </w:r>
    </w:p>
    <w:p w14:paraId="4A1A7AAD" w14:textId="77777777" w:rsidR="00860A75" w:rsidRDefault="00860A75" w:rsidP="00AD0011">
      <w:pPr>
        <w:spacing w:before="40" w:line="276" w:lineRule="auto"/>
        <w:ind w:left="0"/>
        <w:jc w:val="both"/>
        <w:rPr>
          <w:rFonts w:ascii="Arial" w:hAnsi="Arial" w:cs="Arial"/>
          <w:b/>
          <w:bCs/>
          <w:color w:val="0070C0"/>
          <w:w w:val="95"/>
          <w:sz w:val="24"/>
          <w:szCs w:val="24"/>
          <w:u w:val="single"/>
          <w:lang w:val="hr-HR"/>
        </w:rPr>
      </w:pPr>
    </w:p>
    <w:p w14:paraId="43CF3D14" w14:textId="1376A812" w:rsidR="00860A75" w:rsidRPr="00F17AF0" w:rsidRDefault="00AD0011" w:rsidP="00AD0011">
      <w:pPr>
        <w:spacing w:before="40" w:line="276" w:lineRule="auto"/>
        <w:ind w:left="0"/>
        <w:jc w:val="both"/>
        <w:rPr>
          <w:rFonts w:ascii="Arial" w:hAnsi="Arial" w:cs="Arial"/>
          <w:b/>
          <w:bCs/>
          <w:color w:val="0070C0"/>
          <w:w w:val="95"/>
          <w:sz w:val="24"/>
          <w:szCs w:val="24"/>
          <w:u w:val="single"/>
          <w:lang w:val="hr-HR"/>
        </w:rPr>
      </w:pPr>
      <w:r w:rsidRPr="00F17AF0">
        <w:rPr>
          <w:rFonts w:ascii="Arial" w:hAnsi="Arial" w:cs="Arial"/>
          <w:b/>
          <w:bCs/>
          <w:color w:val="0070C0"/>
          <w:w w:val="95"/>
          <w:sz w:val="24"/>
          <w:szCs w:val="24"/>
          <w:u w:val="single"/>
          <w:lang w:val="hr-HR"/>
        </w:rPr>
        <w:t>MISIJA:</w:t>
      </w:r>
    </w:p>
    <w:p w14:paraId="48FEF23F" w14:textId="61167F67" w:rsidR="00AD0011" w:rsidRPr="00FA5D68" w:rsidRDefault="00AD0011" w:rsidP="00AD0011">
      <w:pPr>
        <w:keepNext/>
        <w:keepLines/>
        <w:spacing w:before="40"/>
        <w:ind w:left="0" w:firstLine="1"/>
        <w:jc w:val="both"/>
        <w:outlineLvl w:val="2"/>
        <w:rPr>
          <w:rFonts w:ascii="Arial" w:eastAsia="Times New Roman" w:hAnsi="Arial" w:cs="Arial"/>
          <w:w w:val="95"/>
          <w:sz w:val="24"/>
          <w:szCs w:val="24"/>
          <w:lang w:val="bs-Latn-BA"/>
        </w:rPr>
      </w:pPr>
      <w:bookmarkStart w:id="66" w:name="_Toc68028708"/>
      <w:bookmarkStart w:id="67" w:name="_Toc68028855"/>
      <w:r w:rsidRPr="00FA5D68">
        <w:rPr>
          <w:rFonts w:ascii="Arial" w:eastAsia="Times New Roman" w:hAnsi="Arial" w:cs="Arial"/>
          <w:w w:val="95"/>
          <w:sz w:val="24"/>
          <w:szCs w:val="24"/>
          <w:lang w:val="bs-Latn-BA"/>
        </w:rPr>
        <w:t>Misija Kantonalnog suda u Goraždu je pravovremeno, efikasno, odgovorno, nepristrasno, neovisno</w:t>
      </w:r>
      <w:r w:rsidR="002E0B58">
        <w:rPr>
          <w:rFonts w:ascii="Arial" w:eastAsia="Times New Roman" w:hAnsi="Arial" w:cs="Arial"/>
          <w:w w:val="95"/>
          <w:sz w:val="24"/>
          <w:szCs w:val="24"/>
          <w:lang w:val="bs-Latn-BA"/>
        </w:rPr>
        <w:t>,</w:t>
      </w:r>
      <w:r w:rsidRPr="00FA5D68">
        <w:rPr>
          <w:rFonts w:ascii="Arial" w:eastAsia="Times New Roman" w:hAnsi="Arial" w:cs="Arial"/>
          <w:w w:val="95"/>
          <w:sz w:val="24"/>
          <w:szCs w:val="24"/>
          <w:lang w:val="bs-Latn-BA"/>
        </w:rPr>
        <w:t xml:space="preserve"> kvalitetno i pravično obavljanje zakonom utvrđenih poslova.</w:t>
      </w:r>
      <w:bookmarkEnd w:id="66"/>
      <w:bookmarkEnd w:id="67"/>
    </w:p>
    <w:p w14:paraId="398E7AAF" w14:textId="77777777" w:rsidR="00AD0011" w:rsidRPr="00F17AF0" w:rsidRDefault="00AD0011" w:rsidP="00AD0011">
      <w:pPr>
        <w:pStyle w:val="Heading1"/>
        <w:rPr>
          <w:rFonts w:eastAsia="Calibri"/>
        </w:rPr>
      </w:pPr>
      <w:r w:rsidRPr="009336F9">
        <w:rPr>
          <w:rFonts w:eastAsia="Calibri"/>
          <w:sz w:val="24"/>
          <w:szCs w:val="24"/>
        </w:rPr>
        <w:br w:type="page"/>
      </w:r>
      <w:bookmarkStart w:id="68" w:name="_Toc91766452"/>
      <w:r w:rsidRPr="00F17AF0">
        <w:lastRenderedPageBreak/>
        <w:t>2)</w:t>
      </w:r>
      <w:r w:rsidRPr="00F17AF0">
        <w:tab/>
      </w:r>
      <w:r w:rsidRPr="00F17AF0">
        <w:rPr>
          <w:rFonts w:eastAsia="Calibri"/>
        </w:rPr>
        <w:t>Sažetak analize strateškog okvira</w:t>
      </w:r>
      <w:bookmarkEnd w:id="68"/>
    </w:p>
    <w:p w14:paraId="2A056377" w14:textId="77777777" w:rsidR="00AD0011" w:rsidRPr="00F17AF0" w:rsidRDefault="00AD0011" w:rsidP="00AD0011">
      <w:pPr>
        <w:spacing w:before="40" w:line="276" w:lineRule="auto"/>
        <w:ind w:left="0"/>
        <w:jc w:val="both"/>
        <w:rPr>
          <w:rFonts w:ascii="Arial" w:hAnsi="Arial" w:cs="Arial"/>
          <w:w w:val="95"/>
          <w:sz w:val="24"/>
          <w:szCs w:val="24"/>
          <w:lang w:val="hr-HR"/>
        </w:rPr>
      </w:pPr>
    </w:p>
    <w:p w14:paraId="2BC5A88B" w14:textId="77777777" w:rsidR="00AD0011" w:rsidRPr="00FA5D68" w:rsidRDefault="00AD0011" w:rsidP="00AD0011">
      <w:pPr>
        <w:shd w:val="clear" w:color="auto" w:fill="FFFFFF"/>
        <w:spacing w:line="276" w:lineRule="auto"/>
        <w:ind w:left="0" w:right="146"/>
        <w:jc w:val="both"/>
        <w:outlineLvl w:val="1"/>
        <w:rPr>
          <w:rFonts w:ascii="Arial" w:eastAsia="Calibri" w:hAnsi="Arial" w:cs="Arial"/>
          <w:w w:val="95"/>
          <w:sz w:val="24"/>
          <w:szCs w:val="24"/>
          <w:lang w:val="bs-Latn-BA"/>
        </w:rPr>
      </w:pPr>
      <w:bookmarkStart w:id="69" w:name="_Toc64459479"/>
      <w:bookmarkStart w:id="70" w:name="_Toc68028711"/>
      <w:bookmarkStart w:id="71" w:name="_Toc68028858"/>
      <w:r w:rsidRPr="00FA5D68">
        <w:rPr>
          <w:rFonts w:ascii="Arial" w:eastAsia="Calibri" w:hAnsi="Arial" w:cs="Arial"/>
          <w:w w:val="95"/>
          <w:sz w:val="24"/>
          <w:szCs w:val="24"/>
          <w:lang w:val="bs-Latn-BA"/>
        </w:rPr>
        <w:t xml:space="preserve">(1) Organizaciju, rad i nadležnosti Kantonalnog suda u Goraždu </w:t>
      </w:r>
      <w:bookmarkEnd w:id="69"/>
      <w:r w:rsidRPr="00FA5D68">
        <w:rPr>
          <w:rFonts w:ascii="Arial" w:eastAsia="Calibri" w:hAnsi="Arial" w:cs="Arial"/>
          <w:w w:val="95"/>
          <w:sz w:val="24"/>
          <w:szCs w:val="24"/>
          <w:lang w:val="bs-Latn-BA"/>
        </w:rPr>
        <w:t>određuju:</w:t>
      </w:r>
      <w:bookmarkEnd w:id="70"/>
      <w:bookmarkEnd w:id="71"/>
    </w:p>
    <w:p w14:paraId="58DFADF1" w14:textId="77777777" w:rsidR="00AD0011" w:rsidRPr="00FA5D68" w:rsidRDefault="00AD0011" w:rsidP="00AD0011">
      <w:pPr>
        <w:pStyle w:val="ListParagraph"/>
        <w:shd w:val="clear" w:color="auto" w:fill="FFFFFF"/>
        <w:spacing w:line="276" w:lineRule="auto"/>
        <w:ind w:left="709" w:right="146"/>
        <w:jc w:val="both"/>
        <w:outlineLvl w:val="1"/>
        <w:rPr>
          <w:rFonts w:ascii="Arial" w:eastAsia="Calibri" w:hAnsi="Arial" w:cs="Arial"/>
          <w:w w:val="95"/>
          <w:sz w:val="24"/>
          <w:szCs w:val="24"/>
          <w:lang w:val="bs-Latn-BA"/>
        </w:rPr>
      </w:pPr>
    </w:p>
    <w:p w14:paraId="1820E167" w14:textId="77777777" w:rsidR="00AD0011" w:rsidRPr="00FA5D68" w:rsidRDefault="00AD0011" w:rsidP="00AD0011">
      <w:pPr>
        <w:pStyle w:val="ListParagraph"/>
        <w:numPr>
          <w:ilvl w:val="0"/>
          <w:numId w:val="40"/>
        </w:numPr>
        <w:shd w:val="clear" w:color="auto" w:fill="FFFFFF"/>
        <w:spacing w:line="276" w:lineRule="auto"/>
        <w:ind w:right="146"/>
        <w:jc w:val="both"/>
        <w:outlineLvl w:val="1"/>
        <w:rPr>
          <w:rFonts w:ascii="Arial" w:eastAsia="Calibri" w:hAnsi="Arial" w:cs="Arial"/>
          <w:w w:val="95"/>
          <w:sz w:val="24"/>
          <w:szCs w:val="24"/>
          <w:lang w:val="bs-Latn-BA"/>
        </w:rPr>
      </w:pPr>
      <w:bookmarkStart w:id="72" w:name="_Toc68028712"/>
      <w:bookmarkStart w:id="73" w:name="_Toc68028859"/>
      <w:r w:rsidRPr="00FA5D68">
        <w:rPr>
          <w:rFonts w:ascii="Arial" w:eastAsia="Calibri" w:hAnsi="Arial" w:cs="Arial"/>
          <w:w w:val="95"/>
          <w:sz w:val="24"/>
          <w:szCs w:val="24"/>
          <w:lang w:val="bs-Latn-BA"/>
        </w:rPr>
        <w:t>Ustav Bosne i Hercegovine</w:t>
      </w:r>
      <w:bookmarkEnd w:id="72"/>
      <w:bookmarkEnd w:id="73"/>
    </w:p>
    <w:p w14:paraId="4073E0A5" w14:textId="77777777" w:rsidR="00AD0011" w:rsidRPr="00FA5D68" w:rsidRDefault="00AD0011" w:rsidP="00AD0011">
      <w:pPr>
        <w:pStyle w:val="ListParagraph"/>
        <w:numPr>
          <w:ilvl w:val="0"/>
          <w:numId w:val="40"/>
        </w:numPr>
        <w:shd w:val="clear" w:color="auto" w:fill="FFFFFF"/>
        <w:spacing w:line="276" w:lineRule="auto"/>
        <w:ind w:right="146"/>
        <w:jc w:val="both"/>
        <w:outlineLvl w:val="1"/>
        <w:rPr>
          <w:rFonts w:ascii="Arial" w:eastAsia="Calibri" w:hAnsi="Arial" w:cs="Arial"/>
          <w:w w:val="95"/>
          <w:sz w:val="24"/>
          <w:szCs w:val="24"/>
          <w:lang w:val="bs-Latn-BA"/>
        </w:rPr>
      </w:pPr>
      <w:bookmarkStart w:id="74" w:name="_Toc68028713"/>
      <w:bookmarkStart w:id="75" w:name="_Toc68028860"/>
      <w:r w:rsidRPr="00FA5D68">
        <w:rPr>
          <w:rFonts w:ascii="Arial" w:eastAsia="Calibri" w:hAnsi="Arial" w:cs="Arial"/>
          <w:w w:val="95"/>
          <w:sz w:val="24"/>
          <w:szCs w:val="24"/>
          <w:lang w:val="bs-Latn-BA"/>
        </w:rPr>
        <w:t>Ustav Federacije Bosne i Hercegovine</w:t>
      </w:r>
      <w:bookmarkEnd w:id="74"/>
      <w:bookmarkEnd w:id="75"/>
    </w:p>
    <w:p w14:paraId="387DE492" w14:textId="77777777" w:rsidR="00AD0011" w:rsidRPr="00FA5D68" w:rsidRDefault="00AD0011" w:rsidP="00AD0011">
      <w:pPr>
        <w:pStyle w:val="ListParagraph"/>
        <w:numPr>
          <w:ilvl w:val="0"/>
          <w:numId w:val="40"/>
        </w:numPr>
        <w:shd w:val="clear" w:color="auto" w:fill="FFFFFF"/>
        <w:spacing w:line="276" w:lineRule="auto"/>
        <w:ind w:right="146"/>
        <w:jc w:val="both"/>
        <w:outlineLvl w:val="1"/>
        <w:rPr>
          <w:rFonts w:ascii="Arial" w:eastAsia="Calibri" w:hAnsi="Arial" w:cs="Arial"/>
          <w:w w:val="95"/>
          <w:sz w:val="24"/>
          <w:szCs w:val="24"/>
          <w:lang w:val="bs-Latn-BA"/>
        </w:rPr>
      </w:pPr>
      <w:bookmarkStart w:id="76" w:name="_Toc68028714"/>
      <w:bookmarkStart w:id="77" w:name="_Toc68028861"/>
      <w:r w:rsidRPr="00FA5D68">
        <w:rPr>
          <w:rFonts w:ascii="Arial" w:eastAsia="Calibri" w:hAnsi="Arial" w:cs="Arial"/>
          <w:w w:val="95"/>
          <w:sz w:val="24"/>
          <w:szCs w:val="24"/>
          <w:lang w:val="bs-Latn-BA"/>
        </w:rPr>
        <w:t>Ustav Bosansko-podrinjskog kantona Goražde</w:t>
      </w:r>
      <w:bookmarkEnd w:id="76"/>
      <w:bookmarkEnd w:id="77"/>
    </w:p>
    <w:p w14:paraId="50B68B95" w14:textId="77777777" w:rsidR="00AD0011" w:rsidRPr="00FA5D68" w:rsidRDefault="00AD0011" w:rsidP="00AD0011">
      <w:pPr>
        <w:pStyle w:val="ListParagraph"/>
        <w:numPr>
          <w:ilvl w:val="0"/>
          <w:numId w:val="40"/>
        </w:numPr>
        <w:shd w:val="clear" w:color="auto" w:fill="FFFFFF"/>
        <w:spacing w:line="276" w:lineRule="auto"/>
        <w:ind w:right="146"/>
        <w:jc w:val="both"/>
        <w:outlineLvl w:val="1"/>
        <w:rPr>
          <w:rFonts w:ascii="Arial" w:eastAsia="Calibri" w:hAnsi="Arial" w:cs="Arial"/>
          <w:w w:val="95"/>
          <w:sz w:val="24"/>
          <w:szCs w:val="24"/>
          <w:lang w:val="bs-Latn-BA"/>
        </w:rPr>
      </w:pPr>
      <w:bookmarkStart w:id="78" w:name="_Toc68028715"/>
      <w:bookmarkStart w:id="79" w:name="_Toc68028862"/>
      <w:r w:rsidRPr="00FA5D68">
        <w:rPr>
          <w:rFonts w:ascii="Arial" w:eastAsia="Calibri" w:hAnsi="Arial" w:cs="Arial"/>
          <w:w w:val="95"/>
          <w:sz w:val="24"/>
          <w:szCs w:val="24"/>
          <w:lang w:val="bs-Latn-BA"/>
        </w:rPr>
        <w:t>Zakon o Visokom sudskom i tužilačkom vijeću Bosne i Hercegovine</w:t>
      </w:r>
      <w:bookmarkEnd w:id="78"/>
      <w:bookmarkEnd w:id="79"/>
    </w:p>
    <w:p w14:paraId="0615A51B" w14:textId="77777777" w:rsidR="00AD0011" w:rsidRPr="00FA5D68" w:rsidRDefault="00AD0011" w:rsidP="00AD0011">
      <w:pPr>
        <w:pStyle w:val="ListParagraph"/>
        <w:numPr>
          <w:ilvl w:val="0"/>
          <w:numId w:val="40"/>
        </w:numPr>
        <w:shd w:val="clear" w:color="auto" w:fill="FFFFFF"/>
        <w:spacing w:line="276" w:lineRule="auto"/>
        <w:ind w:right="146"/>
        <w:jc w:val="both"/>
        <w:outlineLvl w:val="1"/>
        <w:rPr>
          <w:rFonts w:ascii="Arial" w:eastAsia="Calibri" w:hAnsi="Arial" w:cs="Arial"/>
          <w:w w:val="95"/>
          <w:sz w:val="24"/>
          <w:szCs w:val="24"/>
          <w:lang w:val="bs-Latn-BA"/>
        </w:rPr>
      </w:pPr>
      <w:bookmarkStart w:id="80" w:name="_Toc68028716"/>
      <w:bookmarkStart w:id="81" w:name="_Toc68028863"/>
      <w:r w:rsidRPr="00FA5D68">
        <w:rPr>
          <w:rFonts w:ascii="Arial" w:eastAsia="Calibri" w:hAnsi="Arial" w:cs="Arial"/>
          <w:w w:val="95"/>
          <w:sz w:val="24"/>
          <w:szCs w:val="24"/>
          <w:lang w:val="bs-Latn-BA"/>
        </w:rPr>
        <w:t>Zakon o sudovima u Federaciji Bosne i Hercegovine</w:t>
      </w:r>
      <w:bookmarkEnd w:id="80"/>
      <w:bookmarkEnd w:id="81"/>
    </w:p>
    <w:p w14:paraId="076BA559" w14:textId="21C4953A" w:rsidR="00AD0011" w:rsidRPr="00FA5D68" w:rsidRDefault="00AD0011" w:rsidP="00AD0011">
      <w:pPr>
        <w:pStyle w:val="ListParagraph"/>
        <w:numPr>
          <w:ilvl w:val="0"/>
          <w:numId w:val="40"/>
        </w:numPr>
        <w:shd w:val="clear" w:color="auto" w:fill="FFFFFF"/>
        <w:spacing w:line="276" w:lineRule="auto"/>
        <w:ind w:right="146"/>
        <w:jc w:val="both"/>
        <w:outlineLvl w:val="1"/>
        <w:rPr>
          <w:rFonts w:ascii="Arial" w:eastAsia="Calibri" w:hAnsi="Arial" w:cs="Arial"/>
          <w:w w:val="95"/>
          <w:sz w:val="24"/>
          <w:szCs w:val="24"/>
          <w:lang w:val="bs-Latn-BA"/>
        </w:rPr>
      </w:pPr>
      <w:bookmarkStart w:id="82" w:name="_Toc68028717"/>
      <w:bookmarkStart w:id="83" w:name="_Toc68028864"/>
      <w:r w:rsidRPr="00FA5D68">
        <w:rPr>
          <w:rFonts w:ascii="Arial" w:eastAsia="Calibri" w:hAnsi="Arial" w:cs="Arial"/>
          <w:w w:val="95"/>
          <w:sz w:val="24"/>
          <w:szCs w:val="24"/>
          <w:lang w:val="bs-Latn-BA"/>
        </w:rPr>
        <w:t>Pravni okvir za ocjenjivanje nosilaca pravosudnih funkcija  u sudovima i tužilaštvima</w:t>
      </w:r>
      <w:r w:rsidR="002E0B58">
        <w:rPr>
          <w:rFonts w:ascii="Arial" w:eastAsia="Calibri" w:hAnsi="Arial" w:cs="Arial"/>
          <w:w w:val="95"/>
          <w:sz w:val="24"/>
          <w:szCs w:val="24"/>
          <w:lang w:val="bs-Latn-BA"/>
        </w:rPr>
        <w:t xml:space="preserve"> </w:t>
      </w:r>
      <w:r w:rsidRPr="00FA5D68">
        <w:rPr>
          <w:rFonts w:ascii="Arial" w:eastAsia="Calibri" w:hAnsi="Arial" w:cs="Arial"/>
          <w:w w:val="95"/>
          <w:sz w:val="24"/>
          <w:szCs w:val="24"/>
          <w:lang w:val="bs-Latn-BA"/>
        </w:rPr>
        <w:t>u BiH</w:t>
      </w:r>
      <w:bookmarkEnd w:id="82"/>
      <w:bookmarkEnd w:id="83"/>
    </w:p>
    <w:p w14:paraId="47B30513" w14:textId="2C01A395" w:rsidR="00AD0011" w:rsidRPr="00FA5D68" w:rsidRDefault="00AD0011" w:rsidP="00AD0011">
      <w:pPr>
        <w:pStyle w:val="ListParagraph"/>
        <w:numPr>
          <w:ilvl w:val="0"/>
          <w:numId w:val="40"/>
        </w:numPr>
        <w:shd w:val="clear" w:color="auto" w:fill="FFFFFF"/>
        <w:spacing w:line="276" w:lineRule="auto"/>
        <w:ind w:right="146"/>
        <w:jc w:val="both"/>
        <w:outlineLvl w:val="1"/>
        <w:rPr>
          <w:rFonts w:ascii="Arial" w:eastAsia="Calibri" w:hAnsi="Arial" w:cs="Arial"/>
          <w:i/>
          <w:w w:val="95"/>
          <w:sz w:val="24"/>
          <w:szCs w:val="24"/>
          <w:lang w:val="bs-Latn-BA"/>
        </w:rPr>
      </w:pPr>
      <w:bookmarkStart w:id="84" w:name="_Toc68028718"/>
      <w:bookmarkStart w:id="85" w:name="_Toc68028865"/>
      <w:r w:rsidRPr="00152330">
        <w:rPr>
          <w:rFonts w:ascii="Arial" w:eastAsia="Calibri" w:hAnsi="Arial" w:cs="Arial"/>
          <w:w w:val="95"/>
          <w:sz w:val="24"/>
          <w:szCs w:val="24"/>
          <w:lang w:val="bs-Latn-BA"/>
        </w:rPr>
        <w:t xml:space="preserve">Pravilnik o unutrašnjem sudskom poslovanju </w:t>
      </w:r>
      <w:r w:rsidRPr="000566B0">
        <w:rPr>
          <w:rFonts w:ascii="Arial" w:hAnsi="Arial" w:cs="Arial"/>
          <w:sz w:val="24"/>
          <w:szCs w:val="24"/>
          <w:shd w:val="clear" w:color="auto" w:fill="FFFFFF"/>
          <w:lang w:val="bs-Latn-BA"/>
        </w:rPr>
        <w:t>uređuje organizaciju i način unutrašnjeg poslovanja suda i druga pitanja značajna za unutrašnje sudsko poslovanje, sa posebnim osvrtom na način upravljanja predmetima od njihovog zaprimanja do arhiviranja</w:t>
      </w:r>
      <w:bookmarkEnd w:id="84"/>
      <w:bookmarkEnd w:id="85"/>
    </w:p>
    <w:p w14:paraId="39D67727" w14:textId="5EE32DB1" w:rsidR="00AD0011" w:rsidRPr="00FA5D68" w:rsidRDefault="00AD0011" w:rsidP="00AD0011">
      <w:pPr>
        <w:pStyle w:val="ListParagraph"/>
        <w:numPr>
          <w:ilvl w:val="0"/>
          <w:numId w:val="40"/>
        </w:numPr>
        <w:shd w:val="clear" w:color="auto" w:fill="FFFFFF"/>
        <w:spacing w:line="276" w:lineRule="auto"/>
        <w:ind w:right="146"/>
        <w:jc w:val="both"/>
        <w:outlineLvl w:val="1"/>
        <w:rPr>
          <w:rFonts w:ascii="Arial" w:eastAsia="Calibri" w:hAnsi="Arial" w:cs="Arial"/>
          <w:i/>
          <w:w w:val="95"/>
          <w:sz w:val="24"/>
          <w:szCs w:val="24"/>
          <w:lang w:val="bs-Latn-BA"/>
        </w:rPr>
      </w:pPr>
      <w:bookmarkStart w:id="86" w:name="_Toc68028719"/>
      <w:bookmarkStart w:id="87" w:name="_Toc68028866"/>
      <w:r w:rsidRPr="00FA5D68">
        <w:rPr>
          <w:rFonts w:ascii="Arial" w:hAnsi="Arial" w:cs="Arial"/>
          <w:sz w:val="24"/>
          <w:szCs w:val="24"/>
          <w:shd w:val="clear" w:color="auto" w:fill="FFFFFF"/>
          <w:lang w:val="bs-Latn-BA"/>
        </w:rPr>
        <w:t>Drugi relevantni zakoni i propisi u oblasti pravosuđa u Bosni i Hercegovini</w:t>
      </w:r>
      <w:bookmarkEnd w:id="86"/>
      <w:bookmarkEnd w:id="87"/>
      <w:r w:rsidR="002E0B58">
        <w:rPr>
          <w:rFonts w:ascii="Arial" w:hAnsi="Arial" w:cs="Arial"/>
          <w:sz w:val="24"/>
          <w:szCs w:val="24"/>
          <w:shd w:val="clear" w:color="auto" w:fill="FFFFFF"/>
          <w:lang w:val="bs-Latn-BA"/>
        </w:rPr>
        <w:t>.</w:t>
      </w:r>
    </w:p>
    <w:p w14:paraId="73A5F76B" w14:textId="77777777" w:rsidR="00AD0011" w:rsidRPr="00FA5D68" w:rsidRDefault="00AD0011" w:rsidP="00AD0011">
      <w:pPr>
        <w:pStyle w:val="ListParagraph"/>
        <w:shd w:val="clear" w:color="auto" w:fill="FFFFFF"/>
        <w:spacing w:line="276" w:lineRule="auto"/>
        <w:ind w:left="1455" w:right="146"/>
        <w:jc w:val="both"/>
        <w:outlineLvl w:val="1"/>
        <w:rPr>
          <w:rFonts w:ascii="Arial" w:eastAsia="Calibri" w:hAnsi="Arial" w:cs="Arial"/>
          <w:w w:val="95"/>
          <w:sz w:val="24"/>
          <w:szCs w:val="24"/>
          <w:lang w:val="bs-Latn-BA"/>
        </w:rPr>
      </w:pPr>
    </w:p>
    <w:p w14:paraId="4111C56C" w14:textId="77777777" w:rsidR="00AD0011" w:rsidRPr="00FA5D68" w:rsidRDefault="00AD0011" w:rsidP="00AD0011">
      <w:pPr>
        <w:pStyle w:val="ListParagraph"/>
        <w:shd w:val="clear" w:color="auto" w:fill="FFFFFF"/>
        <w:spacing w:line="276" w:lineRule="auto"/>
        <w:ind w:left="1080" w:right="146"/>
        <w:jc w:val="both"/>
        <w:outlineLvl w:val="1"/>
        <w:rPr>
          <w:rFonts w:ascii="Arial" w:eastAsia="Calibri" w:hAnsi="Arial" w:cs="Arial"/>
          <w:w w:val="95"/>
          <w:sz w:val="24"/>
          <w:szCs w:val="24"/>
          <w:lang w:val="bs-Latn-BA"/>
        </w:rPr>
      </w:pPr>
      <w:r w:rsidRPr="00FA5D68">
        <w:rPr>
          <w:rFonts w:ascii="Arial" w:eastAsia="Calibri" w:hAnsi="Arial" w:cs="Arial"/>
          <w:w w:val="95"/>
          <w:sz w:val="24"/>
          <w:szCs w:val="24"/>
          <w:lang w:val="bs-Latn-BA"/>
        </w:rPr>
        <w:t xml:space="preserve"> </w:t>
      </w:r>
      <w:bookmarkStart w:id="88" w:name="_Toc68028720"/>
      <w:bookmarkStart w:id="89" w:name="_Toc68028867"/>
      <w:r w:rsidRPr="00FA5D68">
        <w:rPr>
          <w:rFonts w:ascii="Arial" w:eastAsia="Calibri" w:hAnsi="Arial" w:cs="Arial"/>
          <w:w w:val="95"/>
          <w:sz w:val="24"/>
          <w:szCs w:val="24"/>
          <w:lang w:val="bs-Latn-BA"/>
        </w:rPr>
        <w:t>Strategije, izvještaji i ostali dokumenti kojima se sud rukovodi u obavljanju redovnih zadataka čine:</w:t>
      </w:r>
      <w:bookmarkEnd w:id="88"/>
      <w:bookmarkEnd w:id="89"/>
    </w:p>
    <w:p w14:paraId="61CF9C52" w14:textId="77777777" w:rsidR="00AD0011" w:rsidRPr="00FA5D68" w:rsidRDefault="00AD0011" w:rsidP="00AD0011">
      <w:pPr>
        <w:pStyle w:val="ListParagraph"/>
        <w:numPr>
          <w:ilvl w:val="0"/>
          <w:numId w:val="40"/>
        </w:numPr>
        <w:shd w:val="clear" w:color="auto" w:fill="FFFFFF"/>
        <w:spacing w:line="276" w:lineRule="auto"/>
        <w:ind w:right="146"/>
        <w:jc w:val="both"/>
        <w:outlineLvl w:val="1"/>
        <w:rPr>
          <w:rFonts w:ascii="Arial" w:eastAsia="Calibri" w:hAnsi="Arial" w:cs="Arial"/>
          <w:w w:val="95"/>
          <w:sz w:val="24"/>
          <w:szCs w:val="24"/>
          <w:lang w:val="bs-Latn-BA"/>
        </w:rPr>
      </w:pPr>
      <w:bookmarkStart w:id="90" w:name="_Toc68028721"/>
      <w:bookmarkStart w:id="91" w:name="_Toc68028868"/>
      <w:r w:rsidRPr="00FA5D68">
        <w:rPr>
          <w:rFonts w:ascii="Arial" w:eastAsia="Calibri" w:hAnsi="Arial" w:cs="Arial"/>
          <w:w w:val="95"/>
          <w:sz w:val="24"/>
          <w:szCs w:val="24"/>
          <w:lang w:val="bs-Latn-BA"/>
        </w:rPr>
        <w:t>Agenda 2030 UN</w:t>
      </w:r>
      <w:bookmarkEnd w:id="90"/>
      <w:bookmarkEnd w:id="91"/>
    </w:p>
    <w:p w14:paraId="74ACD8B1" w14:textId="541D6CCF" w:rsidR="00AD0011" w:rsidRPr="00FA5D68" w:rsidRDefault="00AD0011" w:rsidP="00AD0011">
      <w:pPr>
        <w:pStyle w:val="ListParagraph"/>
        <w:numPr>
          <w:ilvl w:val="0"/>
          <w:numId w:val="40"/>
        </w:numPr>
        <w:shd w:val="clear" w:color="auto" w:fill="FFFFFF"/>
        <w:spacing w:line="276" w:lineRule="auto"/>
        <w:ind w:right="146"/>
        <w:jc w:val="both"/>
        <w:outlineLvl w:val="1"/>
        <w:rPr>
          <w:rFonts w:ascii="Arial" w:eastAsia="Calibri" w:hAnsi="Arial" w:cs="Arial"/>
          <w:w w:val="95"/>
          <w:sz w:val="24"/>
          <w:szCs w:val="24"/>
          <w:lang w:val="bs-Latn-BA"/>
        </w:rPr>
      </w:pPr>
      <w:bookmarkStart w:id="92" w:name="_Toc68028722"/>
      <w:bookmarkStart w:id="93" w:name="_Toc68028869"/>
      <w:r w:rsidRPr="00FA5D68">
        <w:rPr>
          <w:rFonts w:ascii="Arial" w:eastAsia="Calibri" w:hAnsi="Arial" w:cs="Arial"/>
          <w:w w:val="95"/>
          <w:sz w:val="24"/>
          <w:szCs w:val="24"/>
          <w:lang w:val="bs-Latn-BA"/>
        </w:rPr>
        <w:t>Strategija za reformu sektora pravde (postavlja strateški okvir za cjelokupan sektor pravde i predviđa da svaka institucija uključujući i sudove u BiH revidira svoje postojeće strateške planove ili izradi nove koje će biti u skladu sa strateškim okvirom cjelokupnog sektora. Ova Strategija je utvrdila 5 strateških stubova reforme sektora pravde a od kojih je jedan Pravosuđe za koje je utvrđen cilj: „Dalje jačati i održavati neovisnost, odgovornost, efikasnost, profesionalnost i usklađenost pravosudnog sistema koji osigurava vladavinu prava u BiH“</w:t>
      </w:r>
      <w:bookmarkEnd w:id="92"/>
      <w:bookmarkEnd w:id="93"/>
    </w:p>
    <w:p w14:paraId="2601F583" w14:textId="4D7E22CF" w:rsidR="00AD0011" w:rsidRPr="00FA5D68" w:rsidRDefault="00AD0011" w:rsidP="00AD0011">
      <w:pPr>
        <w:pStyle w:val="ListParagraph"/>
        <w:numPr>
          <w:ilvl w:val="0"/>
          <w:numId w:val="40"/>
        </w:numPr>
        <w:shd w:val="clear" w:color="auto" w:fill="FFFFFF"/>
        <w:spacing w:line="276" w:lineRule="auto"/>
        <w:ind w:right="146"/>
        <w:jc w:val="both"/>
        <w:outlineLvl w:val="1"/>
        <w:rPr>
          <w:rFonts w:ascii="Arial" w:eastAsia="Calibri" w:hAnsi="Arial" w:cs="Arial"/>
          <w:w w:val="95"/>
          <w:sz w:val="24"/>
          <w:szCs w:val="24"/>
          <w:lang w:val="bs-Latn-BA"/>
        </w:rPr>
      </w:pPr>
      <w:bookmarkStart w:id="94" w:name="_Toc68028723"/>
      <w:bookmarkStart w:id="95" w:name="_Toc68028870"/>
      <w:r w:rsidRPr="00FA5D68">
        <w:rPr>
          <w:rFonts w:ascii="Arial" w:eastAsia="Calibri" w:hAnsi="Arial" w:cs="Arial"/>
          <w:w w:val="95"/>
          <w:sz w:val="24"/>
          <w:szCs w:val="24"/>
          <w:lang w:val="bs-Latn-BA"/>
        </w:rPr>
        <w:t>Strategija  Početna obuka i stručno usavršavanje sudija i tužilaca za period 2017.-2020.godina (programi obuke nisu ograničeni na stručne postupke u čisto pravnim oblastima već obuhvataju obuku iz etike i drugih oblasti relevantnih za vršenje sudijske funkcije</w:t>
      </w:r>
      <w:r w:rsidR="002E0B58">
        <w:rPr>
          <w:rFonts w:ascii="Arial" w:eastAsia="Calibri" w:hAnsi="Arial" w:cs="Arial"/>
          <w:w w:val="95"/>
          <w:sz w:val="24"/>
          <w:szCs w:val="24"/>
          <w:lang w:val="bs-Latn-BA"/>
        </w:rPr>
        <w:t xml:space="preserve"> </w:t>
      </w:r>
      <w:r w:rsidRPr="00FA5D68">
        <w:rPr>
          <w:rFonts w:ascii="Arial" w:eastAsia="Calibri" w:hAnsi="Arial" w:cs="Arial"/>
          <w:w w:val="95"/>
          <w:sz w:val="24"/>
          <w:szCs w:val="24"/>
          <w:lang w:val="bs-Latn-BA"/>
        </w:rPr>
        <w:t>kao što je vođenje slučajeva i upravljanje postupcima, informacione tehnologije, strani jezici i</w:t>
      </w:r>
      <w:r w:rsidR="002E0B58">
        <w:rPr>
          <w:rFonts w:ascii="Arial" w:eastAsia="Calibri" w:hAnsi="Arial" w:cs="Arial"/>
          <w:w w:val="95"/>
          <w:sz w:val="24"/>
          <w:szCs w:val="24"/>
          <w:lang w:val="bs-Latn-BA"/>
        </w:rPr>
        <w:t xml:space="preserve"> </w:t>
      </w:r>
      <w:r w:rsidRPr="00FA5D68">
        <w:rPr>
          <w:rFonts w:ascii="Arial" w:eastAsia="Calibri" w:hAnsi="Arial" w:cs="Arial"/>
          <w:w w:val="95"/>
          <w:sz w:val="24"/>
          <w:szCs w:val="24"/>
          <w:lang w:val="bs-Latn-BA"/>
        </w:rPr>
        <w:t>dr.)</w:t>
      </w:r>
      <w:bookmarkEnd w:id="94"/>
      <w:bookmarkEnd w:id="95"/>
    </w:p>
    <w:p w14:paraId="34347C21" w14:textId="77777777" w:rsidR="00AD0011" w:rsidRPr="00FA5D68" w:rsidRDefault="00AD0011" w:rsidP="00AD0011">
      <w:pPr>
        <w:pStyle w:val="ListParagraph"/>
        <w:numPr>
          <w:ilvl w:val="0"/>
          <w:numId w:val="40"/>
        </w:numPr>
        <w:shd w:val="clear" w:color="auto" w:fill="FFFFFF"/>
        <w:spacing w:line="276" w:lineRule="auto"/>
        <w:ind w:right="146"/>
        <w:jc w:val="both"/>
        <w:outlineLvl w:val="1"/>
        <w:rPr>
          <w:rFonts w:ascii="Arial" w:eastAsia="Calibri" w:hAnsi="Arial" w:cs="Arial"/>
          <w:w w:val="95"/>
          <w:sz w:val="24"/>
          <w:szCs w:val="24"/>
          <w:lang w:val="bs-Latn-BA"/>
        </w:rPr>
      </w:pPr>
      <w:bookmarkStart w:id="96" w:name="_Toc68028724"/>
      <w:bookmarkStart w:id="97" w:name="_Toc68028871"/>
      <w:r w:rsidRPr="00FA5D68">
        <w:rPr>
          <w:rFonts w:ascii="Arial" w:eastAsia="Calibri" w:hAnsi="Arial" w:cs="Arial"/>
          <w:w w:val="95"/>
          <w:sz w:val="24"/>
          <w:szCs w:val="24"/>
          <w:lang w:val="bs-Latn-BA"/>
        </w:rPr>
        <w:t>Državna strategija za rad na predmetima ratnih zločina (koja naglašava, između ostalog, da se predmeti ratnih zločina koji se ocijene kao manje složeni procesuiraju pred kantonalnim i okružnim sudovima i entitetskim tužilaštvima)</w:t>
      </w:r>
      <w:bookmarkEnd w:id="96"/>
      <w:bookmarkEnd w:id="97"/>
    </w:p>
    <w:p w14:paraId="5C8ADA26" w14:textId="77777777" w:rsidR="00AD0011" w:rsidRPr="00FA5D68" w:rsidRDefault="00AD0011" w:rsidP="00AD0011">
      <w:pPr>
        <w:pStyle w:val="ListParagraph"/>
        <w:numPr>
          <w:ilvl w:val="0"/>
          <w:numId w:val="40"/>
        </w:numPr>
        <w:shd w:val="clear" w:color="auto" w:fill="FFFFFF"/>
        <w:spacing w:line="276" w:lineRule="auto"/>
        <w:ind w:right="146"/>
        <w:jc w:val="both"/>
        <w:outlineLvl w:val="1"/>
        <w:rPr>
          <w:rFonts w:ascii="Arial" w:eastAsia="Calibri" w:hAnsi="Arial" w:cs="Arial"/>
          <w:w w:val="95"/>
          <w:sz w:val="24"/>
          <w:szCs w:val="24"/>
          <w:lang w:val="bs-Latn-BA"/>
        </w:rPr>
      </w:pPr>
      <w:r w:rsidRPr="00FA5D68">
        <w:rPr>
          <w:rFonts w:ascii="Arial" w:eastAsia="Calibri" w:hAnsi="Arial" w:cs="Arial"/>
          <w:w w:val="95"/>
          <w:sz w:val="24"/>
          <w:szCs w:val="24"/>
          <w:lang w:val="bs-Latn-BA"/>
        </w:rPr>
        <w:t>Politika sigurnosti</w:t>
      </w:r>
    </w:p>
    <w:p w14:paraId="55DFCDAD" w14:textId="77777777" w:rsidR="00AD0011" w:rsidRPr="00FA5D68" w:rsidRDefault="00AD0011" w:rsidP="00AD0011">
      <w:pPr>
        <w:pStyle w:val="ListParagraph"/>
        <w:numPr>
          <w:ilvl w:val="0"/>
          <w:numId w:val="40"/>
        </w:numPr>
        <w:shd w:val="clear" w:color="auto" w:fill="FFFFFF"/>
        <w:spacing w:line="276" w:lineRule="auto"/>
        <w:ind w:right="146"/>
        <w:jc w:val="both"/>
        <w:outlineLvl w:val="1"/>
        <w:rPr>
          <w:rFonts w:ascii="Arial" w:eastAsia="Calibri" w:hAnsi="Arial" w:cs="Arial"/>
          <w:w w:val="95"/>
          <w:sz w:val="24"/>
          <w:szCs w:val="24"/>
          <w:lang w:val="bs-Latn-BA"/>
        </w:rPr>
      </w:pPr>
      <w:r w:rsidRPr="00FA5D68">
        <w:rPr>
          <w:rFonts w:ascii="Arial" w:eastAsia="Calibri" w:hAnsi="Arial" w:cs="Arial"/>
          <w:w w:val="95"/>
          <w:sz w:val="24"/>
          <w:szCs w:val="24"/>
          <w:lang w:val="bs-Latn-BA"/>
        </w:rPr>
        <w:t>Strategija za unapređenje rodne ravnopravnosti u pravosuđu BiH</w:t>
      </w:r>
    </w:p>
    <w:p w14:paraId="05E258F1" w14:textId="77777777" w:rsidR="00AD0011" w:rsidRPr="00FA5D68" w:rsidRDefault="00AD0011" w:rsidP="00AD0011">
      <w:pPr>
        <w:shd w:val="clear" w:color="auto" w:fill="FFFFFF"/>
        <w:spacing w:line="276" w:lineRule="auto"/>
        <w:ind w:right="146"/>
        <w:jc w:val="both"/>
        <w:rPr>
          <w:rFonts w:ascii="Arial" w:eastAsia="Calibri" w:hAnsi="Arial" w:cs="Arial"/>
          <w:w w:val="95"/>
          <w:sz w:val="24"/>
          <w:szCs w:val="24"/>
          <w:lang w:val="bs-Latn-BA"/>
        </w:rPr>
      </w:pPr>
    </w:p>
    <w:p w14:paraId="577AC907" w14:textId="77777777" w:rsidR="00AD0011" w:rsidRPr="00FA5D68" w:rsidRDefault="00AD0011" w:rsidP="00AD0011">
      <w:pPr>
        <w:shd w:val="clear" w:color="auto" w:fill="FFFFFF"/>
        <w:spacing w:line="276" w:lineRule="auto"/>
        <w:ind w:right="146"/>
        <w:jc w:val="both"/>
        <w:rPr>
          <w:rFonts w:ascii="Arial" w:eastAsia="Calibri" w:hAnsi="Arial" w:cs="Arial"/>
          <w:w w:val="95"/>
          <w:sz w:val="24"/>
          <w:szCs w:val="24"/>
          <w:lang w:val="bs-Latn-BA"/>
        </w:rPr>
      </w:pPr>
    </w:p>
    <w:p w14:paraId="1C7EE338" w14:textId="77777777" w:rsidR="00AD0011" w:rsidRPr="00FA5D68" w:rsidRDefault="00AD0011" w:rsidP="00AD0011">
      <w:pPr>
        <w:shd w:val="clear" w:color="auto" w:fill="FFFFFF"/>
        <w:spacing w:line="276" w:lineRule="auto"/>
        <w:ind w:right="146"/>
        <w:jc w:val="both"/>
        <w:rPr>
          <w:rFonts w:ascii="Arial" w:eastAsia="Calibri" w:hAnsi="Arial" w:cs="Arial"/>
          <w:w w:val="95"/>
          <w:sz w:val="24"/>
          <w:szCs w:val="24"/>
          <w:lang w:val="bs-Latn-BA"/>
        </w:rPr>
      </w:pPr>
    </w:p>
    <w:p w14:paraId="5C94E4BD" w14:textId="68780E8F" w:rsidR="00F316CC" w:rsidRDefault="00F316CC" w:rsidP="00F316CC">
      <w:pPr>
        <w:pStyle w:val="Heading1"/>
        <w:ind w:left="420" w:hanging="420"/>
        <w:jc w:val="both"/>
        <w:rPr>
          <w:rFonts w:eastAsia="Calibri"/>
        </w:rPr>
      </w:pPr>
      <w:r>
        <w:lastRenderedPageBreak/>
        <w:t>3)</w:t>
      </w:r>
      <w:r>
        <w:tab/>
        <w:t xml:space="preserve">Pregled strateških i trogodišnjih </w:t>
      </w:r>
      <w:r>
        <w:rPr>
          <w:rFonts w:eastAsia="Calibri"/>
        </w:rPr>
        <w:t>ciljeva za period strateškog planiranja</w:t>
      </w:r>
      <w:r w:rsidRPr="0031411E">
        <w:rPr>
          <w:rFonts w:eastAsia="Calibri"/>
        </w:rPr>
        <w:t xml:space="preserve"> </w:t>
      </w:r>
    </w:p>
    <w:p w14:paraId="57181F4B" w14:textId="77777777" w:rsidR="00F316CC" w:rsidRDefault="00F316CC" w:rsidP="00F316CC">
      <w:pPr>
        <w:rPr>
          <w:lang w:val="hr-HR"/>
        </w:rPr>
      </w:pPr>
    </w:p>
    <w:p w14:paraId="53756B05" w14:textId="5102DAEB" w:rsidR="00F316CC" w:rsidRPr="00FA5D68" w:rsidRDefault="00F316CC" w:rsidP="00F316CC">
      <w:pPr>
        <w:ind w:left="0"/>
        <w:jc w:val="both"/>
        <w:rPr>
          <w:rFonts w:ascii="Arial" w:hAnsi="Arial" w:cs="Arial"/>
          <w:sz w:val="24"/>
          <w:szCs w:val="24"/>
          <w:lang w:val="bs-Latn-BA"/>
        </w:rPr>
      </w:pPr>
      <w:r w:rsidRPr="00FA5D68">
        <w:rPr>
          <w:rFonts w:ascii="Arial" w:hAnsi="Arial" w:cs="Arial"/>
          <w:sz w:val="24"/>
          <w:szCs w:val="24"/>
          <w:lang w:val="bs-Latn-BA"/>
        </w:rPr>
        <w:t>Rad suda i njegove nadležnosti su definisane Zakonom o sudovima F</w:t>
      </w:r>
      <w:r>
        <w:rPr>
          <w:rFonts w:ascii="Arial" w:hAnsi="Arial" w:cs="Arial"/>
          <w:sz w:val="24"/>
          <w:szCs w:val="24"/>
          <w:lang w:val="bs-Latn-BA"/>
        </w:rPr>
        <w:t xml:space="preserve"> </w:t>
      </w:r>
      <w:r w:rsidRPr="00FA5D68">
        <w:rPr>
          <w:rFonts w:ascii="Arial" w:hAnsi="Arial" w:cs="Arial"/>
          <w:sz w:val="24"/>
          <w:szCs w:val="24"/>
          <w:lang w:val="bs-Latn-BA"/>
        </w:rPr>
        <w:t>BiH. Kantonalni sud u Goraždu će nastojati svojim radom doprinijeti ostvarenju slijedećih strateških ciljeva:</w:t>
      </w:r>
    </w:p>
    <w:p w14:paraId="5A97726F" w14:textId="77777777" w:rsidR="00F316CC" w:rsidRPr="00FA5D68" w:rsidRDefault="00F316CC" w:rsidP="00F316CC">
      <w:pPr>
        <w:rPr>
          <w:rFonts w:ascii="Arial" w:hAnsi="Arial" w:cs="Arial"/>
          <w:sz w:val="24"/>
          <w:szCs w:val="24"/>
          <w:lang w:val="bs-Latn-BA"/>
        </w:rPr>
      </w:pPr>
    </w:p>
    <w:p w14:paraId="2EE7C9F2" w14:textId="77777777" w:rsidR="00F316CC" w:rsidRPr="00F316CC" w:rsidRDefault="00F316CC" w:rsidP="00F316CC">
      <w:pPr>
        <w:ind w:left="0"/>
        <w:rPr>
          <w:rStyle w:val="fontstyle11"/>
          <w:rFonts w:ascii="Arial" w:hAnsi="Arial" w:cs="Arial"/>
          <w:b w:val="0"/>
          <w:color w:val="auto"/>
          <w:lang w:val="bs-Latn-BA"/>
        </w:rPr>
      </w:pPr>
      <w:r w:rsidRPr="004C19FE">
        <w:rPr>
          <w:rStyle w:val="fontstyle01"/>
          <w:rFonts w:ascii="Arial" w:hAnsi="Arial" w:cs="Arial"/>
          <w:b/>
          <w:i/>
          <w:color w:val="auto"/>
          <w:lang w:val="bs-Latn-BA"/>
        </w:rPr>
        <w:t>Strateški cilj broj 1</w:t>
      </w:r>
      <w:r w:rsidRPr="00F316CC">
        <w:rPr>
          <w:rStyle w:val="fontstyle01"/>
          <w:rFonts w:ascii="Arial" w:hAnsi="Arial" w:cs="Arial"/>
          <w:i/>
          <w:color w:val="auto"/>
          <w:lang w:val="bs-Latn-BA"/>
        </w:rPr>
        <w:t xml:space="preserve">: </w:t>
      </w:r>
      <w:r w:rsidRPr="00F316CC">
        <w:rPr>
          <w:rStyle w:val="fontstyle11"/>
          <w:rFonts w:ascii="Arial" w:hAnsi="Arial" w:cs="Arial"/>
          <w:b w:val="0"/>
          <w:color w:val="auto"/>
          <w:lang w:val="bs-Latn-BA"/>
        </w:rPr>
        <w:t xml:space="preserve">Unapređenje efikasnosti, odgovornosti, kvalitete i   </w:t>
      </w:r>
    </w:p>
    <w:p w14:paraId="5759FBDB" w14:textId="634DCBF6" w:rsidR="00F316CC" w:rsidRPr="00F316CC" w:rsidRDefault="00F316CC" w:rsidP="00F316CC">
      <w:pPr>
        <w:ind w:left="0"/>
        <w:rPr>
          <w:rStyle w:val="fontstyle11"/>
          <w:rFonts w:ascii="Arial" w:hAnsi="Arial" w:cs="Arial"/>
          <w:b w:val="0"/>
          <w:i w:val="0"/>
          <w:color w:val="auto"/>
          <w:lang w:val="bs-Latn-BA"/>
        </w:rPr>
      </w:pPr>
      <w:r w:rsidRPr="00F316CC">
        <w:rPr>
          <w:rStyle w:val="fontstyle11"/>
          <w:rFonts w:ascii="Arial" w:hAnsi="Arial" w:cs="Arial"/>
          <w:b w:val="0"/>
          <w:color w:val="auto"/>
          <w:lang w:val="bs-Latn-BA"/>
        </w:rPr>
        <w:t xml:space="preserve">                                 neovisnosti  sektora pravde u BiH</w:t>
      </w:r>
    </w:p>
    <w:p w14:paraId="321FD634" w14:textId="77777777" w:rsidR="00F316CC" w:rsidRPr="00F316CC" w:rsidRDefault="00F316CC" w:rsidP="00F316CC">
      <w:pPr>
        <w:ind w:left="0"/>
        <w:rPr>
          <w:rStyle w:val="fontstyle01"/>
          <w:rFonts w:ascii="Arial" w:hAnsi="Arial" w:cs="Arial"/>
          <w:i/>
          <w:color w:val="auto"/>
          <w:lang w:val="bs-Latn-BA"/>
        </w:rPr>
      </w:pPr>
    </w:p>
    <w:p w14:paraId="0A6953F9" w14:textId="77777777" w:rsidR="00F316CC" w:rsidRPr="00F316CC" w:rsidRDefault="00F316CC" w:rsidP="00F316CC">
      <w:pPr>
        <w:ind w:left="0"/>
        <w:rPr>
          <w:rStyle w:val="fontstyle01"/>
          <w:rFonts w:ascii="Arial" w:hAnsi="Arial" w:cs="Arial"/>
          <w:i/>
          <w:color w:val="auto"/>
          <w:lang w:val="bs-Latn-BA"/>
        </w:rPr>
      </w:pPr>
      <w:r w:rsidRPr="004C19FE">
        <w:rPr>
          <w:rStyle w:val="fontstyle01"/>
          <w:rFonts w:ascii="Arial" w:hAnsi="Arial" w:cs="Arial"/>
          <w:b/>
          <w:i/>
          <w:color w:val="auto"/>
          <w:lang w:val="bs-Latn-BA"/>
        </w:rPr>
        <w:t>Strateški cilj broj 2</w:t>
      </w:r>
      <w:r w:rsidRPr="00F316CC">
        <w:rPr>
          <w:rStyle w:val="fontstyle01"/>
          <w:rFonts w:ascii="Arial" w:hAnsi="Arial" w:cs="Arial"/>
          <w:b/>
          <w:color w:val="auto"/>
          <w:lang w:val="bs-Latn-BA"/>
        </w:rPr>
        <w:t xml:space="preserve"> : </w:t>
      </w:r>
      <w:r w:rsidRPr="00F316CC">
        <w:rPr>
          <w:rStyle w:val="fontstyle01"/>
          <w:rFonts w:ascii="Arial" w:hAnsi="Arial" w:cs="Arial"/>
          <w:i/>
          <w:color w:val="auto"/>
          <w:lang w:val="bs-Latn-BA"/>
        </w:rPr>
        <w:t>Procesuirati predmete ratnih zločina do kraja 2023. godine</w:t>
      </w:r>
    </w:p>
    <w:p w14:paraId="05C72B16" w14:textId="77777777" w:rsidR="00F316CC" w:rsidRPr="00F316CC" w:rsidRDefault="00F316CC" w:rsidP="00F316CC">
      <w:pPr>
        <w:keepNext/>
        <w:keepLines/>
        <w:spacing w:before="40"/>
        <w:ind w:left="720"/>
        <w:outlineLvl w:val="2"/>
        <w:rPr>
          <w:rFonts w:ascii="Arial" w:eastAsia="Times New Roman" w:hAnsi="Arial" w:cs="Arial"/>
          <w:b/>
          <w:i/>
          <w:w w:val="95"/>
          <w:sz w:val="24"/>
          <w:szCs w:val="24"/>
          <w:lang w:val="bs-Latn-B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82"/>
        <w:gridCol w:w="2677"/>
        <w:gridCol w:w="2111"/>
        <w:gridCol w:w="1992"/>
      </w:tblGrid>
      <w:tr w:rsidR="00F316CC" w:rsidRPr="00FA5D68" w14:paraId="3898E711" w14:textId="77777777" w:rsidTr="00610C8C">
        <w:tc>
          <w:tcPr>
            <w:tcW w:w="1259" w:type="pct"/>
            <w:shd w:val="clear" w:color="auto" w:fill="65BDFF"/>
            <w:vAlign w:val="center"/>
          </w:tcPr>
          <w:p w14:paraId="44CCA43D" w14:textId="77777777" w:rsidR="00F316CC" w:rsidRPr="00FA5D68" w:rsidRDefault="00F316CC" w:rsidP="00610C8C">
            <w:pPr>
              <w:tabs>
                <w:tab w:val="left" w:pos="2413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b/>
                <w:w w:val="95"/>
                <w:sz w:val="19"/>
                <w:szCs w:val="19"/>
                <w:lang w:val="bs-Latn-BA"/>
              </w:rPr>
              <w:t xml:space="preserve">Naziv strateškog cilja </w:t>
            </w:r>
            <w:r w:rsidRPr="00FA5D68">
              <w:rPr>
                <w:rFonts w:ascii="Arial" w:eastAsia="Calibri" w:hAnsi="Arial" w:cs="Arial"/>
                <w:i/>
                <w:w w:val="95"/>
                <w:sz w:val="19"/>
                <w:szCs w:val="19"/>
                <w:lang w:val="bs-Latn-BA"/>
              </w:rPr>
              <w:t>(</w:t>
            </w:r>
            <w:r w:rsidRPr="00FA5D68"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>maksimalno 3-5 strateških ciljeva)</w:t>
            </w:r>
          </w:p>
        </w:tc>
        <w:tc>
          <w:tcPr>
            <w:tcW w:w="1477" w:type="pct"/>
            <w:shd w:val="clear" w:color="auto" w:fill="65BDFF"/>
            <w:vAlign w:val="center"/>
          </w:tcPr>
          <w:p w14:paraId="79C5894E" w14:textId="77777777" w:rsidR="00F316CC" w:rsidRPr="00FA5D68" w:rsidRDefault="00F316CC" w:rsidP="00610C8C">
            <w:pPr>
              <w:tabs>
                <w:tab w:val="left" w:pos="2413"/>
              </w:tabs>
              <w:spacing w:line="276" w:lineRule="auto"/>
              <w:jc w:val="center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b/>
                <w:w w:val="95"/>
                <w:sz w:val="19"/>
                <w:szCs w:val="19"/>
                <w:lang w:val="bs-Latn-BA"/>
              </w:rPr>
              <w:t>Izvor</w:t>
            </w:r>
          </w:p>
          <w:p w14:paraId="2A316AAD" w14:textId="77777777" w:rsidR="00F316CC" w:rsidRPr="00FA5D68" w:rsidRDefault="00F316CC" w:rsidP="00610C8C">
            <w:pPr>
              <w:tabs>
                <w:tab w:val="left" w:pos="2413"/>
              </w:tabs>
              <w:spacing w:line="276" w:lineRule="auto"/>
              <w:jc w:val="center"/>
              <w:rPr>
                <w:rFonts w:ascii="Arial" w:eastAsia="Calibri" w:hAnsi="Arial" w:cs="Arial"/>
                <w:i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>(veza sa ciljevima iz strateškog okvira</w:t>
            </w:r>
            <w:r w:rsidRPr="00FA5D68">
              <w:rPr>
                <w:rFonts w:ascii="Arial" w:eastAsia="Calibri" w:hAnsi="Arial" w:cs="Arial"/>
                <w:i/>
                <w:w w:val="95"/>
                <w:sz w:val="19"/>
                <w:szCs w:val="19"/>
                <w:lang w:val="bs-Latn-BA"/>
              </w:rPr>
              <w:t>)</w:t>
            </w:r>
          </w:p>
        </w:tc>
        <w:tc>
          <w:tcPr>
            <w:tcW w:w="1165" w:type="pct"/>
            <w:shd w:val="clear" w:color="auto" w:fill="65BDFF"/>
            <w:vAlign w:val="center"/>
          </w:tcPr>
          <w:p w14:paraId="44D633B5" w14:textId="77777777" w:rsidR="00F316CC" w:rsidRPr="00FA5D68" w:rsidRDefault="00F316CC" w:rsidP="00610C8C">
            <w:pPr>
              <w:tabs>
                <w:tab w:val="left" w:pos="2413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b/>
                <w:w w:val="95"/>
                <w:sz w:val="19"/>
                <w:szCs w:val="19"/>
                <w:lang w:val="bs-Latn-BA"/>
              </w:rPr>
              <w:t>Program u DOB-u</w:t>
            </w:r>
          </w:p>
          <w:p w14:paraId="688A7DD2" w14:textId="77777777" w:rsidR="00F316CC" w:rsidRPr="00FA5D68" w:rsidRDefault="00F316CC" w:rsidP="00610C8C">
            <w:pPr>
              <w:tabs>
                <w:tab w:val="left" w:pos="2413"/>
              </w:tabs>
              <w:spacing w:line="276" w:lineRule="auto"/>
              <w:jc w:val="center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>(Upisati broj i naziv programa)</w:t>
            </w:r>
          </w:p>
        </w:tc>
        <w:tc>
          <w:tcPr>
            <w:tcW w:w="1100" w:type="pct"/>
            <w:shd w:val="clear" w:color="auto" w:fill="65BDFF"/>
            <w:vAlign w:val="center"/>
          </w:tcPr>
          <w:p w14:paraId="2409BDAD" w14:textId="77777777" w:rsidR="00F316CC" w:rsidRPr="00FA5D68" w:rsidRDefault="00F316CC" w:rsidP="00610C8C">
            <w:pPr>
              <w:tabs>
                <w:tab w:val="left" w:pos="2413"/>
              </w:tabs>
              <w:spacing w:line="276" w:lineRule="auto"/>
              <w:jc w:val="center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b/>
                <w:w w:val="95"/>
                <w:sz w:val="19"/>
                <w:szCs w:val="19"/>
                <w:lang w:val="bs-Latn-BA"/>
              </w:rPr>
              <w:t>Partneri</w:t>
            </w:r>
          </w:p>
          <w:p w14:paraId="24BE6E44" w14:textId="77777777" w:rsidR="00F316CC" w:rsidRPr="00FA5D68" w:rsidRDefault="00F316CC" w:rsidP="00610C8C">
            <w:pPr>
              <w:tabs>
                <w:tab w:val="left" w:pos="2413"/>
              </w:tabs>
              <w:spacing w:line="276" w:lineRule="auto"/>
              <w:jc w:val="center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>(institucije sa kojima sud zajedno učestvuje u realizaciji strateškog cilja)</w:t>
            </w:r>
          </w:p>
        </w:tc>
      </w:tr>
      <w:tr w:rsidR="00F316CC" w:rsidRPr="00FA5D68" w14:paraId="2538045D" w14:textId="77777777" w:rsidTr="00610C8C">
        <w:tc>
          <w:tcPr>
            <w:tcW w:w="1259" w:type="pct"/>
          </w:tcPr>
          <w:p w14:paraId="5CE55223" w14:textId="37C977FA" w:rsidR="00F316CC" w:rsidRPr="00DD2D03" w:rsidRDefault="00F316CC" w:rsidP="00610C8C">
            <w:pPr>
              <w:rPr>
                <w:rStyle w:val="fontstyle01"/>
                <w:rFonts w:ascii="Arial" w:hAnsi="Arial" w:cs="Arial"/>
                <w:i/>
                <w:color w:val="auto"/>
                <w:sz w:val="19"/>
                <w:szCs w:val="19"/>
                <w:lang w:val="bs-Latn-BA"/>
              </w:rPr>
            </w:pPr>
            <w:r w:rsidRPr="00DD2D03">
              <w:rPr>
                <w:rStyle w:val="fontstyle11"/>
                <w:rFonts w:ascii="Arial" w:hAnsi="Arial" w:cs="Arial"/>
                <w:color w:val="auto"/>
                <w:sz w:val="19"/>
                <w:szCs w:val="19"/>
                <w:lang w:val="bs-Latn-BA"/>
              </w:rPr>
              <w:t>1.</w:t>
            </w:r>
            <w:r w:rsidRPr="00DD2D03">
              <w:rPr>
                <w:rStyle w:val="fontstyle11"/>
                <w:rFonts w:ascii="Arial" w:hAnsi="Arial" w:cs="Arial"/>
                <w:i w:val="0"/>
                <w:color w:val="auto"/>
                <w:sz w:val="19"/>
                <w:szCs w:val="19"/>
                <w:lang w:val="bs-Latn-BA"/>
              </w:rPr>
              <w:t xml:space="preserve">Unapređenje efikasnosti, odgovornosti, kvalitete i </w:t>
            </w:r>
            <w:r w:rsidR="002E0B58">
              <w:rPr>
                <w:rStyle w:val="fontstyle11"/>
                <w:rFonts w:ascii="Arial" w:hAnsi="Arial" w:cs="Arial"/>
                <w:i w:val="0"/>
                <w:color w:val="auto"/>
                <w:sz w:val="19"/>
                <w:szCs w:val="19"/>
                <w:lang w:val="bs-Latn-BA"/>
              </w:rPr>
              <w:t>neovisnosti sektora pravde u BiH</w:t>
            </w:r>
          </w:p>
          <w:p w14:paraId="648CF62F" w14:textId="77777777" w:rsidR="00F316CC" w:rsidRPr="00FA5D68" w:rsidRDefault="00F316CC" w:rsidP="00610C8C">
            <w:pPr>
              <w:tabs>
                <w:tab w:val="left" w:pos="2413"/>
              </w:tabs>
              <w:spacing w:line="276" w:lineRule="auto"/>
              <w:jc w:val="both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</w:p>
        </w:tc>
        <w:tc>
          <w:tcPr>
            <w:tcW w:w="1477" w:type="pct"/>
          </w:tcPr>
          <w:p w14:paraId="0ECD5161" w14:textId="77777777" w:rsidR="00F316CC" w:rsidRPr="00FA5D68" w:rsidRDefault="00F316CC" w:rsidP="00610C8C">
            <w:pPr>
              <w:tabs>
                <w:tab w:val="left" w:pos="2413"/>
              </w:tabs>
              <w:spacing w:line="276" w:lineRule="auto"/>
              <w:rPr>
                <w:rStyle w:val="fontstyle01"/>
                <w:rFonts w:ascii="Arial" w:hAnsi="Arial" w:cs="Arial"/>
                <w:color w:val="auto"/>
                <w:sz w:val="19"/>
                <w:szCs w:val="19"/>
                <w:lang w:val="bs-Latn-BA"/>
              </w:rPr>
            </w:pPr>
            <w:r w:rsidRPr="00FA5D68">
              <w:rPr>
                <w:rStyle w:val="fontstyle01"/>
                <w:rFonts w:ascii="Arial" w:hAnsi="Arial" w:cs="Arial"/>
                <w:color w:val="auto"/>
                <w:sz w:val="19"/>
                <w:szCs w:val="19"/>
                <w:lang w:val="bs-Latn-BA"/>
              </w:rPr>
              <w:t>Strategija za reformu sektora pravde</w:t>
            </w:r>
          </w:p>
          <w:p w14:paraId="75B7A3B8" w14:textId="1B7DAC48" w:rsidR="00F316CC" w:rsidRPr="00FA5D68" w:rsidRDefault="00F316CC" w:rsidP="00610C8C">
            <w:pPr>
              <w:tabs>
                <w:tab w:val="left" w:pos="2413"/>
              </w:tabs>
              <w:spacing w:line="276" w:lineRule="auto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  <w:r w:rsidRPr="00FA5D68">
              <w:rPr>
                <w:rStyle w:val="fontstyle01"/>
                <w:rFonts w:ascii="Arial" w:hAnsi="Arial" w:cs="Arial"/>
                <w:color w:val="auto"/>
                <w:sz w:val="19"/>
                <w:szCs w:val="19"/>
                <w:lang w:val="bs-Latn-BA"/>
              </w:rPr>
              <w:t>Srednjoročni program rada Vijeća ministara 2019</w:t>
            </w:r>
            <w:r w:rsidR="002E0B58">
              <w:rPr>
                <w:rStyle w:val="fontstyle01"/>
                <w:rFonts w:ascii="Arial" w:hAnsi="Arial" w:cs="Arial"/>
                <w:color w:val="auto"/>
                <w:sz w:val="19"/>
                <w:szCs w:val="19"/>
                <w:lang w:val="bs-Latn-BA"/>
              </w:rPr>
              <w:t>.</w:t>
            </w:r>
            <w:r w:rsidRPr="00FA5D68">
              <w:rPr>
                <w:rStyle w:val="fontstyle01"/>
                <w:rFonts w:ascii="Arial" w:hAnsi="Arial" w:cs="Arial"/>
                <w:color w:val="auto"/>
                <w:sz w:val="19"/>
                <w:szCs w:val="19"/>
                <w:lang w:val="bs-Latn-BA"/>
              </w:rPr>
              <w:t>-2021. godina</w:t>
            </w:r>
          </w:p>
        </w:tc>
        <w:tc>
          <w:tcPr>
            <w:tcW w:w="1165" w:type="pct"/>
          </w:tcPr>
          <w:p w14:paraId="2110AD80" w14:textId="77777777" w:rsidR="00F316CC" w:rsidRPr="00FA5D68" w:rsidRDefault="00F316CC" w:rsidP="00610C8C">
            <w:pPr>
              <w:tabs>
                <w:tab w:val="left" w:pos="2413"/>
              </w:tabs>
              <w:spacing w:line="276" w:lineRule="auto"/>
              <w:jc w:val="both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</w:p>
        </w:tc>
        <w:tc>
          <w:tcPr>
            <w:tcW w:w="1100" w:type="pct"/>
          </w:tcPr>
          <w:p w14:paraId="17DCD175" w14:textId="77777777" w:rsidR="00F316CC" w:rsidRPr="00FA5D68" w:rsidRDefault="00F316CC" w:rsidP="00610C8C">
            <w:pPr>
              <w:tabs>
                <w:tab w:val="left" w:pos="2413"/>
              </w:tabs>
              <w:spacing w:line="276" w:lineRule="auto"/>
              <w:jc w:val="both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>VSTV BiH</w:t>
            </w:r>
          </w:p>
          <w:p w14:paraId="0D5C33B3" w14:textId="77777777" w:rsidR="00F316CC" w:rsidRPr="00FA5D68" w:rsidRDefault="00F316CC" w:rsidP="00610C8C">
            <w:pPr>
              <w:tabs>
                <w:tab w:val="left" w:pos="2413"/>
              </w:tabs>
              <w:spacing w:line="276" w:lineRule="auto"/>
              <w:jc w:val="both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>Kantonalni sud u Sarajevu</w:t>
            </w:r>
          </w:p>
        </w:tc>
      </w:tr>
      <w:tr w:rsidR="00F316CC" w:rsidRPr="00FA5D68" w14:paraId="75C70E74" w14:textId="77777777" w:rsidTr="00610C8C">
        <w:tc>
          <w:tcPr>
            <w:tcW w:w="1259" w:type="pct"/>
            <w:vMerge w:val="restart"/>
            <w:shd w:val="clear" w:color="auto" w:fill="65BDFF"/>
          </w:tcPr>
          <w:p w14:paraId="710C2F4F" w14:textId="77777777" w:rsidR="00F316CC" w:rsidRPr="00FA5D68" w:rsidRDefault="00F316CC" w:rsidP="00610C8C">
            <w:pPr>
              <w:tabs>
                <w:tab w:val="left" w:pos="2413"/>
              </w:tabs>
              <w:spacing w:line="276" w:lineRule="auto"/>
              <w:jc w:val="both"/>
              <w:rPr>
                <w:rFonts w:ascii="Arial" w:eastAsia="Calibri" w:hAnsi="Arial" w:cs="Arial"/>
                <w:b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b/>
                <w:w w:val="95"/>
                <w:sz w:val="19"/>
                <w:szCs w:val="19"/>
                <w:lang w:val="bs-Latn-BA"/>
              </w:rPr>
              <w:t>Pokazatelji za krajnje rezultate</w:t>
            </w:r>
          </w:p>
        </w:tc>
        <w:tc>
          <w:tcPr>
            <w:tcW w:w="3741" w:type="pct"/>
            <w:gridSpan w:val="3"/>
            <w:shd w:val="clear" w:color="auto" w:fill="65BDFF"/>
            <w:vAlign w:val="center"/>
          </w:tcPr>
          <w:p w14:paraId="7B7FED7F" w14:textId="77777777" w:rsidR="00F316CC" w:rsidRPr="00FA5D68" w:rsidRDefault="00F316CC" w:rsidP="00610C8C">
            <w:pPr>
              <w:tabs>
                <w:tab w:val="left" w:pos="2413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b/>
                <w:w w:val="95"/>
                <w:sz w:val="19"/>
                <w:szCs w:val="19"/>
                <w:lang w:val="bs-Latn-BA"/>
              </w:rPr>
              <w:t>Očekivani rezultati po godinama</w:t>
            </w:r>
          </w:p>
        </w:tc>
      </w:tr>
      <w:tr w:rsidR="00F316CC" w:rsidRPr="00FA5D68" w14:paraId="16DD6BBD" w14:textId="77777777" w:rsidTr="00610C8C">
        <w:tc>
          <w:tcPr>
            <w:tcW w:w="1259" w:type="pct"/>
            <w:vMerge/>
          </w:tcPr>
          <w:p w14:paraId="708278F1" w14:textId="77777777" w:rsidR="00F316CC" w:rsidRPr="00FA5D68" w:rsidRDefault="00F316CC" w:rsidP="00610C8C">
            <w:pPr>
              <w:tabs>
                <w:tab w:val="left" w:pos="2413"/>
              </w:tabs>
              <w:spacing w:line="276" w:lineRule="auto"/>
              <w:jc w:val="both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</w:p>
        </w:tc>
        <w:tc>
          <w:tcPr>
            <w:tcW w:w="1477" w:type="pct"/>
            <w:shd w:val="clear" w:color="auto" w:fill="6DD9FF"/>
            <w:vAlign w:val="center"/>
          </w:tcPr>
          <w:p w14:paraId="586698AE" w14:textId="77777777" w:rsidR="00F316CC" w:rsidRPr="00FA5D68" w:rsidRDefault="00F316CC" w:rsidP="00610C8C">
            <w:pPr>
              <w:tabs>
                <w:tab w:val="left" w:pos="2413"/>
              </w:tabs>
              <w:spacing w:line="276" w:lineRule="auto"/>
              <w:jc w:val="center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>2022</w:t>
            </w:r>
          </w:p>
        </w:tc>
        <w:tc>
          <w:tcPr>
            <w:tcW w:w="1165" w:type="pct"/>
            <w:shd w:val="clear" w:color="auto" w:fill="6DD9FF"/>
            <w:vAlign w:val="center"/>
          </w:tcPr>
          <w:p w14:paraId="72FC3109" w14:textId="77777777" w:rsidR="00F316CC" w:rsidRPr="00FA5D68" w:rsidRDefault="00F316CC" w:rsidP="00610C8C">
            <w:pPr>
              <w:tabs>
                <w:tab w:val="left" w:pos="2413"/>
              </w:tabs>
              <w:spacing w:line="276" w:lineRule="auto"/>
              <w:jc w:val="center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>2023</w:t>
            </w:r>
          </w:p>
        </w:tc>
        <w:tc>
          <w:tcPr>
            <w:tcW w:w="1100" w:type="pct"/>
            <w:shd w:val="clear" w:color="auto" w:fill="6DD9FF"/>
            <w:vAlign w:val="center"/>
          </w:tcPr>
          <w:p w14:paraId="4FF220B4" w14:textId="77777777" w:rsidR="00F316CC" w:rsidRPr="00FA5D68" w:rsidRDefault="00F316CC" w:rsidP="00610C8C">
            <w:pPr>
              <w:tabs>
                <w:tab w:val="left" w:pos="2413"/>
              </w:tabs>
              <w:spacing w:line="276" w:lineRule="auto"/>
              <w:jc w:val="center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>2024</w:t>
            </w:r>
          </w:p>
        </w:tc>
      </w:tr>
      <w:tr w:rsidR="00F316CC" w:rsidRPr="00FA5D68" w14:paraId="229F2990" w14:textId="77777777" w:rsidTr="00610C8C">
        <w:tc>
          <w:tcPr>
            <w:tcW w:w="1259" w:type="pct"/>
          </w:tcPr>
          <w:p w14:paraId="477AFD0A" w14:textId="77777777" w:rsidR="00F316CC" w:rsidRPr="00FA5D68" w:rsidRDefault="00F316CC" w:rsidP="00610C8C">
            <w:pPr>
              <w:tabs>
                <w:tab w:val="left" w:pos="2413"/>
              </w:tabs>
              <w:spacing w:line="276" w:lineRule="auto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</w:p>
          <w:p w14:paraId="544A3821" w14:textId="77777777" w:rsidR="00F316CC" w:rsidRPr="00FA5D68" w:rsidRDefault="00F316CC" w:rsidP="00610C8C">
            <w:pPr>
              <w:tabs>
                <w:tab w:val="left" w:pos="2413"/>
              </w:tabs>
              <w:spacing w:line="276" w:lineRule="auto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 xml:space="preserve">Broj riješenih predmeta </w:t>
            </w:r>
          </w:p>
        </w:tc>
        <w:tc>
          <w:tcPr>
            <w:tcW w:w="1477" w:type="pct"/>
            <w:vAlign w:val="center"/>
          </w:tcPr>
          <w:p w14:paraId="3E583F7A" w14:textId="77777777" w:rsidR="00F316CC" w:rsidRPr="00FA5D68" w:rsidRDefault="00F316CC" w:rsidP="00610C8C">
            <w:pPr>
              <w:tabs>
                <w:tab w:val="left" w:pos="2413"/>
              </w:tabs>
              <w:spacing w:line="276" w:lineRule="auto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>Riješeni svi novozaprimljeni predmeti do mjeseca decembra tekuće godine</w:t>
            </w:r>
          </w:p>
        </w:tc>
        <w:tc>
          <w:tcPr>
            <w:tcW w:w="1165" w:type="pct"/>
            <w:vAlign w:val="center"/>
          </w:tcPr>
          <w:p w14:paraId="5A87FDF7" w14:textId="77777777" w:rsidR="00F316CC" w:rsidRPr="00FA5D68" w:rsidRDefault="00F316CC" w:rsidP="00610C8C">
            <w:pPr>
              <w:tabs>
                <w:tab w:val="left" w:pos="2413"/>
              </w:tabs>
              <w:spacing w:line="276" w:lineRule="auto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>Riješeni svi novozaprimljeni predmeti do mjeseca decembra tekuće godine</w:t>
            </w:r>
          </w:p>
        </w:tc>
        <w:tc>
          <w:tcPr>
            <w:tcW w:w="1100" w:type="pct"/>
            <w:vAlign w:val="center"/>
          </w:tcPr>
          <w:p w14:paraId="2E26D3FC" w14:textId="77777777" w:rsidR="00F316CC" w:rsidRPr="00FA5D68" w:rsidRDefault="00F316CC" w:rsidP="00610C8C">
            <w:pPr>
              <w:tabs>
                <w:tab w:val="left" w:pos="2413"/>
              </w:tabs>
              <w:spacing w:line="276" w:lineRule="auto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>Riješeni svi novozaprimljeni predmeti do mjeseca decembra tekuće godine</w:t>
            </w:r>
          </w:p>
        </w:tc>
      </w:tr>
    </w:tbl>
    <w:p w14:paraId="4F0A49EF" w14:textId="77777777" w:rsidR="00F316CC" w:rsidRPr="00FA5D68" w:rsidRDefault="00F316CC" w:rsidP="00F316CC">
      <w:pPr>
        <w:ind w:left="0"/>
        <w:rPr>
          <w:rFonts w:ascii="Arial" w:eastAsia="Calibri" w:hAnsi="Arial" w:cs="Arial"/>
          <w:i/>
          <w:w w:val="95"/>
          <w:sz w:val="24"/>
          <w:szCs w:val="24"/>
          <w:lang w:val="bs-Latn-B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93"/>
        <w:gridCol w:w="3061"/>
        <w:gridCol w:w="1923"/>
        <w:gridCol w:w="1785"/>
      </w:tblGrid>
      <w:tr w:rsidR="00F316CC" w:rsidRPr="00FA5D68" w14:paraId="469E8EE5" w14:textId="77777777" w:rsidTr="00610C8C">
        <w:tc>
          <w:tcPr>
            <w:tcW w:w="1265" w:type="pct"/>
            <w:shd w:val="clear" w:color="auto" w:fill="65BDFF"/>
            <w:vAlign w:val="center"/>
          </w:tcPr>
          <w:p w14:paraId="58C340BF" w14:textId="77777777" w:rsidR="00F316CC" w:rsidRPr="00FA5D68" w:rsidRDefault="00F316CC" w:rsidP="00610C8C">
            <w:pPr>
              <w:tabs>
                <w:tab w:val="left" w:pos="2413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b/>
                <w:w w:val="95"/>
                <w:sz w:val="19"/>
                <w:szCs w:val="19"/>
                <w:lang w:val="bs-Latn-BA"/>
              </w:rPr>
              <w:t xml:space="preserve">Naziv strateškog cilja </w:t>
            </w:r>
            <w:r w:rsidRPr="00FA5D68"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>(maksimalno 3-5 strateških ciljeva</w:t>
            </w:r>
            <w:r w:rsidRPr="00FA5D68">
              <w:rPr>
                <w:rFonts w:ascii="Arial" w:eastAsia="Calibri" w:hAnsi="Arial" w:cs="Arial"/>
                <w:i/>
                <w:w w:val="95"/>
                <w:sz w:val="19"/>
                <w:szCs w:val="19"/>
                <w:lang w:val="bs-Latn-BA"/>
              </w:rPr>
              <w:t>)</w:t>
            </w:r>
          </w:p>
        </w:tc>
        <w:tc>
          <w:tcPr>
            <w:tcW w:w="1689" w:type="pct"/>
            <w:shd w:val="clear" w:color="auto" w:fill="65BDFF"/>
            <w:vAlign w:val="center"/>
          </w:tcPr>
          <w:p w14:paraId="5597C0F1" w14:textId="77777777" w:rsidR="00F316CC" w:rsidRPr="00FA5D68" w:rsidRDefault="00F316CC" w:rsidP="00610C8C">
            <w:pPr>
              <w:tabs>
                <w:tab w:val="left" w:pos="2413"/>
              </w:tabs>
              <w:spacing w:line="276" w:lineRule="auto"/>
              <w:jc w:val="center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b/>
                <w:w w:val="95"/>
                <w:sz w:val="19"/>
                <w:szCs w:val="19"/>
                <w:lang w:val="bs-Latn-BA"/>
              </w:rPr>
              <w:t>Izvor</w:t>
            </w:r>
          </w:p>
          <w:p w14:paraId="39D1CA6C" w14:textId="77777777" w:rsidR="00F316CC" w:rsidRPr="00FA5D68" w:rsidRDefault="00F316CC" w:rsidP="00610C8C">
            <w:pPr>
              <w:tabs>
                <w:tab w:val="left" w:pos="2413"/>
              </w:tabs>
              <w:spacing w:line="276" w:lineRule="auto"/>
              <w:jc w:val="center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>(veza sa ciljevima iz strateškog okvira)</w:t>
            </w:r>
          </w:p>
        </w:tc>
        <w:tc>
          <w:tcPr>
            <w:tcW w:w="1061" w:type="pct"/>
            <w:shd w:val="clear" w:color="auto" w:fill="65BDFF"/>
            <w:vAlign w:val="center"/>
          </w:tcPr>
          <w:p w14:paraId="404F6827" w14:textId="77777777" w:rsidR="00F316CC" w:rsidRPr="00FA5D68" w:rsidRDefault="00F316CC" w:rsidP="00610C8C">
            <w:pPr>
              <w:tabs>
                <w:tab w:val="left" w:pos="2413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b/>
                <w:w w:val="95"/>
                <w:sz w:val="19"/>
                <w:szCs w:val="19"/>
                <w:lang w:val="bs-Latn-BA"/>
              </w:rPr>
              <w:t>Program u DOB-u</w:t>
            </w:r>
          </w:p>
          <w:p w14:paraId="415B6E9E" w14:textId="77777777" w:rsidR="00F316CC" w:rsidRPr="00FA5D68" w:rsidRDefault="00F316CC" w:rsidP="00610C8C">
            <w:pPr>
              <w:tabs>
                <w:tab w:val="left" w:pos="2413"/>
              </w:tabs>
              <w:spacing w:line="276" w:lineRule="auto"/>
              <w:jc w:val="center"/>
              <w:rPr>
                <w:rFonts w:ascii="Arial" w:eastAsia="Calibri" w:hAnsi="Arial" w:cs="Arial"/>
                <w:i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>(Upisati broj i naziv programa</w:t>
            </w:r>
            <w:r w:rsidRPr="00FA5D68">
              <w:rPr>
                <w:rFonts w:ascii="Arial" w:eastAsia="Calibri" w:hAnsi="Arial" w:cs="Arial"/>
                <w:i/>
                <w:w w:val="95"/>
                <w:sz w:val="19"/>
                <w:szCs w:val="19"/>
                <w:lang w:val="bs-Latn-BA"/>
              </w:rPr>
              <w:t>)</w:t>
            </w:r>
          </w:p>
        </w:tc>
        <w:tc>
          <w:tcPr>
            <w:tcW w:w="985" w:type="pct"/>
            <w:shd w:val="clear" w:color="auto" w:fill="65BDFF"/>
            <w:vAlign w:val="center"/>
          </w:tcPr>
          <w:p w14:paraId="6BAF840E" w14:textId="77777777" w:rsidR="00F316CC" w:rsidRPr="00FA5D68" w:rsidRDefault="00F316CC" w:rsidP="00610C8C">
            <w:pPr>
              <w:tabs>
                <w:tab w:val="left" w:pos="2413"/>
              </w:tabs>
              <w:spacing w:line="276" w:lineRule="auto"/>
              <w:jc w:val="center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b/>
                <w:w w:val="95"/>
                <w:sz w:val="19"/>
                <w:szCs w:val="19"/>
                <w:lang w:val="bs-Latn-BA"/>
              </w:rPr>
              <w:t>Partneri</w:t>
            </w:r>
          </w:p>
          <w:p w14:paraId="4769F310" w14:textId="77777777" w:rsidR="00F316CC" w:rsidRPr="00FA5D68" w:rsidRDefault="00F316CC" w:rsidP="00610C8C">
            <w:pPr>
              <w:tabs>
                <w:tab w:val="left" w:pos="2413"/>
              </w:tabs>
              <w:spacing w:line="276" w:lineRule="auto"/>
              <w:jc w:val="center"/>
              <w:rPr>
                <w:rFonts w:ascii="Arial" w:eastAsia="Calibri" w:hAnsi="Arial" w:cs="Arial"/>
                <w:i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>(institucije sa kojima sud zajedno učestvuje u realizaciji strateškog cilja</w:t>
            </w:r>
            <w:r w:rsidRPr="00FA5D68">
              <w:rPr>
                <w:rFonts w:ascii="Arial" w:eastAsia="Calibri" w:hAnsi="Arial" w:cs="Arial"/>
                <w:i/>
                <w:w w:val="95"/>
                <w:sz w:val="19"/>
                <w:szCs w:val="19"/>
                <w:lang w:val="bs-Latn-BA"/>
              </w:rPr>
              <w:t>)</w:t>
            </w:r>
          </w:p>
        </w:tc>
      </w:tr>
      <w:tr w:rsidR="00F316CC" w:rsidRPr="00FA5D68" w14:paraId="3179C110" w14:textId="77777777" w:rsidTr="00610C8C">
        <w:tc>
          <w:tcPr>
            <w:tcW w:w="1265" w:type="pct"/>
          </w:tcPr>
          <w:p w14:paraId="4BDCB81D" w14:textId="77777777" w:rsidR="00F316CC" w:rsidRPr="00FA5D68" w:rsidRDefault="00F316CC" w:rsidP="00610C8C">
            <w:pPr>
              <w:tabs>
                <w:tab w:val="left" w:pos="2413"/>
              </w:tabs>
              <w:spacing w:line="276" w:lineRule="auto"/>
              <w:rPr>
                <w:rFonts w:ascii="Arial" w:eastAsia="Calibri" w:hAnsi="Arial" w:cs="Arial"/>
                <w:b/>
                <w:w w:val="95"/>
                <w:sz w:val="19"/>
                <w:szCs w:val="19"/>
                <w:lang w:val="bs-Latn-BA"/>
              </w:rPr>
            </w:pPr>
            <w:r w:rsidRPr="00FA5D68">
              <w:rPr>
                <w:rStyle w:val="fontstyle01"/>
                <w:rFonts w:ascii="Arial" w:hAnsi="Arial" w:cs="Arial"/>
                <w:b/>
                <w:color w:val="auto"/>
                <w:sz w:val="19"/>
                <w:szCs w:val="19"/>
                <w:lang w:val="bs-Latn-BA"/>
              </w:rPr>
              <w:t>2.Procesuirati predmete ratnih zločina do kraja 2023. godine</w:t>
            </w:r>
          </w:p>
        </w:tc>
        <w:tc>
          <w:tcPr>
            <w:tcW w:w="1689" w:type="pct"/>
          </w:tcPr>
          <w:p w14:paraId="6D9010F7" w14:textId="77777777" w:rsidR="00F316CC" w:rsidRPr="00FA5D68" w:rsidRDefault="00F316CC" w:rsidP="00610C8C">
            <w:pPr>
              <w:tabs>
                <w:tab w:val="left" w:pos="2413"/>
              </w:tabs>
              <w:spacing w:line="276" w:lineRule="auto"/>
              <w:rPr>
                <w:rFonts w:ascii="Arial" w:eastAsia="Calibri" w:hAnsi="Arial" w:cs="Arial"/>
                <w:b/>
                <w:i/>
                <w:w w:val="95"/>
                <w:sz w:val="19"/>
                <w:szCs w:val="19"/>
                <w:lang w:val="bs-Latn-BA"/>
              </w:rPr>
            </w:pPr>
            <w:r w:rsidRPr="00FA5D68">
              <w:rPr>
                <w:rStyle w:val="fontstyle11"/>
                <w:color w:val="auto"/>
                <w:sz w:val="19"/>
                <w:szCs w:val="19"/>
                <w:lang w:val="bs-Latn-BA"/>
              </w:rPr>
              <w:t>Revidirana državna strategija za rješavanje predmeta ratnih zločina u sudovima u BiH</w:t>
            </w:r>
          </w:p>
        </w:tc>
        <w:tc>
          <w:tcPr>
            <w:tcW w:w="1061" w:type="pct"/>
          </w:tcPr>
          <w:p w14:paraId="4AE7CB2A" w14:textId="77777777" w:rsidR="00F316CC" w:rsidRPr="00FA5D68" w:rsidRDefault="00F316CC" w:rsidP="00610C8C">
            <w:pPr>
              <w:tabs>
                <w:tab w:val="left" w:pos="2413"/>
              </w:tabs>
              <w:spacing w:line="276" w:lineRule="auto"/>
              <w:jc w:val="both"/>
              <w:rPr>
                <w:rFonts w:ascii="Arial" w:eastAsia="Calibri" w:hAnsi="Arial" w:cs="Arial"/>
                <w:w w:val="95"/>
                <w:lang w:val="bs-Latn-BA"/>
              </w:rPr>
            </w:pPr>
          </w:p>
        </w:tc>
        <w:tc>
          <w:tcPr>
            <w:tcW w:w="985" w:type="pct"/>
          </w:tcPr>
          <w:p w14:paraId="3969F8C7" w14:textId="77777777" w:rsidR="00F316CC" w:rsidRPr="00FA5D68" w:rsidRDefault="00F316CC" w:rsidP="00610C8C">
            <w:pPr>
              <w:tabs>
                <w:tab w:val="left" w:pos="2413"/>
              </w:tabs>
              <w:spacing w:line="276" w:lineRule="auto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>Sud BiH (ako se radi o prenesenim predmetima)</w:t>
            </w:r>
          </w:p>
        </w:tc>
      </w:tr>
      <w:tr w:rsidR="00F316CC" w:rsidRPr="00FA5D68" w14:paraId="2795C7F4" w14:textId="77777777" w:rsidTr="00610C8C">
        <w:tc>
          <w:tcPr>
            <w:tcW w:w="1265" w:type="pct"/>
            <w:vMerge w:val="restart"/>
            <w:shd w:val="clear" w:color="auto" w:fill="65BDFF"/>
          </w:tcPr>
          <w:p w14:paraId="26F04354" w14:textId="77777777" w:rsidR="00F316CC" w:rsidRPr="00FA5D68" w:rsidRDefault="00F316CC" w:rsidP="00610C8C">
            <w:pPr>
              <w:tabs>
                <w:tab w:val="left" w:pos="2413"/>
              </w:tabs>
              <w:spacing w:line="276" w:lineRule="auto"/>
              <w:jc w:val="both"/>
              <w:rPr>
                <w:rFonts w:ascii="Arial" w:eastAsia="Calibri" w:hAnsi="Arial" w:cs="Arial"/>
                <w:b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b/>
                <w:w w:val="95"/>
                <w:sz w:val="19"/>
                <w:szCs w:val="19"/>
                <w:lang w:val="bs-Latn-BA"/>
              </w:rPr>
              <w:t>Pokazatelji za krajnje rezultate</w:t>
            </w:r>
          </w:p>
        </w:tc>
        <w:tc>
          <w:tcPr>
            <w:tcW w:w="3735" w:type="pct"/>
            <w:gridSpan w:val="3"/>
            <w:shd w:val="clear" w:color="auto" w:fill="65BDFF"/>
            <w:vAlign w:val="center"/>
          </w:tcPr>
          <w:p w14:paraId="6A53B00D" w14:textId="77777777" w:rsidR="00F316CC" w:rsidRPr="00FA5D68" w:rsidRDefault="00F316CC" w:rsidP="00610C8C">
            <w:pPr>
              <w:tabs>
                <w:tab w:val="left" w:pos="2413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b/>
                <w:w w:val="95"/>
                <w:sz w:val="19"/>
                <w:szCs w:val="19"/>
                <w:lang w:val="bs-Latn-BA"/>
              </w:rPr>
              <w:t>Očekivani rezultati po godinama</w:t>
            </w:r>
          </w:p>
        </w:tc>
      </w:tr>
      <w:tr w:rsidR="00F316CC" w:rsidRPr="00FA5D68" w14:paraId="300D0019" w14:textId="77777777" w:rsidTr="00610C8C">
        <w:tc>
          <w:tcPr>
            <w:tcW w:w="1265" w:type="pct"/>
            <w:vMerge/>
            <w:shd w:val="clear" w:color="auto" w:fill="65BDFF"/>
          </w:tcPr>
          <w:p w14:paraId="38249E54" w14:textId="77777777" w:rsidR="00F316CC" w:rsidRPr="00FA5D68" w:rsidRDefault="00F316CC" w:rsidP="00610C8C">
            <w:pPr>
              <w:tabs>
                <w:tab w:val="left" w:pos="2413"/>
              </w:tabs>
              <w:spacing w:line="276" w:lineRule="auto"/>
              <w:jc w:val="both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</w:p>
        </w:tc>
        <w:tc>
          <w:tcPr>
            <w:tcW w:w="1689" w:type="pct"/>
            <w:shd w:val="clear" w:color="auto" w:fill="6DD9FF"/>
            <w:vAlign w:val="center"/>
          </w:tcPr>
          <w:p w14:paraId="6FDAC951" w14:textId="77777777" w:rsidR="00F316CC" w:rsidRPr="00FA5D68" w:rsidRDefault="00F316CC" w:rsidP="00610C8C">
            <w:pPr>
              <w:tabs>
                <w:tab w:val="left" w:pos="2413"/>
              </w:tabs>
              <w:spacing w:line="276" w:lineRule="auto"/>
              <w:jc w:val="center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>2022</w:t>
            </w:r>
          </w:p>
        </w:tc>
        <w:tc>
          <w:tcPr>
            <w:tcW w:w="1061" w:type="pct"/>
            <w:shd w:val="clear" w:color="auto" w:fill="6DD9FF"/>
            <w:vAlign w:val="center"/>
          </w:tcPr>
          <w:p w14:paraId="376A093C" w14:textId="77777777" w:rsidR="00F316CC" w:rsidRPr="00FA5D68" w:rsidRDefault="00F316CC" w:rsidP="00610C8C">
            <w:pPr>
              <w:tabs>
                <w:tab w:val="left" w:pos="2413"/>
              </w:tabs>
              <w:spacing w:line="276" w:lineRule="auto"/>
              <w:jc w:val="center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>2023</w:t>
            </w:r>
          </w:p>
        </w:tc>
        <w:tc>
          <w:tcPr>
            <w:tcW w:w="985" w:type="pct"/>
            <w:shd w:val="clear" w:color="auto" w:fill="6DD9FF"/>
            <w:vAlign w:val="center"/>
          </w:tcPr>
          <w:p w14:paraId="79F11058" w14:textId="77777777" w:rsidR="00F316CC" w:rsidRPr="00FA5D68" w:rsidRDefault="00F316CC" w:rsidP="00610C8C">
            <w:pPr>
              <w:tabs>
                <w:tab w:val="left" w:pos="2413"/>
              </w:tabs>
              <w:spacing w:line="276" w:lineRule="auto"/>
              <w:jc w:val="center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>2024</w:t>
            </w:r>
          </w:p>
        </w:tc>
      </w:tr>
      <w:tr w:rsidR="00F316CC" w:rsidRPr="00FA5D68" w14:paraId="50D5AD80" w14:textId="77777777" w:rsidTr="00610C8C">
        <w:tc>
          <w:tcPr>
            <w:tcW w:w="1265" w:type="pct"/>
          </w:tcPr>
          <w:p w14:paraId="7DC989EF" w14:textId="77777777" w:rsidR="00F316CC" w:rsidRPr="00FA5D68" w:rsidRDefault="00F316CC" w:rsidP="00610C8C">
            <w:pPr>
              <w:tabs>
                <w:tab w:val="left" w:pos="2413"/>
              </w:tabs>
              <w:spacing w:line="276" w:lineRule="auto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>Broj riješenih predmeta ratnih zločina</w:t>
            </w:r>
          </w:p>
        </w:tc>
        <w:tc>
          <w:tcPr>
            <w:tcW w:w="1689" w:type="pct"/>
            <w:vAlign w:val="center"/>
          </w:tcPr>
          <w:p w14:paraId="37BD8146" w14:textId="77777777" w:rsidR="00F316CC" w:rsidRPr="00FA5D68" w:rsidRDefault="00F316CC" w:rsidP="00610C8C">
            <w:pPr>
              <w:tabs>
                <w:tab w:val="left" w:pos="2413"/>
              </w:tabs>
              <w:spacing w:line="276" w:lineRule="auto"/>
              <w:jc w:val="center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>1</w:t>
            </w:r>
          </w:p>
        </w:tc>
        <w:tc>
          <w:tcPr>
            <w:tcW w:w="1061" w:type="pct"/>
            <w:vAlign w:val="center"/>
          </w:tcPr>
          <w:p w14:paraId="7C15202F" w14:textId="77777777" w:rsidR="00F316CC" w:rsidRPr="00FA5D68" w:rsidRDefault="00F316CC" w:rsidP="00610C8C">
            <w:pPr>
              <w:tabs>
                <w:tab w:val="left" w:pos="2413"/>
              </w:tabs>
              <w:spacing w:line="276" w:lineRule="auto"/>
              <w:jc w:val="center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>0</w:t>
            </w:r>
          </w:p>
        </w:tc>
        <w:tc>
          <w:tcPr>
            <w:tcW w:w="985" w:type="pct"/>
            <w:vAlign w:val="center"/>
          </w:tcPr>
          <w:p w14:paraId="5180AF66" w14:textId="77777777" w:rsidR="00F316CC" w:rsidRPr="00FA5D68" w:rsidRDefault="00F316CC" w:rsidP="00610C8C">
            <w:pPr>
              <w:tabs>
                <w:tab w:val="left" w:pos="2413"/>
              </w:tabs>
              <w:spacing w:line="276" w:lineRule="auto"/>
              <w:jc w:val="center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>0</w:t>
            </w:r>
          </w:p>
        </w:tc>
      </w:tr>
      <w:tr w:rsidR="00F316CC" w:rsidRPr="00FA5D68" w14:paraId="5BBEB853" w14:textId="77777777" w:rsidTr="00610C8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6DF259" w14:textId="77777777" w:rsidR="00F316CC" w:rsidRPr="00FA5D68" w:rsidRDefault="00F316CC" w:rsidP="00610C8C">
            <w:pPr>
              <w:tabs>
                <w:tab w:val="left" w:pos="2413"/>
              </w:tabs>
              <w:spacing w:line="276" w:lineRule="auto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</w:p>
          <w:p w14:paraId="04F71AED" w14:textId="77777777" w:rsidR="00F316CC" w:rsidRPr="00FA5D68" w:rsidRDefault="00F316CC" w:rsidP="00610C8C">
            <w:pPr>
              <w:tabs>
                <w:tab w:val="left" w:pos="2413"/>
              </w:tabs>
              <w:spacing w:line="276" w:lineRule="auto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</w:p>
          <w:p w14:paraId="16D09A5E" w14:textId="77777777" w:rsidR="00F316CC" w:rsidRPr="00FA5D68" w:rsidRDefault="00F316CC" w:rsidP="00610C8C">
            <w:pPr>
              <w:pStyle w:val="Heading1"/>
              <w:outlineLvl w:val="0"/>
              <w:rPr>
                <w:rFonts w:eastAsia="Calibri"/>
                <w:lang w:val="bs-Latn-BA"/>
              </w:rPr>
            </w:pPr>
          </w:p>
        </w:tc>
      </w:tr>
    </w:tbl>
    <w:p w14:paraId="3EB2407D" w14:textId="77777777" w:rsidR="00F316CC" w:rsidRPr="00FA5D68" w:rsidRDefault="00F316CC" w:rsidP="00F316CC">
      <w:pPr>
        <w:ind w:left="0"/>
        <w:rPr>
          <w:rStyle w:val="fontstyle01"/>
          <w:rFonts w:ascii="Arial" w:hAnsi="Arial" w:cs="Arial"/>
          <w:color w:val="auto"/>
          <w:lang w:val="bs-Latn-BA"/>
        </w:rPr>
      </w:pPr>
    </w:p>
    <w:p w14:paraId="5760CA4F" w14:textId="77777777" w:rsidR="00F316CC" w:rsidRPr="00FA5D68" w:rsidRDefault="00F316CC" w:rsidP="00F316CC">
      <w:pPr>
        <w:ind w:left="0"/>
        <w:rPr>
          <w:rStyle w:val="fontstyle01"/>
          <w:rFonts w:ascii="Arial" w:hAnsi="Arial" w:cs="Arial"/>
          <w:b/>
          <w:color w:val="auto"/>
          <w:lang w:val="bs-Latn-BA"/>
        </w:rPr>
      </w:pPr>
    </w:p>
    <w:p w14:paraId="312064E2" w14:textId="77777777" w:rsidR="004C19FE" w:rsidRDefault="004C19FE" w:rsidP="00F316CC">
      <w:pPr>
        <w:ind w:left="0"/>
        <w:rPr>
          <w:rStyle w:val="fontstyle01"/>
          <w:rFonts w:ascii="Arial" w:hAnsi="Arial" w:cs="Arial"/>
          <w:b/>
          <w:color w:val="auto"/>
          <w:lang w:val="bs-Latn-BA"/>
        </w:rPr>
      </w:pPr>
    </w:p>
    <w:p w14:paraId="3D05F33E" w14:textId="77777777" w:rsidR="004C19FE" w:rsidRDefault="004C19FE" w:rsidP="00F316CC">
      <w:pPr>
        <w:ind w:left="0"/>
        <w:rPr>
          <w:rStyle w:val="fontstyle01"/>
          <w:rFonts w:ascii="Arial" w:hAnsi="Arial" w:cs="Arial"/>
          <w:b/>
          <w:color w:val="auto"/>
          <w:lang w:val="bs-Latn-BA"/>
        </w:rPr>
      </w:pPr>
    </w:p>
    <w:p w14:paraId="294EF9DB" w14:textId="473FAA7C" w:rsidR="00860A75" w:rsidRDefault="00860A75" w:rsidP="004D384D">
      <w:pPr>
        <w:pStyle w:val="Heading1"/>
        <w:ind w:left="420" w:hanging="420"/>
        <w:jc w:val="both"/>
        <w:rPr>
          <w:rFonts w:eastAsia="Calibri"/>
        </w:rPr>
      </w:pPr>
      <w:bookmarkStart w:id="98" w:name="_Toc91766454"/>
      <w:r>
        <w:lastRenderedPageBreak/>
        <w:t>4)</w:t>
      </w:r>
      <w:r>
        <w:tab/>
      </w:r>
      <w:r w:rsidRPr="0031411E">
        <w:rPr>
          <w:rFonts w:eastAsia="Calibri"/>
        </w:rPr>
        <w:t>Sažetak prioriteta za plansku godinu, kao i procjene mogućih problema i rizika u realizaciji</w:t>
      </w:r>
      <w:bookmarkEnd w:id="98"/>
      <w:r w:rsidRPr="0031411E">
        <w:rPr>
          <w:rFonts w:eastAsia="Calibri"/>
        </w:rPr>
        <w:t xml:space="preserve"> </w:t>
      </w:r>
    </w:p>
    <w:p w14:paraId="707C42DE" w14:textId="77777777" w:rsidR="002F6428" w:rsidRPr="002F6428" w:rsidRDefault="002F6428" w:rsidP="002F6428">
      <w:pPr>
        <w:rPr>
          <w:lang w:val="hr-HR"/>
        </w:rPr>
      </w:pPr>
    </w:p>
    <w:p w14:paraId="6CF7111F" w14:textId="5A662EDC" w:rsidR="0075026B" w:rsidRDefault="0075026B" w:rsidP="00860A75">
      <w:pPr>
        <w:spacing w:before="40" w:line="276" w:lineRule="auto"/>
        <w:ind w:left="0"/>
        <w:jc w:val="both"/>
        <w:rPr>
          <w:rFonts w:ascii="Arial" w:hAnsi="Arial" w:cs="Arial"/>
          <w:w w:val="95"/>
          <w:sz w:val="24"/>
          <w:szCs w:val="24"/>
          <w:lang w:val="hr-HR"/>
        </w:rPr>
      </w:pPr>
      <w:r>
        <w:rPr>
          <w:rFonts w:ascii="Arial" w:hAnsi="Arial" w:cs="Arial"/>
          <w:w w:val="95"/>
          <w:sz w:val="24"/>
          <w:szCs w:val="24"/>
          <w:lang w:val="hr-HR"/>
        </w:rPr>
        <w:tab/>
        <w:t>Kantonalni sud u Goraždu za plansku godinu kao i u prethodnom periodu je postavio kao strateške ciljeve</w:t>
      </w:r>
      <w:r w:rsidR="00A46E3D">
        <w:rPr>
          <w:rFonts w:ascii="Arial" w:hAnsi="Arial" w:cs="Arial"/>
          <w:w w:val="95"/>
          <w:sz w:val="24"/>
          <w:szCs w:val="24"/>
          <w:lang w:val="hr-HR"/>
        </w:rPr>
        <w:t>: 1.U</w:t>
      </w:r>
      <w:r>
        <w:rPr>
          <w:rFonts w:ascii="Arial" w:hAnsi="Arial" w:cs="Arial"/>
          <w:w w:val="95"/>
          <w:sz w:val="24"/>
          <w:szCs w:val="24"/>
          <w:lang w:val="hr-HR"/>
        </w:rPr>
        <w:t>napr</w:t>
      </w:r>
      <w:r w:rsidR="00A46E3D">
        <w:rPr>
          <w:rFonts w:ascii="Arial" w:hAnsi="Arial" w:cs="Arial"/>
          <w:w w:val="95"/>
          <w:sz w:val="24"/>
          <w:szCs w:val="24"/>
          <w:lang w:val="hr-HR"/>
        </w:rPr>
        <w:t>j</w:t>
      </w:r>
      <w:r>
        <w:rPr>
          <w:rFonts w:ascii="Arial" w:hAnsi="Arial" w:cs="Arial"/>
          <w:w w:val="95"/>
          <w:sz w:val="24"/>
          <w:szCs w:val="24"/>
          <w:lang w:val="hr-HR"/>
        </w:rPr>
        <w:t>eđenje efikasnosti, odgovornosti, kvalitete i neovisnosti sektora pravde u BiH</w:t>
      </w:r>
      <w:r w:rsidR="00A46E3D">
        <w:rPr>
          <w:rFonts w:ascii="Arial" w:hAnsi="Arial" w:cs="Arial"/>
          <w:w w:val="95"/>
          <w:sz w:val="24"/>
          <w:szCs w:val="24"/>
          <w:lang w:val="hr-HR"/>
        </w:rPr>
        <w:t>, 2. P</w:t>
      </w:r>
      <w:r>
        <w:rPr>
          <w:rFonts w:ascii="Arial" w:hAnsi="Arial" w:cs="Arial"/>
          <w:w w:val="95"/>
          <w:sz w:val="24"/>
          <w:szCs w:val="24"/>
          <w:lang w:val="hr-HR"/>
        </w:rPr>
        <w:t>rocesui</w:t>
      </w:r>
      <w:r w:rsidR="00A46E3D">
        <w:rPr>
          <w:rFonts w:ascii="Arial" w:hAnsi="Arial" w:cs="Arial"/>
          <w:w w:val="95"/>
          <w:sz w:val="24"/>
          <w:szCs w:val="24"/>
          <w:lang w:val="hr-HR"/>
        </w:rPr>
        <w:t>ranje predmeta ratnih zločina d</w:t>
      </w:r>
      <w:r>
        <w:rPr>
          <w:rFonts w:ascii="Arial" w:hAnsi="Arial" w:cs="Arial"/>
          <w:w w:val="95"/>
          <w:sz w:val="24"/>
          <w:szCs w:val="24"/>
          <w:lang w:val="hr-HR"/>
        </w:rPr>
        <w:t>o kraja 2023. godine.</w:t>
      </w:r>
    </w:p>
    <w:p w14:paraId="5BAE3706" w14:textId="77777777" w:rsidR="00705492" w:rsidRDefault="00A46E3D" w:rsidP="00860A75">
      <w:pPr>
        <w:spacing w:before="40" w:line="276" w:lineRule="auto"/>
        <w:ind w:left="0"/>
        <w:jc w:val="both"/>
        <w:rPr>
          <w:rFonts w:ascii="Arial" w:hAnsi="Arial" w:cs="Arial"/>
          <w:w w:val="95"/>
          <w:sz w:val="24"/>
          <w:szCs w:val="24"/>
          <w:lang w:val="hr-HR"/>
        </w:rPr>
      </w:pPr>
      <w:r>
        <w:rPr>
          <w:rFonts w:ascii="Arial" w:hAnsi="Arial" w:cs="Arial"/>
          <w:w w:val="95"/>
          <w:sz w:val="24"/>
          <w:szCs w:val="24"/>
          <w:lang w:val="hr-HR"/>
        </w:rPr>
        <w:t>D</w:t>
      </w:r>
      <w:r w:rsidR="0075026B">
        <w:rPr>
          <w:rFonts w:ascii="Arial" w:hAnsi="Arial" w:cs="Arial"/>
          <w:w w:val="95"/>
          <w:sz w:val="24"/>
          <w:szCs w:val="24"/>
          <w:lang w:val="hr-HR"/>
        </w:rPr>
        <w:t xml:space="preserve">a bi </w:t>
      </w:r>
      <w:r>
        <w:rPr>
          <w:rFonts w:ascii="Arial" w:hAnsi="Arial" w:cs="Arial"/>
          <w:w w:val="95"/>
          <w:sz w:val="24"/>
          <w:szCs w:val="24"/>
          <w:lang w:val="hr-HR"/>
        </w:rPr>
        <w:t>se uspješno realizovali postavl</w:t>
      </w:r>
      <w:r w:rsidR="0075026B">
        <w:rPr>
          <w:rFonts w:ascii="Arial" w:hAnsi="Arial" w:cs="Arial"/>
          <w:w w:val="95"/>
          <w:sz w:val="24"/>
          <w:szCs w:val="24"/>
          <w:lang w:val="hr-HR"/>
        </w:rPr>
        <w:t xml:space="preserve">jeni </w:t>
      </w:r>
      <w:r>
        <w:rPr>
          <w:rFonts w:ascii="Arial" w:hAnsi="Arial" w:cs="Arial"/>
          <w:w w:val="95"/>
          <w:sz w:val="24"/>
          <w:szCs w:val="24"/>
          <w:lang w:val="hr-HR"/>
        </w:rPr>
        <w:t xml:space="preserve">strateški </w:t>
      </w:r>
      <w:r w:rsidR="0075026B">
        <w:rPr>
          <w:rFonts w:ascii="Arial" w:hAnsi="Arial" w:cs="Arial"/>
          <w:w w:val="95"/>
          <w:sz w:val="24"/>
          <w:szCs w:val="24"/>
          <w:lang w:val="hr-HR"/>
        </w:rPr>
        <w:t>ciljevi</w:t>
      </w:r>
      <w:r>
        <w:rPr>
          <w:rFonts w:ascii="Arial" w:hAnsi="Arial" w:cs="Arial"/>
          <w:w w:val="95"/>
          <w:sz w:val="24"/>
          <w:szCs w:val="24"/>
          <w:lang w:val="hr-HR"/>
        </w:rPr>
        <w:t>,</w:t>
      </w:r>
      <w:r w:rsidR="0075026B">
        <w:rPr>
          <w:rFonts w:ascii="Arial" w:hAnsi="Arial" w:cs="Arial"/>
          <w:w w:val="95"/>
          <w:sz w:val="24"/>
          <w:szCs w:val="24"/>
          <w:lang w:val="hr-HR"/>
        </w:rPr>
        <w:t xml:space="preserve"> nosioci pravosudnih funkcija </w:t>
      </w:r>
      <w:r>
        <w:rPr>
          <w:rFonts w:ascii="Arial" w:hAnsi="Arial" w:cs="Arial"/>
          <w:w w:val="95"/>
          <w:sz w:val="24"/>
          <w:szCs w:val="24"/>
          <w:lang w:val="hr-HR"/>
        </w:rPr>
        <w:t xml:space="preserve">će u radu preduzimati, nastaviti ranije aktivnosti - </w:t>
      </w:r>
      <w:r w:rsidR="0075026B">
        <w:rPr>
          <w:rFonts w:ascii="Arial" w:hAnsi="Arial" w:cs="Arial"/>
          <w:w w:val="95"/>
          <w:sz w:val="24"/>
          <w:szCs w:val="24"/>
          <w:lang w:val="hr-HR"/>
        </w:rPr>
        <w:t>redovno će pratiti relevantnu su</w:t>
      </w:r>
      <w:r>
        <w:rPr>
          <w:rFonts w:ascii="Arial" w:hAnsi="Arial" w:cs="Arial"/>
          <w:w w:val="95"/>
          <w:sz w:val="24"/>
          <w:szCs w:val="24"/>
          <w:lang w:val="hr-HR"/>
        </w:rPr>
        <w:t>dsku praksu, održavati sjednice S</w:t>
      </w:r>
      <w:r w:rsidR="0075026B">
        <w:rPr>
          <w:rFonts w:ascii="Arial" w:hAnsi="Arial" w:cs="Arial"/>
          <w:w w:val="95"/>
          <w:sz w:val="24"/>
          <w:szCs w:val="24"/>
          <w:lang w:val="hr-HR"/>
        </w:rPr>
        <w:t xml:space="preserve">tručnog kolegija, uspostaviti i pratiti internu evidenciju odluka ovog suda kao </w:t>
      </w:r>
      <w:r>
        <w:rPr>
          <w:rFonts w:ascii="Arial" w:hAnsi="Arial" w:cs="Arial"/>
          <w:w w:val="95"/>
          <w:sz w:val="24"/>
          <w:szCs w:val="24"/>
          <w:lang w:val="hr-HR"/>
        </w:rPr>
        <w:t>i odluka Ustavn</w:t>
      </w:r>
      <w:r w:rsidR="0075026B">
        <w:rPr>
          <w:rFonts w:ascii="Arial" w:hAnsi="Arial" w:cs="Arial"/>
          <w:w w:val="95"/>
          <w:sz w:val="24"/>
          <w:szCs w:val="24"/>
          <w:lang w:val="hr-HR"/>
        </w:rPr>
        <w:t>og suda BiH i</w:t>
      </w:r>
      <w:r>
        <w:rPr>
          <w:rFonts w:ascii="Arial" w:hAnsi="Arial" w:cs="Arial"/>
          <w:w w:val="95"/>
          <w:sz w:val="24"/>
          <w:szCs w:val="24"/>
          <w:lang w:val="hr-HR"/>
        </w:rPr>
        <w:t xml:space="preserve"> Ustavnog suda </w:t>
      </w:r>
      <w:r w:rsidR="0075026B">
        <w:rPr>
          <w:rFonts w:ascii="Arial" w:hAnsi="Arial" w:cs="Arial"/>
          <w:w w:val="95"/>
          <w:sz w:val="24"/>
          <w:szCs w:val="24"/>
          <w:lang w:val="hr-HR"/>
        </w:rPr>
        <w:t xml:space="preserve"> F BiH</w:t>
      </w:r>
      <w:r w:rsidR="00705492">
        <w:rPr>
          <w:rFonts w:ascii="Arial" w:hAnsi="Arial" w:cs="Arial"/>
          <w:w w:val="95"/>
          <w:sz w:val="24"/>
          <w:szCs w:val="24"/>
          <w:lang w:val="hr-HR"/>
        </w:rPr>
        <w:t>,</w:t>
      </w:r>
      <w:r w:rsidR="00705492" w:rsidRPr="00705492">
        <w:rPr>
          <w:rFonts w:ascii="Arial" w:hAnsi="Arial" w:cs="Arial"/>
          <w:w w:val="95"/>
          <w:sz w:val="24"/>
          <w:szCs w:val="24"/>
          <w:lang w:val="hr-HR"/>
        </w:rPr>
        <w:t xml:space="preserve"> </w:t>
      </w:r>
      <w:r w:rsidR="00705492">
        <w:rPr>
          <w:rFonts w:ascii="Arial" w:hAnsi="Arial" w:cs="Arial"/>
          <w:w w:val="95"/>
          <w:sz w:val="24"/>
          <w:szCs w:val="24"/>
          <w:lang w:val="hr-HR"/>
        </w:rPr>
        <w:t>odluka Vrhovnog suda F BiH</w:t>
      </w:r>
      <w:r>
        <w:rPr>
          <w:rFonts w:ascii="Arial" w:hAnsi="Arial" w:cs="Arial"/>
          <w:w w:val="95"/>
          <w:sz w:val="24"/>
          <w:szCs w:val="24"/>
          <w:lang w:val="hr-HR"/>
        </w:rPr>
        <w:t xml:space="preserve"> te odluka Suda </w:t>
      </w:r>
      <w:r w:rsidR="0075026B">
        <w:rPr>
          <w:rFonts w:ascii="Arial" w:hAnsi="Arial" w:cs="Arial"/>
          <w:w w:val="95"/>
          <w:sz w:val="24"/>
          <w:szCs w:val="24"/>
          <w:lang w:val="hr-HR"/>
        </w:rPr>
        <w:t>BiH.</w:t>
      </w:r>
      <w:r w:rsidR="00705492">
        <w:rPr>
          <w:rFonts w:ascii="Arial" w:hAnsi="Arial" w:cs="Arial"/>
          <w:w w:val="95"/>
          <w:sz w:val="24"/>
          <w:szCs w:val="24"/>
          <w:lang w:val="hr-HR"/>
        </w:rPr>
        <w:t xml:space="preserve"> </w:t>
      </w:r>
    </w:p>
    <w:p w14:paraId="226DCF91" w14:textId="2964432A" w:rsidR="00705492" w:rsidRDefault="00705492" w:rsidP="00860A75">
      <w:pPr>
        <w:spacing w:before="40" w:line="276" w:lineRule="auto"/>
        <w:ind w:left="0"/>
        <w:jc w:val="both"/>
        <w:rPr>
          <w:rFonts w:ascii="Arial" w:hAnsi="Arial" w:cs="Arial"/>
          <w:w w:val="95"/>
          <w:sz w:val="24"/>
          <w:szCs w:val="24"/>
          <w:lang w:val="hr-HR"/>
        </w:rPr>
      </w:pPr>
      <w:r>
        <w:rPr>
          <w:rFonts w:ascii="Arial" w:hAnsi="Arial" w:cs="Arial"/>
          <w:w w:val="95"/>
          <w:sz w:val="24"/>
          <w:szCs w:val="24"/>
          <w:lang w:val="hr-HR"/>
        </w:rPr>
        <w:t>N</w:t>
      </w:r>
      <w:r w:rsidR="0075026B">
        <w:rPr>
          <w:rFonts w:ascii="Arial" w:hAnsi="Arial" w:cs="Arial"/>
          <w:w w:val="95"/>
          <w:sz w:val="24"/>
          <w:szCs w:val="24"/>
          <w:lang w:val="hr-HR"/>
        </w:rPr>
        <w:t>osioci pravosudnih funk</w:t>
      </w:r>
      <w:r w:rsidR="002E0B58">
        <w:rPr>
          <w:rFonts w:ascii="Arial" w:hAnsi="Arial" w:cs="Arial"/>
          <w:w w:val="95"/>
          <w:sz w:val="24"/>
          <w:szCs w:val="24"/>
          <w:lang w:val="hr-HR"/>
        </w:rPr>
        <w:t>c</w:t>
      </w:r>
      <w:r w:rsidR="0075026B">
        <w:rPr>
          <w:rFonts w:ascii="Arial" w:hAnsi="Arial" w:cs="Arial"/>
          <w:w w:val="95"/>
          <w:sz w:val="24"/>
          <w:szCs w:val="24"/>
          <w:lang w:val="hr-HR"/>
        </w:rPr>
        <w:t>ija će nastaviti raditi na</w:t>
      </w:r>
      <w:r>
        <w:rPr>
          <w:rFonts w:ascii="Arial" w:hAnsi="Arial" w:cs="Arial"/>
          <w:w w:val="95"/>
          <w:sz w:val="24"/>
          <w:szCs w:val="24"/>
          <w:lang w:val="hr-HR"/>
        </w:rPr>
        <w:t xml:space="preserve"> predmetima Kantonalnog suda u Sarajevu u cilju ostvarivanja</w:t>
      </w:r>
      <w:r w:rsidR="0075026B">
        <w:rPr>
          <w:rFonts w:ascii="Arial" w:hAnsi="Arial" w:cs="Arial"/>
          <w:w w:val="95"/>
          <w:sz w:val="24"/>
          <w:szCs w:val="24"/>
          <w:lang w:val="hr-HR"/>
        </w:rPr>
        <w:t xml:space="preserve"> sudijske norme i doprinosu jačanja pravosudnog sektora.</w:t>
      </w:r>
    </w:p>
    <w:p w14:paraId="26686E21" w14:textId="47A82851" w:rsidR="0075026B" w:rsidRDefault="00705492" w:rsidP="00860A75">
      <w:pPr>
        <w:spacing w:before="40" w:line="276" w:lineRule="auto"/>
        <w:ind w:left="0"/>
        <w:jc w:val="both"/>
        <w:rPr>
          <w:rFonts w:ascii="Arial" w:hAnsi="Arial" w:cs="Arial"/>
          <w:w w:val="95"/>
          <w:sz w:val="24"/>
          <w:szCs w:val="24"/>
          <w:lang w:val="hr-HR"/>
        </w:rPr>
      </w:pPr>
      <w:r>
        <w:rPr>
          <w:rFonts w:ascii="Arial" w:hAnsi="Arial" w:cs="Arial"/>
          <w:w w:val="95"/>
          <w:sz w:val="24"/>
          <w:szCs w:val="24"/>
          <w:lang w:val="hr-HR"/>
        </w:rPr>
        <w:t>Posebna pažnja će se posvetiti stručnom u</w:t>
      </w:r>
      <w:r w:rsidR="0075026B">
        <w:rPr>
          <w:rFonts w:ascii="Arial" w:hAnsi="Arial" w:cs="Arial"/>
          <w:w w:val="95"/>
          <w:sz w:val="24"/>
          <w:szCs w:val="24"/>
          <w:lang w:val="hr-HR"/>
        </w:rPr>
        <w:t>savršavanju kroz edukaciju u or</w:t>
      </w:r>
      <w:r>
        <w:rPr>
          <w:rFonts w:ascii="Arial" w:hAnsi="Arial" w:cs="Arial"/>
          <w:w w:val="95"/>
          <w:sz w:val="24"/>
          <w:szCs w:val="24"/>
          <w:lang w:val="hr-HR"/>
        </w:rPr>
        <w:t>ganiz</w:t>
      </w:r>
      <w:r w:rsidR="0075026B">
        <w:rPr>
          <w:rFonts w:ascii="Arial" w:hAnsi="Arial" w:cs="Arial"/>
          <w:w w:val="95"/>
          <w:sz w:val="24"/>
          <w:szCs w:val="24"/>
          <w:lang w:val="hr-HR"/>
        </w:rPr>
        <w:t>acij CEST FBiH i samoedukaciji.</w:t>
      </w:r>
    </w:p>
    <w:p w14:paraId="401A8CB5" w14:textId="16BD0939" w:rsidR="0075026B" w:rsidRPr="006F4F43" w:rsidRDefault="00A46E3D" w:rsidP="00860A75">
      <w:pPr>
        <w:spacing w:before="40" w:line="276" w:lineRule="auto"/>
        <w:ind w:left="0"/>
        <w:jc w:val="both"/>
        <w:rPr>
          <w:rFonts w:ascii="Arial" w:hAnsi="Arial" w:cs="Arial"/>
          <w:w w:val="95"/>
          <w:sz w:val="24"/>
          <w:szCs w:val="24"/>
          <w:lang w:val="hr-HR"/>
        </w:rPr>
      </w:pPr>
      <w:r>
        <w:rPr>
          <w:rFonts w:ascii="Arial" w:hAnsi="Arial" w:cs="Arial"/>
          <w:w w:val="95"/>
          <w:sz w:val="24"/>
          <w:szCs w:val="24"/>
          <w:lang w:val="hr-HR"/>
        </w:rPr>
        <w:t>R</w:t>
      </w:r>
      <w:r w:rsidR="009C2ECB">
        <w:rPr>
          <w:rFonts w:ascii="Arial" w:hAnsi="Arial" w:cs="Arial"/>
          <w:w w:val="95"/>
          <w:sz w:val="24"/>
          <w:szCs w:val="24"/>
          <w:lang w:val="hr-HR"/>
        </w:rPr>
        <w:t>adi dostignu</w:t>
      </w:r>
      <w:r w:rsidR="0075026B">
        <w:rPr>
          <w:rFonts w:ascii="Arial" w:hAnsi="Arial" w:cs="Arial"/>
          <w:w w:val="95"/>
          <w:sz w:val="24"/>
          <w:szCs w:val="24"/>
          <w:lang w:val="hr-HR"/>
        </w:rPr>
        <w:t>tog nivoa efikasnosti rješavanja predmeta u optimalnim rokovima</w:t>
      </w:r>
      <w:r w:rsidR="00705492">
        <w:rPr>
          <w:rFonts w:ascii="Arial" w:hAnsi="Arial" w:cs="Arial"/>
          <w:w w:val="95"/>
          <w:sz w:val="24"/>
          <w:szCs w:val="24"/>
          <w:lang w:val="hr-HR"/>
        </w:rPr>
        <w:t xml:space="preserve">, posebno </w:t>
      </w:r>
      <w:r w:rsidR="00705492" w:rsidRPr="006F4F43">
        <w:rPr>
          <w:rFonts w:ascii="Arial" w:hAnsi="Arial" w:cs="Arial"/>
          <w:w w:val="95"/>
          <w:sz w:val="24"/>
          <w:szCs w:val="24"/>
          <w:lang w:val="hr-HR"/>
        </w:rPr>
        <w:t>će se posvetiti pažnja davanju dop</w:t>
      </w:r>
      <w:r w:rsidR="0075026B" w:rsidRPr="006F4F43">
        <w:rPr>
          <w:rFonts w:ascii="Arial" w:hAnsi="Arial" w:cs="Arial"/>
          <w:w w:val="95"/>
          <w:sz w:val="24"/>
          <w:szCs w:val="24"/>
          <w:lang w:val="hr-HR"/>
        </w:rPr>
        <w:t>rinosa u rješavanju predmeta Kantonalnog suda u Sarajevu a u cilju poboljšanja</w:t>
      </w:r>
      <w:r w:rsidR="00705492" w:rsidRPr="006F4F43">
        <w:rPr>
          <w:rFonts w:ascii="Arial" w:hAnsi="Arial" w:cs="Arial"/>
          <w:w w:val="95"/>
          <w:sz w:val="24"/>
          <w:szCs w:val="24"/>
          <w:lang w:val="hr-HR"/>
        </w:rPr>
        <w:t xml:space="preserve"> </w:t>
      </w:r>
      <w:r w:rsidR="0075026B" w:rsidRPr="006F4F43">
        <w:rPr>
          <w:rFonts w:ascii="Arial" w:hAnsi="Arial" w:cs="Arial"/>
          <w:w w:val="95"/>
          <w:sz w:val="24"/>
          <w:szCs w:val="24"/>
          <w:lang w:val="hr-HR"/>
        </w:rPr>
        <w:t>sveukupne efika</w:t>
      </w:r>
      <w:r w:rsidR="00705492" w:rsidRPr="006F4F43">
        <w:rPr>
          <w:rFonts w:ascii="Arial" w:hAnsi="Arial" w:cs="Arial"/>
          <w:w w:val="95"/>
          <w:sz w:val="24"/>
          <w:szCs w:val="24"/>
          <w:lang w:val="hr-HR"/>
        </w:rPr>
        <w:t>s</w:t>
      </w:r>
      <w:r w:rsidR="0075026B" w:rsidRPr="006F4F43">
        <w:rPr>
          <w:rFonts w:ascii="Arial" w:hAnsi="Arial" w:cs="Arial"/>
          <w:w w:val="95"/>
          <w:sz w:val="24"/>
          <w:szCs w:val="24"/>
          <w:lang w:val="hr-HR"/>
        </w:rPr>
        <w:t xml:space="preserve">nosti cijelog pravosuđa u F BiH. </w:t>
      </w:r>
    </w:p>
    <w:p w14:paraId="29992F38" w14:textId="31CF920C" w:rsidR="0075026B" w:rsidRPr="006F4F43" w:rsidRDefault="0075026B" w:rsidP="004D384D">
      <w:pPr>
        <w:spacing w:before="40" w:line="276" w:lineRule="auto"/>
        <w:ind w:left="0"/>
        <w:jc w:val="both"/>
        <w:rPr>
          <w:rFonts w:ascii="Arial" w:hAnsi="Arial" w:cs="Arial"/>
          <w:w w:val="95"/>
          <w:sz w:val="24"/>
          <w:szCs w:val="24"/>
          <w:lang w:val="hr-HR"/>
        </w:rPr>
      </w:pPr>
      <w:r w:rsidRPr="006F4F43">
        <w:rPr>
          <w:rFonts w:ascii="Arial" w:hAnsi="Arial" w:cs="Arial"/>
          <w:w w:val="95"/>
          <w:sz w:val="24"/>
          <w:szCs w:val="24"/>
          <w:lang w:val="hr-HR"/>
        </w:rPr>
        <w:t xml:space="preserve">Kao sud koji svoju djelatnost obavlja u interesu građana, odnosno stranaka u postupku usluge prema građanima </w:t>
      </w:r>
      <w:r w:rsidR="00705492" w:rsidRPr="006F4F43">
        <w:rPr>
          <w:rFonts w:ascii="Arial" w:hAnsi="Arial" w:cs="Arial"/>
          <w:w w:val="95"/>
          <w:sz w:val="24"/>
          <w:szCs w:val="24"/>
          <w:lang w:val="hr-HR"/>
        </w:rPr>
        <w:t>će se poboljšati boljim i transp</w:t>
      </w:r>
      <w:r w:rsidRPr="006F4F43">
        <w:rPr>
          <w:rFonts w:ascii="Arial" w:hAnsi="Arial" w:cs="Arial"/>
          <w:w w:val="95"/>
          <w:sz w:val="24"/>
          <w:szCs w:val="24"/>
          <w:lang w:val="hr-HR"/>
        </w:rPr>
        <w:t>arentnim radom web portala</w:t>
      </w:r>
      <w:r w:rsidR="00705492" w:rsidRPr="006F4F43">
        <w:rPr>
          <w:rFonts w:ascii="Arial" w:hAnsi="Arial" w:cs="Arial"/>
          <w:w w:val="95"/>
          <w:sz w:val="24"/>
          <w:szCs w:val="24"/>
          <w:lang w:val="hr-HR"/>
        </w:rPr>
        <w:t xml:space="preserve">  gdje</w:t>
      </w:r>
      <w:r w:rsidRPr="006F4F43">
        <w:rPr>
          <w:rFonts w:ascii="Arial" w:hAnsi="Arial" w:cs="Arial"/>
          <w:w w:val="95"/>
          <w:sz w:val="24"/>
          <w:szCs w:val="24"/>
          <w:lang w:val="hr-HR"/>
        </w:rPr>
        <w:t xml:space="preserve"> će se objavljivati sve informacije o radu suda i odlukama koje sud bude donosio.</w:t>
      </w:r>
    </w:p>
    <w:p w14:paraId="16DF7379" w14:textId="77777777" w:rsidR="00705492" w:rsidRPr="004D384D" w:rsidRDefault="00705492" w:rsidP="004D384D">
      <w:pPr>
        <w:spacing w:before="40" w:line="276" w:lineRule="auto"/>
        <w:ind w:left="0"/>
        <w:jc w:val="both"/>
        <w:rPr>
          <w:rFonts w:ascii="Arial" w:hAnsi="Arial" w:cs="Arial"/>
          <w:w w:val="95"/>
          <w:sz w:val="24"/>
          <w:szCs w:val="24"/>
          <w:lang w:val="hr-HR"/>
        </w:rPr>
      </w:pPr>
      <w:r w:rsidRPr="006F4F43">
        <w:rPr>
          <w:rFonts w:ascii="Arial" w:hAnsi="Arial" w:cs="Arial"/>
          <w:w w:val="95"/>
          <w:sz w:val="24"/>
          <w:szCs w:val="24"/>
          <w:lang w:val="hr-HR"/>
        </w:rPr>
        <w:t>Ned</w:t>
      </w:r>
      <w:r w:rsidR="00A46E3D" w:rsidRPr="006F4F43">
        <w:rPr>
          <w:rFonts w:ascii="Arial" w:hAnsi="Arial" w:cs="Arial"/>
          <w:w w:val="95"/>
          <w:sz w:val="24"/>
          <w:szCs w:val="24"/>
          <w:lang w:val="hr-HR"/>
        </w:rPr>
        <w:t>ovoljna tehnička opre</w:t>
      </w:r>
      <w:r w:rsidRPr="006F4F43">
        <w:rPr>
          <w:rFonts w:ascii="Arial" w:hAnsi="Arial" w:cs="Arial"/>
          <w:w w:val="95"/>
          <w:sz w:val="24"/>
          <w:szCs w:val="24"/>
          <w:lang w:val="hr-HR"/>
        </w:rPr>
        <w:t>mljenost suda u dijelu predstav</w:t>
      </w:r>
      <w:r w:rsidR="00A46E3D" w:rsidRPr="006F4F43">
        <w:rPr>
          <w:rFonts w:ascii="Arial" w:hAnsi="Arial" w:cs="Arial"/>
          <w:w w:val="95"/>
          <w:sz w:val="24"/>
          <w:szCs w:val="24"/>
          <w:lang w:val="hr-HR"/>
        </w:rPr>
        <w:t>lja prepreku</w:t>
      </w:r>
      <w:r w:rsidR="00A46E3D" w:rsidRPr="004D384D">
        <w:rPr>
          <w:rFonts w:ascii="Arial" w:hAnsi="Arial" w:cs="Arial"/>
          <w:w w:val="95"/>
          <w:sz w:val="24"/>
          <w:szCs w:val="24"/>
          <w:lang w:val="hr-HR"/>
        </w:rPr>
        <w:t xml:space="preserve"> za efikasn</w:t>
      </w:r>
      <w:r w:rsidRPr="004D384D">
        <w:rPr>
          <w:rFonts w:ascii="Arial" w:hAnsi="Arial" w:cs="Arial"/>
          <w:w w:val="95"/>
          <w:sz w:val="24"/>
          <w:szCs w:val="24"/>
          <w:lang w:val="hr-HR"/>
        </w:rPr>
        <w:t xml:space="preserve">iji rad jer se ocjenjuje da </w:t>
      </w:r>
      <w:r w:rsidR="00A46E3D" w:rsidRPr="004D384D">
        <w:rPr>
          <w:rFonts w:ascii="Arial" w:hAnsi="Arial" w:cs="Arial"/>
          <w:w w:val="95"/>
          <w:sz w:val="24"/>
          <w:szCs w:val="24"/>
          <w:lang w:val="hr-HR"/>
        </w:rPr>
        <w:t xml:space="preserve"> ista svojim kvalitetom ne zadovoljava standarde opremljenosti s obzirom na razvoj informacione tehnologije.</w:t>
      </w:r>
    </w:p>
    <w:p w14:paraId="0A50062B" w14:textId="4689D115" w:rsidR="00A46E3D" w:rsidRDefault="00A46E3D" w:rsidP="004D384D">
      <w:pPr>
        <w:spacing w:before="40" w:line="276" w:lineRule="auto"/>
        <w:ind w:left="0"/>
        <w:jc w:val="both"/>
        <w:rPr>
          <w:rFonts w:ascii="Arial" w:hAnsi="Arial" w:cs="Arial"/>
          <w:w w:val="95"/>
          <w:sz w:val="24"/>
          <w:szCs w:val="24"/>
          <w:lang w:val="hr-HR"/>
        </w:rPr>
      </w:pPr>
      <w:r w:rsidRPr="004D384D">
        <w:rPr>
          <w:rFonts w:ascii="Arial" w:hAnsi="Arial" w:cs="Arial"/>
          <w:w w:val="95"/>
          <w:sz w:val="24"/>
          <w:szCs w:val="24"/>
          <w:lang w:val="hr-HR"/>
        </w:rPr>
        <w:t>U tom smislu cijenim</w:t>
      </w:r>
      <w:r w:rsidR="00705492" w:rsidRPr="004D384D">
        <w:rPr>
          <w:rFonts w:ascii="Arial" w:hAnsi="Arial" w:cs="Arial"/>
          <w:w w:val="95"/>
          <w:sz w:val="24"/>
          <w:szCs w:val="24"/>
          <w:lang w:val="hr-HR"/>
        </w:rPr>
        <w:t>o</w:t>
      </w:r>
      <w:r w:rsidRPr="004D384D">
        <w:rPr>
          <w:rFonts w:ascii="Arial" w:hAnsi="Arial" w:cs="Arial"/>
          <w:w w:val="95"/>
          <w:sz w:val="24"/>
          <w:szCs w:val="24"/>
          <w:lang w:val="hr-HR"/>
        </w:rPr>
        <w:t xml:space="preserve"> da će biti prepreka prvenstveno zbog nedostatka materijalnih sredstava jer značajnija nabavka informacione opreme nije predviđena Budžetom za 2022.godinu.</w:t>
      </w:r>
      <w:r w:rsidR="009C2ECB" w:rsidRPr="004D384D">
        <w:rPr>
          <w:rFonts w:ascii="Arial" w:hAnsi="Arial" w:cs="Arial"/>
          <w:w w:val="95"/>
          <w:sz w:val="24"/>
          <w:szCs w:val="24"/>
          <w:lang w:val="hr-HR"/>
        </w:rPr>
        <w:t xml:space="preserve"> </w:t>
      </w:r>
      <w:r w:rsidR="00705492" w:rsidRPr="004D384D">
        <w:rPr>
          <w:rFonts w:ascii="Arial" w:hAnsi="Arial" w:cs="Arial"/>
          <w:w w:val="95"/>
          <w:sz w:val="24"/>
          <w:szCs w:val="24"/>
          <w:lang w:val="hr-HR"/>
        </w:rPr>
        <w:t>Nevedene prepreke moguće je otkloniti saradnjom sa Ministarstvom pravde BPK Goražde i VSTV BiH.</w:t>
      </w:r>
    </w:p>
    <w:p w14:paraId="01624715" w14:textId="77777777" w:rsidR="002F6428" w:rsidRDefault="006F4F43" w:rsidP="004D384D">
      <w:pPr>
        <w:spacing w:before="40" w:line="276" w:lineRule="auto"/>
        <w:ind w:left="0"/>
        <w:jc w:val="both"/>
        <w:rPr>
          <w:rFonts w:ascii="Arial" w:hAnsi="Arial" w:cs="Arial"/>
          <w:w w:val="95"/>
          <w:sz w:val="24"/>
          <w:szCs w:val="24"/>
          <w:lang w:val="hr-HR"/>
        </w:rPr>
      </w:pPr>
      <w:r>
        <w:rPr>
          <w:rFonts w:ascii="Arial" w:hAnsi="Arial" w:cs="Arial"/>
          <w:w w:val="95"/>
          <w:sz w:val="24"/>
          <w:szCs w:val="24"/>
          <w:lang w:val="hr-HR"/>
        </w:rPr>
        <w:tab/>
        <w:t>Visoko sudsko i tužilačko vijeće Bosne i Hercegovine</w:t>
      </w:r>
      <w:r w:rsidR="00182E93">
        <w:rPr>
          <w:rFonts w:ascii="Arial" w:hAnsi="Arial" w:cs="Arial"/>
          <w:w w:val="95"/>
          <w:sz w:val="24"/>
          <w:szCs w:val="24"/>
          <w:lang w:val="hr-HR"/>
        </w:rPr>
        <w:t xml:space="preserve"> usvojilo je Strategiju za unaprjeđenje rodne ravnopravnosti u pravosuđu Bosne i Hercegovine</w:t>
      </w:r>
      <w:r w:rsidR="00454DC1">
        <w:rPr>
          <w:rFonts w:ascii="Arial" w:hAnsi="Arial" w:cs="Arial"/>
          <w:w w:val="95"/>
          <w:sz w:val="24"/>
          <w:szCs w:val="24"/>
          <w:lang w:val="hr-HR"/>
        </w:rPr>
        <w:t xml:space="preserve"> na osnovu koje će sud izraditi vlastiti akcioni plan sa ciljem unaprjeđenja rodne ravnopravnosti u pravosuđu Bosne i Hercegovine.</w:t>
      </w:r>
      <w:r w:rsidR="002F6428">
        <w:rPr>
          <w:rFonts w:ascii="Arial" w:hAnsi="Arial" w:cs="Arial"/>
          <w:w w:val="95"/>
          <w:sz w:val="24"/>
          <w:szCs w:val="24"/>
          <w:lang w:val="hr-HR"/>
        </w:rPr>
        <w:t xml:space="preserve"> </w:t>
      </w:r>
    </w:p>
    <w:p w14:paraId="06A54B96" w14:textId="001DC98D" w:rsidR="002F6428" w:rsidRDefault="00454DC1" w:rsidP="004D384D">
      <w:pPr>
        <w:spacing w:before="40" w:line="276" w:lineRule="auto"/>
        <w:ind w:left="0"/>
        <w:jc w:val="both"/>
        <w:rPr>
          <w:rFonts w:ascii="Arial" w:hAnsi="Arial" w:cs="Arial"/>
          <w:w w:val="95"/>
          <w:sz w:val="24"/>
          <w:szCs w:val="24"/>
          <w:lang w:val="hr-HR"/>
        </w:rPr>
      </w:pPr>
      <w:r>
        <w:rPr>
          <w:rFonts w:ascii="Arial" w:hAnsi="Arial" w:cs="Arial"/>
          <w:w w:val="95"/>
          <w:sz w:val="24"/>
          <w:szCs w:val="24"/>
          <w:lang w:val="hr-HR"/>
        </w:rPr>
        <w:t>Sud postavlja prioritet na provođenju aktivnosti unaprjeđenja znanja i nivoa svijesti o pojmu roda, rodnim normama, metodi gender mainstreaming-a, rodnoj ravnopravnosti i jednakom pristupu pravdi kroz provođenje aktivnosti usmjerenih na osiguranje da su radnim procesima ubuhvaćena pitanja rodne ravnopravnosti i jednakog pristupa pravdi sa posebnim akcentom na osiguravanje jedinstvenog postupanja prema svim osobama</w:t>
      </w:r>
      <w:r w:rsidR="00EF26BD">
        <w:rPr>
          <w:rFonts w:ascii="Arial" w:hAnsi="Arial" w:cs="Arial"/>
          <w:w w:val="95"/>
          <w:sz w:val="24"/>
          <w:szCs w:val="24"/>
          <w:lang w:val="hr-HR"/>
        </w:rPr>
        <w:t xml:space="preserve"> koje</w:t>
      </w:r>
      <w:r w:rsidR="002E0B58">
        <w:rPr>
          <w:rFonts w:ascii="Arial" w:hAnsi="Arial" w:cs="Arial"/>
          <w:w w:val="95"/>
          <w:sz w:val="24"/>
          <w:szCs w:val="24"/>
          <w:lang w:val="hr-HR"/>
        </w:rPr>
        <w:t xml:space="preserve"> </w:t>
      </w:r>
      <w:r w:rsidR="00EF26BD">
        <w:rPr>
          <w:rFonts w:ascii="Arial" w:hAnsi="Arial" w:cs="Arial"/>
          <w:w w:val="95"/>
          <w:sz w:val="24"/>
          <w:szCs w:val="24"/>
          <w:lang w:val="hr-HR"/>
        </w:rPr>
        <w:t>dolaze u kontakt sa sudom bez obzira na spol ili rod.</w:t>
      </w:r>
    </w:p>
    <w:p w14:paraId="3026E0C8" w14:textId="4DFBD326" w:rsidR="006F4F43" w:rsidRDefault="00EF26BD" w:rsidP="004D384D">
      <w:pPr>
        <w:spacing w:before="40" w:line="276" w:lineRule="auto"/>
        <w:ind w:left="0"/>
        <w:jc w:val="both"/>
        <w:rPr>
          <w:rFonts w:ascii="Arial" w:hAnsi="Arial" w:cs="Arial"/>
          <w:w w:val="95"/>
          <w:sz w:val="24"/>
          <w:szCs w:val="24"/>
          <w:lang w:val="hr-HR"/>
        </w:rPr>
      </w:pPr>
      <w:r>
        <w:rPr>
          <w:rFonts w:ascii="Arial" w:hAnsi="Arial" w:cs="Arial"/>
          <w:w w:val="95"/>
          <w:sz w:val="24"/>
          <w:szCs w:val="24"/>
          <w:lang w:val="hr-HR"/>
        </w:rPr>
        <w:t>Sud će uspostavljanje Strategije</w:t>
      </w:r>
      <w:r w:rsidR="002E0B58">
        <w:rPr>
          <w:rFonts w:ascii="Arial" w:hAnsi="Arial" w:cs="Arial"/>
          <w:w w:val="95"/>
          <w:sz w:val="24"/>
          <w:szCs w:val="24"/>
          <w:lang w:val="hr-HR"/>
        </w:rPr>
        <w:t xml:space="preserve"> </w:t>
      </w:r>
      <w:r>
        <w:rPr>
          <w:rFonts w:ascii="Arial" w:hAnsi="Arial" w:cs="Arial"/>
          <w:w w:val="95"/>
          <w:sz w:val="24"/>
          <w:szCs w:val="24"/>
          <w:lang w:val="hr-HR"/>
        </w:rPr>
        <w:t>provesti kroz nek</w:t>
      </w:r>
      <w:r w:rsidR="002E0B58">
        <w:rPr>
          <w:rFonts w:ascii="Arial" w:hAnsi="Arial" w:cs="Arial"/>
          <w:w w:val="95"/>
          <w:sz w:val="24"/>
          <w:szCs w:val="24"/>
          <w:lang w:val="hr-HR"/>
        </w:rPr>
        <w:t>o</w:t>
      </w:r>
      <w:r>
        <w:rPr>
          <w:rFonts w:ascii="Arial" w:hAnsi="Arial" w:cs="Arial"/>
          <w:w w:val="95"/>
          <w:sz w:val="24"/>
          <w:szCs w:val="24"/>
          <w:lang w:val="hr-HR"/>
        </w:rPr>
        <w:t>liko faza.</w:t>
      </w:r>
      <w:r w:rsidR="002E0B58">
        <w:rPr>
          <w:rFonts w:ascii="Arial" w:hAnsi="Arial" w:cs="Arial"/>
          <w:w w:val="95"/>
          <w:sz w:val="24"/>
          <w:szCs w:val="24"/>
          <w:lang w:val="hr-HR"/>
        </w:rPr>
        <w:t xml:space="preserve"> </w:t>
      </w:r>
      <w:r>
        <w:rPr>
          <w:rFonts w:ascii="Arial" w:hAnsi="Arial" w:cs="Arial"/>
          <w:w w:val="95"/>
          <w:sz w:val="24"/>
          <w:szCs w:val="24"/>
          <w:lang w:val="hr-HR"/>
        </w:rPr>
        <w:t>Prva faza obuhvata analizu trenutnog stanja i izradu Strategije</w:t>
      </w:r>
      <w:r w:rsidR="002F6428">
        <w:rPr>
          <w:rFonts w:ascii="Arial" w:hAnsi="Arial" w:cs="Arial"/>
          <w:w w:val="95"/>
          <w:sz w:val="24"/>
          <w:szCs w:val="24"/>
          <w:lang w:val="hr-HR"/>
        </w:rPr>
        <w:t>, druga faza podrazum</w:t>
      </w:r>
      <w:r w:rsidR="002E0B58">
        <w:rPr>
          <w:rFonts w:ascii="Arial" w:hAnsi="Arial" w:cs="Arial"/>
          <w:w w:val="95"/>
          <w:sz w:val="24"/>
          <w:szCs w:val="24"/>
          <w:lang w:val="hr-HR"/>
        </w:rPr>
        <w:t>i</w:t>
      </w:r>
      <w:r w:rsidR="002F6428">
        <w:rPr>
          <w:rFonts w:ascii="Arial" w:hAnsi="Arial" w:cs="Arial"/>
          <w:w w:val="95"/>
          <w:sz w:val="24"/>
          <w:szCs w:val="24"/>
          <w:lang w:val="hr-HR"/>
        </w:rPr>
        <w:t xml:space="preserve">jeva provođenje edukacije sa osobljem suda i implementaciju Strategije dok će se u trećoj fazi vršiti analiza provedenih </w:t>
      </w:r>
      <w:r w:rsidR="002F6428">
        <w:rPr>
          <w:rFonts w:ascii="Arial" w:hAnsi="Arial" w:cs="Arial"/>
          <w:w w:val="95"/>
          <w:sz w:val="24"/>
          <w:szCs w:val="24"/>
          <w:lang w:val="hr-HR"/>
        </w:rPr>
        <w:lastRenderedPageBreak/>
        <w:t>aktivnosti i postignutih ciljeva i poduzimaju koraci za otklanjanje eventualno uočenih nedostataka.</w:t>
      </w:r>
      <w:r w:rsidR="00454DC1">
        <w:rPr>
          <w:rFonts w:ascii="Arial" w:hAnsi="Arial" w:cs="Arial"/>
          <w:w w:val="95"/>
          <w:sz w:val="24"/>
          <w:szCs w:val="24"/>
          <w:lang w:val="hr-HR"/>
        </w:rPr>
        <w:t xml:space="preserve"> </w:t>
      </w:r>
    </w:p>
    <w:p w14:paraId="142111AB" w14:textId="77777777" w:rsidR="00E830DE" w:rsidRPr="004D384D" w:rsidRDefault="00E830DE" w:rsidP="004D384D">
      <w:pPr>
        <w:spacing w:before="40" w:line="276" w:lineRule="auto"/>
        <w:ind w:left="0"/>
        <w:jc w:val="both"/>
        <w:rPr>
          <w:rFonts w:ascii="Arial" w:hAnsi="Arial" w:cs="Arial"/>
          <w:w w:val="95"/>
          <w:sz w:val="24"/>
          <w:szCs w:val="24"/>
          <w:lang w:val="hr-HR"/>
        </w:rPr>
      </w:pPr>
    </w:p>
    <w:p w14:paraId="5B2338CD" w14:textId="34DD0C47" w:rsidR="00A46E3D" w:rsidRPr="002F6428" w:rsidRDefault="00454DC1" w:rsidP="002F6428">
      <w:pPr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ab/>
      </w:r>
      <w:r w:rsidR="00A46E3D" w:rsidRPr="006F4F43">
        <w:rPr>
          <w:rFonts w:ascii="Arial" w:hAnsi="Arial" w:cs="Arial"/>
          <w:w w:val="95"/>
          <w:sz w:val="24"/>
          <w:szCs w:val="24"/>
          <w:lang w:val="hr-HR"/>
        </w:rPr>
        <w:t>Sud je u okviru svog mandata, misije i viz</w:t>
      </w:r>
      <w:r w:rsidR="00705492" w:rsidRPr="006F4F43">
        <w:rPr>
          <w:rFonts w:ascii="Arial" w:hAnsi="Arial" w:cs="Arial"/>
          <w:w w:val="95"/>
          <w:sz w:val="24"/>
          <w:szCs w:val="24"/>
          <w:lang w:val="hr-HR"/>
        </w:rPr>
        <w:t>i</w:t>
      </w:r>
      <w:r w:rsidR="00A46E3D" w:rsidRPr="006F4F43">
        <w:rPr>
          <w:rFonts w:ascii="Arial" w:hAnsi="Arial" w:cs="Arial"/>
          <w:w w:val="95"/>
          <w:sz w:val="24"/>
          <w:szCs w:val="24"/>
          <w:lang w:val="hr-HR"/>
        </w:rPr>
        <w:t>ie postavio i cilj unaprjeđenje procesuiranja predmeta ratnih zločina</w:t>
      </w:r>
      <w:r w:rsidR="00705492" w:rsidRPr="006F4F43">
        <w:rPr>
          <w:rFonts w:ascii="Arial" w:hAnsi="Arial" w:cs="Arial"/>
          <w:w w:val="95"/>
          <w:sz w:val="24"/>
          <w:szCs w:val="24"/>
          <w:lang w:val="hr-HR"/>
        </w:rPr>
        <w:t>. U</w:t>
      </w:r>
      <w:r w:rsidR="00A46E3D" w:rsidRPr="006F4F43">
        <w:rPr>
          <w:rFonts w:ascii="Arial" w:hAnsi="Arial" w:cs="Arial"/>
          <w:w w:val="95"/>
          <w:sz w:val="24"/>
          <w:szCs w:val="24"/>
          <w:lang w:val="hr-HR"/>
        </w:rPr>
        <w:t xml:space="preserve"> 2022. godini očekuje</w:t>
      </w:r>
      <w:r w:rsidR="00705492" w:rsidRPr="006F4F43">
        <w:rPr>
          <w:rFonts w:ascii="Arial" w:hAnsi="Arial" w:cs="Arial"/>
          <w:w w:val="95"/>
          <w:sz w:val="24"/>
          <w:szCs w:val="24"/>
          <w:lang w:val="hr-HR"/>
        </w:rPr>
        <w:t xml:space="preserve"> se </w:t>
      </w:r>
      <w:r w:rsidR="00A46E3D" w:rsidRPr="006F4F43">
        <w:rPr>
          <w:rFonts w:ascii="Arial" w:hAnsi="Arial" w:cs="Arial"/>
          <w:w w:val="95"/>
          <w:sz w:val="24"/>
          <w:szCs w:val="24"/>
          <w:lang w:val="hr-HR"/>
        </w:rPr>
        <w:t xml:space="preserve"> rješava</w:t>
      </w:r>
      <w:r w:rsidR="009C2ECB" w:rsidRPr="006F4F43">
        <w:rPr>
          <w:rFonts w:ascii="Arial" w:hAnsi="Arial" w:cs="Arial"/>
          <w:w w:val="95"/>
          <w:sz w:val="24"/>
          <w:szCs w:val="24"/>
          <w:lang w:val="hr-HR"/>
        </w:rPr>
        <w:t>nje jednog započetog predmeta (</w:t>
      </w:r>
      <w:r w:rsidR="00A46E3D" w:rsidRPr="006F4F43">
        <w:rPr>
          <w:rFonts w:ascii="Arial" w:hAnsi="Arial" w:cs="Arial"/>
          <w:w w:val="95"/>
          <w:sz w:val="24"/>
          <w:szCs w:val="24"/>
          <w:lang w:val="hr-HR"/>
        </w:rPr>
        <w:t>predmeta ratnog zlo</w:t>
      </w:r>
      <w:r w:rsidR="00705492" w:rsidRPr="006F4F43">
        <w:rPr>
          <w:rFonts w:ascii="Arial" w:hAnsi="Arial" w:cs="Arial"/>
          <w:w w:val="95"/>
          <w:sz w:val="24"/>
          <w:szCs w:val="24"/>
          <w:lang w:val="hr-HR"/>
        </w:rPr>
        <w:t>čina) kako bi se ostvario cilj Strategije i unaprijedil</w:t>
      </w:r>
      <w:r w:rsidR="00A46E3D" w:rsidRPr="006F4F43">
        <w:rPr>
          <w:rFonts w:ascii="Arial" w:hAnsi="Arial" w:cs="Arial"/>
          <w:w w:val="95"/>
          <w:sz w:val="24"/>
          <w:szCs w:val="24"/>
          <w:lang w:val="hr-HR"/>
        </w:rPr>
        <w:t>a efikasnost pravosuđa.</w:t>
      </w:r>
      <w:r w:rsidR="00705492" w:rsidRPr="006F4F43">
        <w:rPr>
          <w:rFonts w:ascii="Arial" w:hAnsi="Arial" w:cs="Arial"/>
          <w:w w:val="95"/>
          <w:sz w:val="24"/>
          <w:szCs w:val="24"/>
          <w:lang w:val="hr-HR"/>
        </w:rPr>
        <w:t xml:space="preserve"> </w:t>
      </w:r>
      <w:r w:rsidR="00A46E3D" w:rsidRPr="006F4F43">
        <w:rPr>
          <w:rFonts w:ascii="Arial" w:hAnsi="Arial" w:cs="Arial"/>
          <w:w w:val="95"/>
          <w:sz w:val="24"/>
          <w:szCs w:val="24"/>
          <w:lang w:val="hr-HR"/>
        </w:rPr>
        <w:t xml:space="preserve">Rad suda </w:t>
      </w:r>
      <w:r w:rsidR="009C2ECB" w:rsidRPr="006F4F43">
        <w:rPr>
          <w:rFonts w:ascii="Arial" w:hAnsi="Arial" w:cs="Arial"/>
          <w:w w:val="95"/>
          <w:sz w:val="24"/>
          <w:szCs w:val="24"/>
          <w:lang w:val="hr-HR"/>
        </w:rPr>
        <w:t xml:space="preserve">po ovom predmetu </w:t>
      </w:r>
      <w:r w:rsidR="00A46E3D" w:rsidRPr="006F4F43">
        <w:rPr>
          <w:rFonts w:ascii="Arial" w:hAnsi="Arial" w:cs="Arial"/>
          <w:w w:val="95"/>
          <w:sz w:val="24"/>
          <w:szCs w:val="24"/>
          <w:lang w:val="hr-HR"/>
        </w:rPr>
        <w:t>u najvećem</w:t>
      </w:r>
      <w:r w:rsidR="00705492" w:rsidRPr="006F4F43">
        <w:rPr>
          <w:rFonts w:ascii="Arial" w:hAnsi="Arial" w:cs="Arial"/>
          <w:w w:val="95"/>
          <w:sz w:val="24"/>
          <w:szCs w:val="24"/>
          <w:lang w:val="hr-HR"/>
        </w:rPr>
        <w:t xml:space="preserve"> dijelu zavisi od postupanja </w:t>
      </w:r>
      <w:r w:rsidR="00A46E3D" w:rsidRPr="006F4F43">
        <w:rPr>
          <w:rFonts w:ascii="Arial" w:hAnsi="Arial" w:cs="Arial"/>
          <w:w w:val="95"/>
          <w:sz w:val="24"/>
          <w:szCs w:val="24"/>
          <w:lang w:val="hr-HR"/>
        </w:rPr>
        <w:t>Kantonalnog tužilaštva</w:t>
      </w:r>
      <w:r w:rsidR="00705492" w:rsidRPr="006F4F43">
        <w:rPr>
          <w:rFonts w:ascii="Arial" w:hAnsi="Arial" w:cs="Arial"/>
          <w:w w:val="95"/>
          <w:sz w:val="24"/>
          <w:szCs w:val="24"/>
          <w:lang w:val="hr-HR"/>
        </w:rPr>
        <w:t xml:space="preserve"> u Goraždu je</w:t>
      </w:r>
      <w:r w:rsidR="00A46E3D" w:rsidRPr="006F4F43">
        <w:rPr>
          <w:rFonts w:ascii="Arial" w:hAnsi="Arial" w:cs="Arial"/>
          <w:w w:val="95"/>
          <w:sz w:val="24"/>
          <w:szCs w:val="24"/>
          <w:lang w:val="hr-HR"/>
        </w:rPr>
        <w:t xml:space="preserve">r se radi o optuženom licu koje </w:t>
      </w:r>
      <w:r w:rsidR="009C2ECB" w:rsidRPr="006F4F43">
        <w:rPr>
          <w:rFonts w:ascii="Arial" w:hAnsi="Arial" w:cs="Arial"/>
          <w:w w:val="95"/>
          <w:sz w:val="24"/>
          <w:szCs w:val="24"/>
          <w:lang w:val="hr-HR"/>
        </w:rPr>
        <w:t>se nalazi izvan BiH</w:t>
      </w:r>
      <w:r w:rsidR="00705492" w:rsidRPr="006F4F43">
        <w:rPr>
          <w:rFonts w:ascii="Arial" w:hAnsi="Arial" w:cs="Arial"/>
          <w:w w:val="95"/>
          <w:sz w:val="24"/>
          <w:szCs w:val="24"/>
          <w:lang w:val="hr-HR"/>
        </w:rPr>
        <w:t xml:space="preserve"> a </w:t>
      </w:r>
      <w:r w:rsidR="00A46E3D" w:rsidRPr="006F4F43">
        <w:rPr>
          <w:rFonts w:ascii="Arial" w:hAnsi="Arial" w:cs="Arial"/>
          <w:w w:val="95"/>
          <w:sz w:val="24"/>
          <w:szCs w:val="24"/>
          <w:lang w:val="hr-HR"/>
        </w:rPr>
        <w:t>posjeduje državljanstvo druge države.</w:t>
      </w:r>
    </w:p>
    <w:p w14:paraId="23BA2A02" w14:textId="43A818EC" w:rsidR="006F430E" w:rsidRPr="006F430E" w:rsidRDefault="006F430E" w:rsidP="006F430E">
      <w:pPr>
        <w:rPr>
          <w:lang w:val="hr-HR"/>
        </w:rPr>
      </w:pPr>
    </w:p>
    <w:p w14:paraId="7B85BB3E" w14:textId="01E8D280" w:rsidR="00705492" w:rsidRDefault="006F430E" w:rsidP="006F430E">
      <w:pPr>
        <w:pStyle w:val="Heading1"/>
        <w:rPr>
          <w:rFonts w:eastAsia="Calibri"/>
        </w:rPr>
      </w:pPr>
      <w:r>
        <w:t>5</w:t>
      </w:r>
      <w:r w:rsidR="00705492">
        <w:t>)</w:t>
      </w:r>
      <w:r w:rsidR="00705492">
        <w:tab/>
      </w:r>
      <w:r w:rsidR="00705492" w:rsidRPr="009336F9">
        <w:rPr>
          <w:rFonts w:eastAsia="Calibri"/>
        </w:rPr>
        <w:t>Analiza unut</w:t>
      </w:r>
      <w:r w:rsidR="00705492">
        <w:rPr>
          <w:rFonts w:eastAsia="Calibri"/>
        </w:rPr>
        <w:t>a</w:t>
      </w:r>
      <w:r w:rsidR="00705492" w:rsidRPr="009336F9">
        <w:rPr>
          <w:rFonts w:eastAsia="Calibri"/>
        </w:rPr>
        <w:t>rnjeg i vanjskog okruženja u kojem radi sud</w:t>
      </w:r>
    </w:p>
    <w:p w14:paraId="5BE0302C" w14:textId="555A20F3" w:rsidR="00E830DE" w:rsidRDefault="00E830DE" w:rsidP="00E830DE">
      <w:pPr>
        <w:rPr>
          <w:lang w:val="hr-HR"/>
        </w:rPr>
      </w:pPr>
    </w:p>
    <w:p w14:paraId="7DAEEC94" w14:textId="77777777" w:rsidR="00E830DE" w:rsidRPr="00E830DE" w:rsidRDefault="00E830DE" w:rsidP="00E830DE">
      <w:pPr>
        <w:rPr>
          <w:lang w:val="hr-HR"/>
        </w:rPr>
      </w:pPr>
    </w:p>
    <w:tbl>
      <w:tblPr>
        <w:tblW w:w="438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6D9F1"/>
        <w:tblLook w:val="01E0" w:firstRow="1" w:lastRow="1" w:firstColumn="1" w:lastColumn="1" w:noHBand="0" w:noVBand="0"/>
      </w:tblPr>
      <w:tblGrid>
        <w:gridCol w:w="1921"/>
        <w:gridCol w:w="3017"/>
        <w:gridCol w:w="3017"/>
      </w:tblGrid>
      <w:tr w:rsidR="006834DC" w:rsidRPr="009336F9" w14:paraId="080C2372" w14:textId="77777777" w:rsidTr="006834DC">
        <w:trPr>
          <w:trHeight w:val="448"/>
        </w:trPr>
        <w:tc>
          <w:tcPr>
            <w:tcW w:w="1207" w:type="pct"/>
            <w:vMerge w:val="restart"/>
            <w:tcBorders>
              <w:right w:val="single" w:sz="4" w:space="0" w:color="auto"/>
            </w:tcBorders>
            <w:shd w:val="clear" w:color="auto" w:fill="FFC000"/>
            <w:textDirection w:val="btLr"/>
            <w:vAlign w:val="center"/>
          </w:tcPr>
          <w:p w14:paraId="029073E8" w14:textId="77777777" w:rsidR="00C3321B" w:rsidRDefault="00705492" w:rsidP="00610C8C">
            <w:pPr>
              <w:ind w:left="0"/>
              <w:jc w:val="center"/>
              <w:rPr>
                <w:rFonts w:ascii="Arial" w:eastAsia="Calibri" w:hAnsi="Arial" w:cs="Arial"/>
                <w:b/>
                <w:bCs/>
                <w:noProof/>
                <w:w w:val="95"/>
                <w:sz w:val="24"/>
                <w:szCs w:val="24"/>
                <w:lang w:val="hr-HR"/>
              </w:rPr>
            </w:pPr>
            <w:r w:rsidRPr="009336F9">
              <w:rPr>
                <w:rFonts w:ascii="Arial" w:eastAsia="Calibri" w:hAnsi="Arial" w:cs="Arial"/>
                <w:b/>
                <w:bCs/>
                <w:noProof/>
                <w:w w:val="95"/>
                <w:sz w:val="24"/>
                <w:szCs w:val="24"/>
                <w:lang w:val="hr-HR"/>
              </w:rPr>
              <w:t xml:space="preserve">UNUTARNJI </w:t>
            </w:r>
          </w:p>
          <w:p w14:paraId="546D3082" w14:textId="0F95D81C" w:rsidR="00705492" w:rsidRPr="009336F9" w:rsidRDefault="00705492" w:rsidP="00610C8C">
            <w:pPr>
              <w:ind w:left="0"/>
              <w:jc w:val="center"/>
              <w:rPr>
                <w:rFonts w:ascii="Arial" w:eastAsia="Calibri" w:hAnsi="Arial" w:cs="Arial"/>
                <w:b/>
                <w:bCs/>
                <w:noProof/>
                <w:color w:val="FFFFFF"/>
                <w:w w:val="95"/>
                <w:sz w:val="24"/>
                <w:szCs w:val="24"/>
                <w:lang w:val="hr-HR"/>
              </w:rPr>
            </w:pPr>
            <w:r>
              <w:rPr>
                <w:rFonts w:ascii="Arial" w:eastAsia="Calibri" w:hAnsi="Arial" w:cs="Arial"/>
                <w:b/>
                <w:bCs/>
                <w:noProof/>
                <w:w w:val="95"/>
                <w:sz w:val="24"/>
                <w:szCs w:val="24"/>
                <w:lang w:val="hr-HR"/>
              </w:rPr>
              <w:t>FAKTORI/</w:t>
            </w:r>
            <w:r w:rsidRPr="009336F9">
              <w:rPr>
                <w:rFonts w:ascii="Arial" w:eastAsia="Calibri" w:hAnsi="Arial" w:cs="Arial"/>
                <w:b/>
                <w:bCs/>
                <w:noProof/>
                <w:w w:val="95"/>
                <w:sz w:val="24"/>
                <w:szCs w:val="24"/>
                <w:lang w:val="hr-HR"/>
              </w:rPr>
              <w:t>ČIMBENICI</w:t>
            </w:r>
          </w:p>
        </w:tc>
        <w:tc>
          <w:tcPr>
            <w:tcW w:w="1896" w:type="pct"/>
            <w:tcBorders>
              <w:left w:val="single" w:sz="4" w:space="0" w:color="auto"/>
            </w:tcBorders>
            <w:shd w:val="clear" w:color="auto" w:fill="0070C0"/>
            <w:vAlign w:val="center"/>
          </w:tcPr>
          <w:p w14:paraId="7BEAD625" w14:textId="77777777" w:rsidR="00705492" w:rsidRPr="009336F9" w:rsidRDefault="00705492" w:rsidP="00610C8C">
            <w:pPr>
              <w:ind w:left="0"/>
              <w:jc w:val="center"/>
              <w:rPr>
                <w:rFonts w:ascii="Arial" w:eastAsia="Calibri" w:hAnsi="Arial" w:cs="Arial"/>
                <w:b/>
                <w:bCs/>
                <w:noProof/>
                <w:color w:val="FFFFFF"/>
                <w:w w:val="95"/>
                <w:sz w:val="24"/>
                <w:szCs w:val="24"/>
                <w:lang w:val="hr-HR"/>
              </w:rPr>
            </w:pPr>
            <w:r w:rsidRPr="009336F9">
              <w:rPr>
                <w:rFonts w:ascii="Arial" w:eastAsia="Calibri" w:hAnsi="Arial" w:cs="Arial"/>
                <w:b/>
                <w:bCs/>
                <w:noProof/>
                <w:color w:val="FFFFFF"/>
                <w:w w:val="95"/>
                <w:sz w:val="24"/>
                <w:szCs w:val="24"/>
                <w:lang w:val="hr-HR"/>
              </w:rPr>
              <w:t>SNAGE (STRENGTHS)</w:t>
            </w:r>
          </w:p>
        </w:tc>
        <w:tc>
          <w:tcPr>
            <w:tcW w:w="1896" w:type="pct"/>
            <w:shd w:val="clear" w:color="auto" w:fill="0070C0"/>
            <w:vAlign w:val="center"/>
          </w:tcPr>
          <w:p w14:paraId="7B26515C" w14:textId="77777777" w:rsidR="00705492" w:rsidRPr="009336F9" w:rsidRDefault="00705492" w:rsidP="00610C8C">
            <w:pPr>
              <w:ind w:left="0"/>
              <w:jc w:val="center"/>
              <w:rPr>
                <w:rFonts w:ascii="Arial" w:eastAsia="Calibri" w:hAnsi="Arial" w:cs="Arial"/>
                <w:b/>
                <w:bCs/>
                <w:noProof/>
                <w:color w:val="FFFFFF"/>
                <w:w w:val="95"/>
                <w:sz w:val="24"/>
                <w:szCs w:val="24"/>
                <w:lang w:val="hr-HR"/>
              </w:rPr>
            </w:pPr>
            <w:r w:rsidRPr="009336F9">
              <w:rPr>
                <w:rFonts w:ascii="Arial" w:eastAsia="Calibri" w:hAnsi="Arial" w:cs="Arial"/>
                <w:b/>
                <w:bCs/>
                <w:noProof/>
                <w:color w:val="FFFFFF"/>
                <w:w w:val="95"/>
                <w:sz w:val="24"/>
                <w:szCs w:val="24"/>
                <w:lang w:val="hr-HR"/>
              </w:rPr>
              <w:t>SLABOSTI (WEAKNESSES)</w:t>
            </w:r>
          </w:p>
        </w:tc>
      </w:tr>
      <w:tr w:rsidR="006834DC" w:rsidRPr="009336F9" w14:paraId="22BC3911" w14:textId="77777777" w:rsidTr="00C3321B">
        <w:trPr>
          <w:trHeight w:val="3230"/>
        </w:trPr>
        <w:tc>
          <w:tcPr>
            <w:tcW w:w="1207" w:type="pct"/>
            <w:vMerge/>
            <w:tcBorders>
              <w:right w:val="single" w:sz="4" w:space="0" w:color="auto"/>
            </w:tcBorders>
            <w:shd w:val="clear" w:color="auto" w:fill="FFC000"/>
            <w:textDirection w:val="btLr"/>
          </w:tcPr>
          <w:p w14:paraId="54B88AFA" w14:textId="77777777" w:rsidR="00705492" w:rsidRPr="009336F9" w:rsidRDefault="00705492" w:rsidP="00610C8C">
            <w:pPr>
              <w:numPr>
                <w:ilvl w:val="0"/>
                <w:numId w:val="5"/>
              </w:numPr>
              <w:spacing w:after="60"/>
              <w:ind w:left="0" w:hanging="357"/>
              <w:rPr>
                <w:rFonts w:ascii="Arial" w:eastAsia="Calibri" w:hAnsi="Arial" w:cs="Arial"/>
                <w:noProof/>
                <w:w w:val="95"/>
                <w:sz w:val="24"/>
                <w:szCs w:val="24"/>
                <w:lang w:val="hr-HR"/>
              </w:rPr>
            </w:pPr>
          </w:p>
        </w:tc>
        <w:tc>
          <w:tcPr>
            <w:tcW w:w="1896" w:type="pct"/>
            <w:tcBorders>
              <w:left w:val="single" w:sz="4" w:space="0" w:color="auto"/>
            </w:tcBorders>
            <w:shd w:val="clear" w:color="auto" w:fill="FFFFFF"/>
          </w:tcPr>
          <w:p w14:paraId="10138271" w14:textId="77777777" w:rsidR="006834DC" w:rsidRPr="00FA5D68" w:rsidRDefault="006834DC" w:rsidP="006834DC">
            <w:pPr>
              <w:numPr>
                <w:ilvl w:val="0"/>
                <w:numId w:val="5"/>
              </w:numPr>
              <w:spacing w:after="60"/>
              <w:ind w:left="357" w:hanging="357"/>
              <w:rPr>
                <w:rFonts w:ascii="Arial" w:eastAsia="Calibri" w:hAnsi="Arial" w:cs="Arial"/>
                <w:noProof/>
                <w:sz w:val="24"/>
                <w:szCs w:val="24"/>
                <w:lang w:val="bs-Latn-BA"/>
              </w:rPr>
            </w:pPr>
            <w:r w:rsidRPr="00152330">
              <w:rPr>
                <w:rFonts w:ascii="Arial" w:eastAsia="Calibri" w:hAnsi="Arial" w:cs="Arial"/>
                <w:noProof/>
                <w:sz w:val="24"/>
                <w:szCs w:val="24"/>
                <w:lang w:val="bs-Latn-BA"/>
              </w:rPr>
              <w:t>redovna financijska sredstva budžeta</w:t>
            </w:r>
          </w:p>
          <w:p w14:paraId="577FF16E" w14:textId="77777777" w:rsidR="006834DC" w:rsidRPr="00FA5D68" w:rsidRDefault="006834DC" w:rsidP="006834DC">
            <w:pPr>
              <w:numPr>
                <w:ilvl w:val="0"/>
                <w:numId w:val="5"/>
              </w:numPr>
              <w:spacing w:after="60"/>
              <w:ind w:left="357" w:hanging="357"/>
              <w:rPr>
                <w:rFonts w:ascii="Arial" w:eastAsia="Calibri" w:hAnsi="Arial" w:cs="Arial"/>
                <w:noProof/>
                <w:sz w:val="24"/>
                <w:szCs w:val="24"/>
                <w:lang w:val="bs-Latn-BA"/>
              </w:rPr>
            </w:pPr>
            <w:r w:rsidRPr="00152330">
              <w:rPr>
                <w:rFonts w:ascii="Arial" w:eastAsia="Calibri" w:hAnsi="Arial" w:cs="Arial"/>
                <w:noProof/>
                <w:sz w:val="24"/>
                <w:szCs w:val="24"/>
                <w:lang w:val="bs-Latn-BA"/>
              </w:rPr>
              <w:t>mogućnost posvećivanja predmetima uz analizu postojeće sudske prakse</w:t>
            </w:r>
          </w:p>
          <w:p w14:paraId="625DF4A2" w14:textId="77777777" w:rsidR="006834DC" w:rsidRPr="00FA5D68" w:rsidRDefault="006834DC" w:rsidP="006834DC">
            <w:pPr>
              <w:numPr>
                <w:ilvl w:val="0"/>
                <w:numId w:val="5"/>
              </w:numPr>
              <w:spacing w:after="60"/>
              <w:ind w:left="357" w:hanging="357"/>
              <w:rPr>
                <w:rFonts w:ascii="Arial" w:eastAsia="Calibri" w:hAnsi="Arial" w:cs="Arial"/>
                <w:noProof/>
                <w:sz w:val="24"/>
                <w:szCs w:val="24"/>
                <w:lang w:val="bs-Latn-BA"/>
              </w:rPr>
            </w:pPr>
            <w:r w:rsidRPr="00152330">
              <w:rPr>
                <w:rFonts w:ascii="Arial" w:eastAsia="Calibri" w:hAnsi="Arial" w:cs="Arial"/>
                <w:noProof/>
                <w:sz w:val="24"/>
                <w:szCs w:val="24"/>
                <w:lang w:val="bs-Latn-BA"/>
              </w:rPr>
              <w:t>maksimalna popunjenost suda kadrovima u svim segmentima rada</w:t>
            </w:r>
          </w:p>
          <w:p w14:paraId="46B88C5C" w14:textId="77777777" w:rsidR="00705492" w:rsidRPr="00741F1F" w:rsidRDefault="00705492" w:rsidP="00610C8C">
            <w:pPr>
              <w:pStyle w:val="ListParagraph"/>
              <w:spacing w:after="60"/>
              <w:ind w:left="360"/>
              <w:rPr>
                <w:rFonts w:ascii="Arial" w:eastAsia="Calibri" w:hAnsi="Arial" w:cs="Arial"/>
                <w:noProof/>
                <w:w w:val="95"/>
                <w:lang w:val="hr-HR"/>
              </w:rPr>
            </w:pPr>
          </w:p>
        </w:tc>
        <w:tc>
          <w:tcPr>
            <w:tcW w:w="1896" w:type="pct"/>
            <w:shd w:val="clear" w:color="auto" w:fill="FFFFFF"/>
          </w:tcPr>
          <w:p w14:paraId="272E70F8" w14:textId="77777777" w:rsidR="006834DC" w:rsidRPr="00FA5D68" w:rsidRDefault="006834DC" w:rsidP="006834DC">
            <w:pPr>
              <w:pStyle w:val="ListParagraph"/>
              <w:numPr>
                <w:ilvl w:val="0"/>
                <w:numId w:val="12"/>
              </w:numPr>
              <w:spacing w:after="60"/>
              <w:ind w:left="341" w:hanging="142"/>
              <w:rPr>
                <w:rFonts w:ascii="Arial" w:eastAsia="Calibri" w:hAnsi="Arial" w:cs="Arial"/>
                <w:noProof/>
                <w:sz w:val="24"/>
                <w:szCs w:val="24"/>
                <w:lang w:val="bs-Latn-BA"/>
              </w:rPr>
            </w:pPr>
            <w:r w:rsidRPr="00152330">
              <w:rPr>
                <w:rFonts w:ascii="Arial" w:eastAsia="Calibri" w:hAnsi="Arial" w:cs="Arial"/>
                <w:noProof/>
                <w:sz w:val="24"/>
                <w:szCs w:val="24"/>
                <w:lang w:val="bs-Latn-BA"/>
              </w:rPr>
              <w:t xml:space="preserve">slaba tehnička opremljenost za </w:t>
            </w:r>
          </w:p>
          <w:p w14:paraId="3BB0A34D" w14:textId="77777777" w:rsidR="006834DC" w:rsidRPr="00FA5D68" w:rsidRDefault="006834DC" w:rsidP="006834DC">
            <w:pPr>
              <w:pStyle w:val="ListParagraph"/>
              <w:spacing w:after="60"/>
              <w:ind w:left="341"/>
              <w:rPr>
                <w:rFonts w:ascii="Arial" w:eastAsia="Calibri" w:hAnsi="Arial" w:cs="Arial"/>
                <w:noProof/>
                <w:sz w:val="24"/>
                <w:szCs w:val="24"/>
                <w:lang w:val="bs-Latn-BA"/>
              </w:rPr>
            </w:pPr>
            <w:r w:rsidRPr="00152330">
              <w:rPr>
                <w:rFonts w:ascii="Arial" w:eastAsia="Calibri" w:hAnsi="Arial" w:cs="Arial"/>
                <w:noProof/>
                <w:sz w:val="24"/>
                <w:szCs w:val="24"/>
                <w:lang w:val="bs-Latn-BA"/>
              </w:rPr>
              <w:t>procesuiranje predmeta ratnih zločina</w:t>
            </w:r>
          </w:p>
          <w:p w14:paraId="02758636" w14:textId="77777777" w:rsidR="006834DC" w:rsidRPr="00FA5D68" w:rsidRDefault="006834DC" w:rsidP="006834DC">
            <w:pPr>
              <w:pStyle w:val="ListParagraph"/>
              <w:numPr>
                <w:ilvl w:val="0"/>
                <w:numId w:val="12"/>
              </w:numPr>
              <w:spacing w:after="60"/>
              <w:ind w:left="341" w:hanging="142"/>
              <w:rPr>
                <w:rFonts w:ascii="Arial" w:eastAsia="Calibri" w:hAnsi="Arial" w:cs="Arial"/>
                <w:noProof/>
                <w:sz w:val="24"/>
                <w:szCs w:val="24"/>
                <w:lang w:val="bs-Latn-BA"/>
              </w:rPr>
            </w:pPr>
            <w:r w:rsidRPr="00152330">
              <w:rPr>
                <w:rFonts w:ascii="Arial" w:eastAsia="Calibri" w:hAnsi="Arial" w:cs="Arial"/>
                <w:noProof/>
                <w:sz w:val="24"/>
                <w:szCs w:val="24"/>
                <w:lang w:val="bs-Latn-BA"/>
              </w:rPr>
              <w:t>neuslovnost prostorija za rad</w:t>
            </w:r>
          </w:p>
          <w:p w14:paraId="71AA72CC" w14:textId="77777777" w:rsidR="006834DC" w:rsidRPr="00FA5D68" w:rsidRDefault="006834DC" w:rsidP="006834DC">
            <w:pPr>
              <w:pStyle w:val="ListParagraph"/>
              <w:spacing w:after="60"/>
              <w:ind w:left="341"/>
              <w:rPr>
                <w:rFonts w:ascii="Arial" w:eastAsia="Calibri" w:hAnsi="Arial" w:cs="Arial"/>
                <w:noProof/>
                <w:sz w:val="24"/>
                <w:szCs w:val="24"/>
                <w:lang w:val="bs-Latn-BA"/>
              </w:rPr>
            </w:pPr>
          </w:p>
          <w:p w14:paraId="30ED82B5" w14:textId="77777777" w:rsidR="00705492" w:rsidRPr="00741F1F" w:rsidRDefault="00705492" w:rsidP="00610C8C">
            <w:pPr>
              <w:pStyle w:val="ListParagraph"/>
              <w:spacing w:after="60"/>
              <w:ind w:left="360"/>
              <w:rPr>
                <w:rFonts w:ascii="Arial" w:eastAsia="Calibri" w:hAnsi="Arial" w:cs="Arial"/>
                <w:noProof/>
                <w:w w:val="95"/>
                <w:lang w:val="hr-HR"/>
              </w:rPr>
            </w:pPr>
          </w:p>
        </w:tc>
      </w:tr>
      <w:tr w:rsidR="006834DC" w:rsidRPr="009336F9" w14:paraId="1799FFCE" w14:textId="77777777" w:rsidTr="006F430E">
        <w:trPr>
          <w:trHeight w:val="407"/>
        </w:trPr>
        <w:tc>
          <w:tcPr>
            <w:tcW w:w="1207" w:type="pct"/>
            <w:vMerge w:val="restart"/>
            <w:tcBorders>
              <w:right w:val="single" w:sz="4" w:space="0" w:color="auto"/>
            </w:tcBorders>
            <w:shd w:val="clear" w:color="auto" w:fill="92D050"/>
            <w:textDirection w:val="btLr"/>
          </w:tcPr>
          <w:p w14:paraId="38748C4A" w14:textId="3DC3FA6E" w:rsidR="00C3321B" w:rsidRDefault="00C3321B" w:rsidP="006F430E">
            <w:pPr>
              <w:spacing w:after="60"/>
              <w:ind w:left="357" w:right="113"/>
              <w:rPr>
                <w:rFonts w:ascii="Arial" w:eastAsia="Calibri" w:hAnsi="Arial" w:cs="Arial"/>
                <w:b/>
                <w:bCs/>
                <w:noProof/>
                <w:w w:val="95"/>
                <w:sz w:val="24"/>
                <w:szCs w:val="24"/>
                <w:lang w:val="hr-HR"/>
              </w:rPr>
            </w:pPr>
            <w:r>
              <w:rPr>
                <w:rFonts w:ascii="Arial" w:eastAsia="Calibri" w:hAnsi="Arial" w:cs="Arial"/>
                <w:b/>
                <w:bCs/>
                <w:noProof/>
                <w:w w:val="95"/>
                <w:sz w:val="24"/>
                <w:szCs w:val="24"/>
                <w:lang w:val="hr-HR"/>
              </w:rPr>
              <w:t xml:space="preserve"> </w:t>
            </w:r>
          </w:p>
          <w:p w14:paraId="226B1C0A" w14:textId="77777777" w:rsidR="00C3321B" w:rsidRDefault="00C3321B" w:rsidP="006F430E">
            <w:pPr>
              <w:spacing w:after="60"/>
              <w:ind w:left="357" w:right="113"/>
              <w:rPr>
                <w:rFonts w:ascii="Arial" w:eastAsia="Calibri" w:hAnsi="Arial" w:cs="Arial"/>
                <w:b/>
                <w:bCs/>
                <w:noProof/>
                <w:w w:val="95"/>
                <w:sz w:val="24"/>
                <w:szCs w:val="24"/>
                <w:lang w:val="hr-HR"/>
              </w:rPr>
            </w:pPr>
          </w:p>
          <w:p w14:paraId="44A0D91D" w14:textId="26245CB3" w:rsidR="00C3321B" w:rsidRDefault="006F430E" w:rsidP="00C3321B">
            <w:pPr>
              <w:spacing w:after="60"/>
              <w:ind w:left="357" w:right="113"/>
              <w:jc w:val="center"/>
              <w:rPr>
                <w:rFonts w:ascii="Arial" w:eastAsia="Calibri" w:hAnsi="Arial" w:cs="Arial"/>
                <w:b/>
                <w:bCs/>
                <w:noProof/>
                <w:w w:val="95"/>
                <w:sz w:val="24"/>
                <w:szCs w:val="24"/>
                <w:lang w:val="hr-HR"/>
              </w:rPr>
            </w:pPr>
            <w:r>
              <w:rPr>
                <w:rFonts w:ascii="Arial" w:eastAsia="Calibri" w:hAnsi="Arial" w:cs="Arial"/>
                <w:b/>
                <w:bCs/>
                <w:noProof/>
                <w:w w:val="95"/>
                <w:sz w:val="24"/>
                <w:szCs w:val="24"/>
                <w:lang w:val="hr-HR"/>
              </w:rPr>
              <w:t>VANJSKI</w:t>
            </w:r>
          </w:p>
          <w:p w14:paraId="29E5F674" w14:textId="003D2429" w:rsidR="006834DC" w:rsidRPr="006F430E" w:rsidRDefault="00C3321B" w:rsidP="006F430E">
            <w:pPr>
              <w:spacing w:after="60"/>
              <w:ind w:left="357" w:right="113"/>
              <w:rPr>
                <w:rFonts w:ascii="Arial" w:eastAsia="Calibri" w:hAnsi="Arial" w:cs="Arial"/>
                <w:b/>
                <w:bCs/>
                <w:noProof/>
                <w:w w:val="95"/>
                <w:sz w:val="24"/>
                <w:szCs w:val="24"/>
                <w:lang w:val="hr-HR"/>
              </w:rPr>
            </w:pPr>
            <w:r>
              <w:rPr>
                <w:rFonts w:ascii="Arial" w:eastAsia="Calibri" w:hAnsi="Arial" w:cs="Arial"/>
                <w:b/>
                <w:bCs/>
                <w:noProof/>
                <w:w w:val="95"/>
                <w:sz w:val="24"/>
                <w:szCs w:val="24"/>
                <w:lang w:val="hr-HR"/>
              </w:rPr>
              <w:t>FAKTORI/ ČIMBENICI</w:t>
            </w:r>
          </w:p>
        </w:tc>
        <w:tc>
          <w:tcPr>
            <w:tcW w:w="1896" w:type="pct"/>
            <w:tcBorders>
              <w:left w:val="single" w:sz="4" w:space="0" w:color="auto"/>
            </w:tcBorders>
            <w:shd w:val="clear" w:color="auto" w:fill="0070C0"/>
            <w:vAlign w:val="center"/>
          </w:tcPr>
          <w:p w14:paraId="762C793C" w14:textId="77777777" w:rsidR="006834DC" w:rsidRPr="009336F9" w:rsidRDefault="006834DC" w:rsidP="006834DC">
            <w:pPr>
              <w:ind w:left="0"/>
              <w:jc w:val="center"/>
              <w:rPr>
                <w:rFonts w:ascii="Arial" w:eastAsia="Calibri" w:hAnsi="Arial" w:cs="Arial"/>
                <w:b/>
                <w:bCs/>
                <w:noProof/>
                <w:color w:val="FFFFFF"/>
                <w:w w:val="95"/>
                <w:sz w:val="24"/>
                <w:szCs w:val="24"/>
                <w:lang w:val="hr-HR"/>
              </w:rPr>
            </w:pPr>
            <w:r w:rsidRPr="009336F9">
              <w:rPr>
                <w:rFonts w:ascii="Arial" w:eastAsia="Calibri" w:hAnsi="Arial" w:cs="Arial"/>
                <w:b/>
                <w:bCs/>
                <w:noProof/>
                <w:color w:val="FFFFFF"/>
                <w:w w:val="95"/>
                <w:sz w:val="24"/>
                <w:szCs w:val="24"/>
                <w:lang w:val="hr-HR"/>
              </w:rPr>
              <w:t>PRILIKE (OPPORTUNITIES)</w:t>
            </w:r>
          </w:p>
        </w:tc>
        <w:tc>
          <w:tcPr>
            <w:tcW w:w="1896" w:type="pct"/>
            <w:shd w:val="clear" w:color="auto" w:fill="0070C0"/>
            <w:vAlign w:val="center"/>
          </w:tcPr>
          <w:p w14:paraId="2333DC5F" w14:textId="77777777" w:rsidR="006834DC" w:rsidRPr="009336F9" w:rsidRDefault="006834DC" w:rsidP="006834DC">
            <w:pPr>
              <w:spacing w:after="120"/>
              <w:ind w:left="0"/>
              <w:jc w:val="center"/>
              <w:rPr>
                <w:rFonts w:ascii="Arial" w:eastAsia="Calibri" w:hAnsi="Arial" w:cs="Arial"/>
                <w:b/>
                <w:bCs/>
                <w:noProof/>
                <w:color w:val="FFFFFF"/>
                <w:w w:val="95"/>
                <w:sz w:val="24"/>
                <w:szCs w:val="24"/>
                <w:lang w:val="hr-HR"/>
              </w:rPr>
            </w:pPr>
            <w:r w:rsidRPr="009336F9">
              <w:rPr>
                <w:rFonts w:ascii="Arial" w:eastAsia="Calibri" w:hAnsi="Arial" w:cs="Arial"/>
                <w:b/>
                <w:bCs/>
                <w:noProof/>
                <w:color w:val="FFFFFF"/>
                <w:w w:val="95"/>
                <w:sz w:val="24"/>
                <w:szCs w:val="24"/>
                <w:lang w:val="hr-HR"/>
              </w:rPr>
              <w:t>PRIJETNJE (THREATS)</w:t>
            </w:r>
          </w:p>
        </w:tc>
      </w:tr>
      <w:tr w:rsidR="006834DC" w:rsidRPr="009336F9" w14:paraId="62E5D5C7" w14:textId="77777777" w:rsidTr="006834DC">
        <w:trPr>
          <w:trHeight w:val="2740"/>
        </w:trPr>
        <w:tc>
          <w:tcPr>
            <w:tcW w:w="1207" w:type="pct"/>
            <w:vMerge/>
            <w:tcBorders>
              <w:right w:val="single" w:sz="4" w:space="0" w:color="auto"/>
            </w:tcBorders>
            <w:shd w:val="clear" w:color="auto" w:fill="92D050"/>
          </w:tcPr>
          <w:p w14:paraId="09F74CC5" w14:textId="77777777" w:rsidR="006834DC" w:rsidRPr="009336F9" w:rsidRDefault="006834DC" w:rsidP="006834DC">
            <w:pPr>
              <w:numPr>
                <w:ilvl w:val="0"/>
                <w:numId w:val="7"/>
              </w:numPr>
              <w:spacing w:after="60"/>
              <w:ind w:left="0" w:hanging="357"/>
              <w:rPr>
                <w:rFonts w:ascii="Arial" w:eastAsia="Calibri" w:hAnsi="Arial" w:cs="Arial"/>
                <w:noProof/>
                <w:w w:val="95"/>
                <w:sz w:val="24"/>
                <w:szCs w:val="24"/>
                <w:lang w:val="hr-HR"/>
              </w:rPr>
            </w:pPr>
          </w:p>
        </w:tc>
        <w:tc>
          <w:tcPr>
            <w:tcW w:w="1896" w:type="pct"/>
            <w:tcBorders>
              <w:left w:val="single" w:sz="4" w:space="0" w:color="auto"/>
            </w:tcBorders>
            <w:shd w:val="clear" w:color="auto" w:fill="FFFFFF"/>
          </w:tcPr>
          <w:p w14:paraId="11281202" w14:textId="77777777" w:rsidR="006F430E" w:rsidRPr="00FA5D68" w:rsidRDefault="006F430E" w:rsidP="006F430E">
            <w:pPr>
              <w:numPr>
                <w:ilvl w:val="0"/>
                <w:numId w:val="7"/>
              </w:numPr>
              <w:spacing w:after="60"/>
              <w:ind w:left="357" w:hanging="357"/>
              <w:rPr>
                <w:rFonts w:ascii="Arial" w:eastAsia="Calibri" w:hAnsi="Arial" w:cs="Arial"/>
                <w:noProof/>
                <w:sz w:val="24"/>
                <w:szCs w:val="24"/>
                <w:lang w:val="bs-Latn-BA"/>
              </w:rPr>
            </w:pPr>
            <w:r w:rsidRPr="00152330">
              <w:rPr>
                <w:rFonts w:ascii="Arial" w:eastAsia="Calibri" w:hAnsi="Arial" w:cs="Arial"/>
                <w:noProof/>
                <w:sz w:val="24"/>
                <w:szCs w:val="24"/>
                <w:lang w:val="bs-Latn-BA"/>
              </w:rPr>
              <w:t xml:space="preserve">moguća saradnja sa organima izvršne vlasti BPK i VSTV-om BiH u cilju opremanja suda i izvođenja građevinskih radova </w:t>
            </w:r>
          </w:p>
          <w:p w14:paraId="6F48C741" w14:textId="77777777" w:rsidR="006834DC" w:rsidRPr="00741F1F" w:rsidRDefault="006834DC" w:rsidP="006834DC">
            <w:pPr>
              <w:pStyle w:val="ListParagraph"/>
              <w:spacing w:after="60"/>
              <w:ind w:left="360"/>
              <w:rPr>
                <w:rFonts w:ascii="Arial" w:eastAsia="Calibri" w:hAnsi="Arial" w:cs="Arial"/>
                <w:noProof/>
                <w:w w:val="95"/>
                <w:lang w:val="hr-HR"/>
              </w:rPr>
            </w:pPr>
          </w:p>
        </w:tc>
        <w:tc>
          <w:tcPr>
            <w:tcW w:w="1896" w:type="pct"/>
            <w:shd w:val="clear" w:color="auto" w:fill="FFFFFF"/>
          </w:tcPr>
          <w:p w14:paraId="48F3F8E6" w14:textId="77777777" w:rsidR="006834DC" w:rsidRPr="00FA5D68" w:rsidRDefault="006834DC" w:rsidP="006834DC">
            <w:pPr>
              <w:pStyle w:val="ListParagraph"/>
              <w:numPr>
                <w:ilvl w:val="0"/>
                <w:numId w:val="7"/>
              </w:numPr>
              <w:spacing w:after="60"/>
              <w:rPr>
                <w:rFonts w:ascii="Arial" w:eastAsia="Calibri" w:hAnsi="Arial" w:cs="Arial"/>
                <w:noProof/>
                <w:sz w:val="24"/>
                <w:szCs w:val="24"/>
                <w:lang w:val="bs-Latn-BA"/>
              </w:rPr>
            </w:pPr>
            <w:r w:rsidRPr="00152330">
              <w:rPr>
                <w:rFonts w:ascii="Arial" w:eastAsia="Calibri" w:hAnsi="Arial" w:cs="Arial"/>
                <w:noProof/>
                <w:sz w:val="24"/>
                <w:szCs w:val="24"/>
                <w:lang w:val="bs-Latn-BA"/>
              </w:rPr>
              <w:t xml:space="preserve">nemogućnost obezbjeđenja finansijskih sredstava za opremanje suda </w:t>
            </w:r>
          </w:p>
          <w:p w14:paraId="5610F076" w14:textId="77777777" w:rsidR="006834DC" w:rsidRPr="00741F1F" w:rsidRDefault="006834DC" w:rsidP="006834DC">
            <w:pPr>
              <w:pStyle w:val="ListParagraph"/>
              <w:spacing w:after="60"/>
              <w:ind w:left="360"/>
              <w:rPr>
                <w:rFonts w:ascii="Arial" w:eastAsia="Calibri" w:hAnsi="Arial" w:cs="Arial"/>
                <w:noProof/>
                <w:w w:val="95"/>
                <w:lang w:val="hr-HR"/>
              </w:rPr>
            </w:pPr>
          </w:p>
        </w:tc>
      </w:tr>
    </w:tbl>
    <w:p w14:paraId="1350F3F3" w14:textId="565C9244" w:rsidR="006834DC" w:rsidRDefault="006834DC" w:rsidP="006834DC">
      <w:pPr>
        <w:shd w:val="clear" w:color="auto" w:fill="FFFFFF"/>
        <w:spacing w:line="276" w:lineRule="auto"/>
        <w:ind w:left="0" w:right="146"/>
        <w:jc w:val="both"/>
        <w:rPr>
          <w:rFonts w:ascii="Arial" w:eastAsia="Calibri" w:hAnsi="Arial" w:cs="Arial"/>
          <w:w w:val="95"/>
          <w:sz w:val="24"/>
          <w:szCs w:val="24"/>
          <w:lang w:val="bs-Latn-BA"/>
        </w:rPr>
      </w:pPr>
    </w:p>
    <w:p w14:paraId="2D37C9EC" w14:textId="77777777" w:rsidR="00E830DE" w:rsidRDefault="00E830DE" w:rsidP="006834DC">
      <w:pPr>
        <w:shd w:val="clear" w:color="auto" w:fill="FFFFFF"/>
        <w:spacing w:line="276" w:lineRule="auto"/>
        <w:ind w:left="0" w:right="146"/>
        <w:jc w:val="both"/>
        <w:rPr>
          <w:rFonts w:ascii="Arial" w:eastAsia="Calibri" w:hAnsi="Arial" w:cs="Arial"/>
          <w:w w:val="95"/>
          <w:sz w:val="24"/>
          <w:szCs w:val="24"/>
          <w:lang w:val="bs-Latn-BA"/>
        </w:rPr>
      </w:pPr>
      <w:r>
        <w:rPr>
          <w:rFonts w:ascii="Arial" w:eastAsia="Calibri" w:hAnsi="Arial" w:cs="Arial"/>
          <w:w w:val="95"/>
          <w:sz w:val="24"/>
          <w:szCs w:val="24"/>
          <w:lang w:val="bs-Latn-BA"/>
        </w:rPr>
        <w:tab/>
      </w:r>
    </w:p>
    <w:p w14:paraId="180503F4" w14:textId="77777777" w:rsidR="00E830DE" w:rsidRDefault="00E830DE" w:rsidP="006834DC">
      <w:pPr>
        <w:shd w:val="clear" w:color="auto" w:fill="FFFFFF"/>
        <w:spacing w:line="276" w:lineRule="auto"/>
        <w:ind w:left="0" w:right="146"/>
        <w:jc w:val="both"/>
        <w:rPr>
          <w:rFonts w:ascii="Arial" w:eastAsia="Calibri" w:hAnsi="Arial" w:cs="Arial"/>
          <w:w w:val="95"/>
          <w:sz w:val="24"/>
          <w:szCs w:val="24"/>
          <w:lang w:val="bs-Latn-BA"/>
        </w:rPr>
      </w:pPr>
    </w:p>
    <w:p w14:paraId="2AE5AA8B" w14:textId="2E8AA5BD" w:rsidR="006834DC" w:rsidRPr="00FA5D68" w:rsidRDefault="006834DC" w:rsidP="006834DC">
      <w:pPr>
        <w:shd w:val="clear" w:color="auto" w:fill="FFFFFF"/>
        <w:spacing w:line="276" w:lineRule="auto"/>
        <w:ind w:left="0" w:right="146"/>
        <w:jc w:val="both"/>
        <w:rPr>
          <w:rFonts w:ascii="Arial" w:eastAsia="Calibri" w:hAnsi="Arial" w:cs="Arial"/>
          <w:w w:val="95"/>
          <w:sz w:val="24"/>
          <w:szCs w:val="24"/>
          <w:lang w:val="bs-Latn-BA"/>
        </w:rPr>
      </w:pPr>
      <w:r w:rsidRPr="00FA5D68">
        <w:rPr>
          <w:rFonts w:ascii="Arial" w:eastAsia="Calibri" w:hAnsi="Arial" w:cs="Arial"/>
          <w:w w:val="95"/>
          <w:sz w:val="24"/>
          <w:szCs w:val="24"/>
          <w:lang w:val="bs-Latn-BA"/>
        </w:rPr>
        <w:t xml:space="preserve">Kantonalni sud u Goraždu u 2021. godini </w:t>
      </w:r>
      <w:r w:rsidR="000D642E">
        <w:rPr>
          <w:rFonts w:ascii="Arial" w:eastAsia="Calibri" w:hAnsi="Arial" w:cs="Arial"/>
          <w:w w:val="95"/>
          <w:sz w:val="24"/>
          <w:szCs w:val="24"/>
          <w:lang w:val="bs-Latn-BA"/>
        </w:rPr>
        <w:t>j</w:t>
      </w:r>
      <w:r w:rsidRPr="00FA5D68">
        <w:rPr>
          <w:rFonts w:ascii="Arial" w:eastAsia="Calibri" w:hAnsi="Arial" w:cs="Arial"/>
          <w:w w:val="95"/>
          <w:sz w:val="24"/>
          <w:szCs w:val="24"/>
          <w:lang w:val="bs-Latn-BA"/>
        </w:rPr>
        <w:t>e popunjen novim sudijama i radi u punom kapacitetu pri čemu je nesporno da priliv predmeta ne obezbjeđuje dovoljan broj predmeta sudijama za ispunjavanje sudijske norme.</w:t>
      </w:r>
    </w:p>
    <w:p w14:paraId="47CC6D56" w14:textId="77777777" w:rsidR="006834DC" w:rsidRPr="00FA5D68" w:rsidRDefault="006834DC" w:rsidP="006834DC">
      <w:pPr>
        <w:shd w:val="clear" w:color="auto" w:fill="FFFFFF"/>
        <w:spacing w:line="276" w:lineRule="auto"/>
        <w:ind w:left="0" w:right="146"/>
        <w:jc w:val="both"/>
        <w:rPr>
          <w:rFonts w:ascii="Arial" w:eastAsia="Calibri" w:hAnsi="Arial" w:cs="Arial"/>
          <w:w w:val="95"/>
          <w:sz w:val="24"/>
          <w:szCs w:val="24"/>
          <w:lang w:val="bs-Latn-BA"/>
        </w:rPr>
      </w:pPr>
      <w:r w:rsidRPr="00FA5D68">
        <w:rPr>
          <w:rFonts w:ascii="Arial" w:eastAsia="Calibri" w:hAnsi="Arial" w:cs="Arial"/>
          <w:w w:val="95"/>
          <w:sz w:val="24"/>
          <w:szCs w:val="24"/>
          <w:lang w:val="bs-Latn-BA"/>
        </w:rPr>
        <w:lastRenderedPageBreak/>
        <w:t xml:space="preserve">Jedan od ključnih problema u radu suda jeste i neadekvatan smještajni prostor. Naime, sud je lociran u zgradi zajedničkih institucija Vlade BPK Goražde, odnosno na zadnjem spratu te zgrade, pri čemu je u proteklom periodu imao velikih problema sa prokišnjavanjem krova zgrade što je direktno uticalo na rad suda i što u narednom periodu može predstavljati problem u radu. </w:t>
      </w:r>
    </w:p>
    <w:p w14:paraId="088B6A17" w14:textId="77777777" w:rsidR="006834DC" w:rsidRPr="00FA5D68" w:rsidRDefault="006834DC" w:rsidP="006834DC">
      <w:pPr>
        <w:shd w:val="clear" w:color="auto" w:fill="FFFFFF"/>
        <w:spacing w:line="276" w:lineRule="auto"/>
        <w:ind w:left="0" w:right="146"/>
        <w:jc w:val="both"/>
        <w:rPr>
          <w:rFonts w:ascii="Arial" w:eastAsia="Calibri" w:hAnsi="Arial" w:cs="Arial"/>
          <w:w w:val="95"/>
          <w:sz w:val="24"/>
          <w:szCs w:val="24"/>
          <w:lang w:val="bs-Latn-BA"/>
        </w:rPr>
      </w:pPr>
    </w:p>
    <w:p w14:paraId="0FE4152C" w14:textId="786AC38C" w:rsidR="006834DC" w:rsidRPr="00FA5D68" w:rsidRDefault="006834DC" w:rsidP="006834DC">
      <w:pPr>
        <w:shd w:val="clear" w:color="auto" w:fill="FFFFFF"/>
        <w:spacing w:line="276" w:lineRule="auto"/>
        <w:ind w:left="0" w:right="146"/>
        <w:jc w:val="both"/>
        <w:rPr>
          <w:rFonts w:ascii="Arial" w:eastAsia="Calibri" w:hAnsi="Arial" w:cs="Arial"/>
          <w:w w:val="95"/>
          <w:sz w:val="24"/>
          <w:szCs w:val="24"/>
          <w:lang w:val="bs-Latn-BA"/>
        </w:rPr>
      </w:pPr>
      <w:r w:rsidRPr="00FA5D68">
        <w:rPr>
          <w:rFonts w:ascii="Arial" w:eastAsia="Calibri" w:hAnsi="Arial" w:cs="Arial"/>
          <w:w w:val="95"/>
          <w:sz w:val="24"/>
          <w:szCs w:val="24"/>
          <w:lang w:val="bs-Latn-BA"/>
        </w:rPr>
        <w:t>Jedan od ključnih problema suda, koji se posebno ističe u predmetima ratnih zločina i ostalim krivičnim predmetima, predstavlja činjenica da sud raspolaže sa samo jednom sudnicom vrlo malog kapaciteta. Pored ovoga, sud nema na raspolaganju posebne prostorije za postupanje sa zaštićenim svjedocima i svjedocima pod prijetnjom zbog čega se mogu pojaviti problemi prilikom procesuiranja navedenih predmeta.</w:t>
      </w:r>
    </w:p>
    <w:p w14:paraId="5898A85D" w14:textId="78A204D4" w:rsidR="006834DC" w:rsidRDefault="006834DC" w:rsidP="006834DC">
      <w:pPr>
        <w:shd w:val="clear" w:color="auto" w:fill="FFFFFF"/>
        <w:spacing w:line="276" w:lineRule="auto"/>
        <w:ind w:left="0" w:right="146"/>
        <w:jc w:val="both"/>
        <w:rPr>
          <w:rFonts w:ascii="Arial" w:eastAsia="Calibri" w:hAnsi="Arial" w:cs="Arial"/>
          <w:w w:val="95"/>
          <w:sz w:val="24"/>
          <w:szCs w:val="24"/>
          <w:lang w:val="bs-Latn-BA"/>
        </w:rPr>
      </w:pPr>
      <w:r w:rsidRPr="00FA5D68">
        <w:rPr>
          <w:rFonts w:ascii="Arial" w:eastAsia="Calibri" w:hAnsi="Arial" w:cs="Arial"/>
          <w:w w:val="95"/>
          <w:sz w:val="24"/>
          <w:szCs w:val="24"/>
          <w:lang w:val="bs-Latn-BA"/>
        </w:rPr>
        <w:t xml:space="preserve">Sud u dosadašnjem postupanju nije imao zapažen broj predmeta ratnih zločina pa samim tim niti specijalizovane sudije za rad na istim. Činjenica je da se radi o sudu koji po svojoj sistematizaciji nema dovoljan broj sudija za formiranje posebnih odjela i specijalizacije sudija po određenim oblastima što može biti otežavajuća okolnost u daljem radu suda u slučajevima potrebe za postupanje sudija </w:t>
      </w:r>
      <w:r w:rsidR="00C3321B">
        <w:rPr>
          <w:rFonts w:ascii="Arial" w:eastAsia="Calibri" w:hAnsi="Arial" w:cs="Arial"/>
          <w:w w:val="95"/>
          <w:sz w:val="24"/>
          <w:szCs w:val="24"/>
          <w:lang w:val="bs-Latn-BA"/>
        </w:rPr>
        <w:t>specijalista za određenu oblast</w:t>
      </w:r>
      <w:r w:rsidR="00E830DE">
        <w:rPr>
          <w:rFonts w:ascii="Arial" w:eastAsia="Calibri" w:hAnsi="Arial" w:cs="Arial"/>
          <w:w w:val="95"/>
          <w:sz w:val="24"/>
          <w:szCs w:val="24"/>
          <w:lang w:val="bs-Latn-BA"/>
        </w:rPr>
        <w:t>.</w:t>
      </w:r>
    </w:p>
    <w:p w14:paraId="7AA035FE" w14:textId="77777777" w:rsidR="00E830DE" w:rsidRPr="00FA5D68" w:rsidRDefault="00E830DE" w:rsidP="006834DC">
      <w:pPr>
        <w:shd w:val="clear" w:color="auto" w:fill="FFFFFF"/>
        <w:spacing w:line="276" w:lineRule="auto"/>
        <w:ind w:left="0" w:right="146"/>
        <w:jc w:val="both"/>
        <w:rPr>
          <w:rFonts w:ascii="Arial" w:eastAsia="Calibri" w:hAnsi="Arial" w:cs="Arial"/>
          <w:w w:val="95"/>
          <w:sz w:val="24"/>
          <w:szCs w:val="24"/>
          <w:lang w:val="bs-Latn-BA"/>
        </w:rPr>
      </w:pPr>
    </w:p>
    <w:p w14:paraId="17AE9909" w14:textId="77777777" w:rsidR="00E830DE" w:rsidRDefault="006834DC" w:rsidP="006834DC">
      <w:pPr>
        <w:shd w:val="clear" w:color="auto" w:fill="FFFFFF"/>
        <w:spacing w:line="276" w:lineRule="auto"/>
        <w:ind w:left="0" w:right="146"/>
        <w:jc w:val="both"/>
        <w:rPr>
          <w:rFonts w:ascii="Arial" w:eastAsia="Calibri" w:hAnsi="Arial" w:cs="Arial"/>
          <w:w w:val="95"/>
          <w:sz w:val="24"/>
          <w:szCs w:val="24"/>
          <w:lang w:val="bs-Latn-BA"/>
        </w:rPr>
      </w:pPr>
      <w:r w:rsidRPr="00FA5D68">
        <w:rPr>
          <w:rFonts w:ascii="Arial" w:eastAsia="Calibri" w:hAnsi="Arial" w:cs="Arial"/>
          <w:w w:val="95"/>
          <w:sz w:val="24"/>
          <w:szCs w:val="24"/>
          <w:lang w:val="bs-Latn-BA"/>
        </w:rPr>
        <w:t xml:space="preserve">Uzimajući u obzir broj predmeta koje ima u radu, sud ima dovoljno kapaciteta da se posveti predmetima i donese kvalitetne odluke te da predmete rješava u optimalnim rokovima pri čemu sudije imaju dovoljno prostora za individualnu edukaciju. U takvoj situaciji sudije suda su se dobrovoljno prijavile za upućivanje na rad u Kantonalni sud u Sarajevu, a u cilju ostvarivanja sudijske norme i davanja doprinosa na rješavanju zaostalih predmeta u pravosuđu. </w:t>
      </w:r>
    </w:p>
    <w:p w14:paraId="737FDA77" w14:textId="26FECA96" w:rsidR="006834DC" w:rsidRPr="00FA5D68" w:rsidRDefault="006834DC" w:rsidP="006834DC">
      <w:pPr>
        <w:shd w:val="clear" w:color="auto" w:fill="FFFFFF"/>
        <w:spacing w:line="276" w:lineRule="auto"/>
        <w:ind w:left="0" w:right="146"/>
        <w:jc w:val="both"/>
        <w:rPr>
          <w:rFonts w:ascii="Arial" w:eastAsia="Calibri" w:hAnsi="Arial" w:cs="Arial"/>
          <w:w w:val="95"/>
          <w:sz w:val="24"/>
          <w:szCs w:val="24"/>
          <w:lang w:val="bs-Latn-BA"/>
        </w:rPr>
      </w:pPr>
      <w:r w:rsidRPr="00FA5D68">
        <w:rPr>
          <w:rFonts w:ascii="Arial" w:eastAsia="Calibri" w:hAnsi="Arial" w:cs="Arial"/>
          <w:w w:val="95"/>
          <w:sz w:val="24"/>
          <w:szCs w:val="24"/>
          <w:lang w:val="bs-Latn-BA"/>
        </w:rPr>
        <w:t xml:space="preserve">Uzimajući u obzir da se rad sudija u navedenoj situaciji i dalje odvija u prostorijama Kantonalnog suda u Goraždu postoji opasnost za donošenje odluka koje nisu usaglašene sa sudskom praksom u oba suda. </w:t>
      </w:r>
    </w:p>
    <w:p w14:paraId="032F969B" w14:textId="314547B9" w:rsidR="006834DC" w:rsidRDefault="006834DC" w:rsidP="00C3321B">
      <w:pPr>
        <w:pStyle w:val="Heading1"/>
      </w:pPr>
      <w:r>
        <w:t>B. Pregled ciljeva</w:t>
      </w:r>
      <w:r w:rsidRPr="00A222AE">
        <w:t xml:space="preserve"> i </w:t>
      </w:r>
      <w:r>
        <w:t xml:space="preserve">godišnjih </w:t>
      </w:r>
      <w:r w:rsidRPr="00A222AE">
        <w:t>aktivnosti po strateškim</w:t>
      </w:r>
      <w:r>
        <w:t xml:space="preserve"> i trogodišnjim</w:t>
      </w:r>
      <w:r w:rsidRPr="00A222AE">
        <w:t xml:space="preserve"> ciljevima</w:t>
      </w:r>
    </w:p>
    <w:p w14:paraId="49DD452B" w14:textId="77777777" w:rsidR="00C3321B" w:rsidRPr="00C3321B" w:rsidRDefault="00C3321B" w:rsidP="00C3321B">
      <w:pPr>
        <w:rPr>
          <w:lang w:val="hr-HR"/>
        </w:rPr>
      </w:pPr>
    </w:p>
    <w:p w14:paraId="25E67D1C" w14:textId="77777777" w:rsidR="00C3321B" w:rsidRPr="00C3321B" w:rsidRDefault="00C3321B" w:rsidP="00C3321B">
      <w:pPr>
        <w:rPr>
          <w:lang w:val="hr-HR"/>
        </w:rPr>
      </w:pPr>
    </w:p>
    <w:tbl>
      <w:tblPr>
        <w:tblStyle w:val="TableGrid"/>
        <w:tblpPr w:leftFromText="180" w:rightFromText="180" w:vertAnchor="text" w:horzAnchor="margin" w:tblpY="1"/>
        <w:tblW w:w="5000" w:type="pct"/>
        <w:tblLook w:val="04A0" w:firstRow="1" w:lastRow="0" w:firstColumn="1" w:lastColumn="0" w:noHBand="0" w:noVBand="1"/>
      </w:tblPr>
      <w:tblGrid>
        <w:gridCol w:w="1351"/>
        <w:gridCol w:w="2385"/>
        <w:gridCol w:w="1834"/>
        <w:gridCol w:w="20"/>
        <w:gridCol w:w="1716"/>
        <w:gridCol w:w="16"/>
        <w:gridCol w:w="1740"/>
      </w:tblGrid>
      <w:tr w:rsidR="00F316CC" w:rsidRPr="00FA5D68" w14:paraId="66D2E25B" w14:textId="77777777" w:rsidTr="00C3321B">
        <w:trPr>
          <w:trHeight w:val="416"/>
        </w:trPr>
        <w:tc>
          <w:tcPr>
            <w:tcW w:w="2054" w:type="pct"/>
            <w:gridSpan w:val="2"/>
            <w:shd w:val="clear" w:color="auto" w:fill="65BDFF"/>
          </w:tcPr>
          <w:p w14:paraId="71356F6B" w14:textId="77777777" w:rsidR="00F316CC" w:rsidRPr="00FA5D68" w:rsidRDefault="00F316CC" w:rsidP="00610C8C">
            <w:pPr>
              <w:spacing w:line="276" w:lineRule="auto"/>
              <w:jc w:val="both"/>
              <w:rPr>
                <w:rFonts w:ascii="Arial" w:eastAsia="Calibri" w:hAnsi="Arial" w:cs="Arial"/>
                <w:b/>
                <w:w w:val="95"/>
                <w:sz w:val="19"/>
                <w:szCs w:val="19"/>
                <w:lang w:val="bs-Latn-BA"/>
              </w:rPr>
            </w:pPr>
            <w:bookmarkStart w:id="99" w:name="_Toc64459482"/>
            <w:r w:rsidRPr="00FA5D68">
              <w:rPr>
                <w:rFonts w:ascii="Arial" w:eastAsia="Calibri" w:hAnsi="Arial" w:cs="Arial"/>
                <w:b/>
                <w:w w:val="95"/>
                <w:sz w:val="19"/>
                <w:szCs w:val="19"/>
                <w:lang w:val="bs-Latn-BA"/>
              </w:rPr>
              <w:t>Strateški cilj 1</w:t>
            </w:r>
          </w:p>
        </w:tc>
        <w:tc>
          <w:tcPr>
            <w:tcW w:w="2946" w:type="pct"/>
            <w:gridSpan w:val="5"/>
            <w:shd w:val="clear" w:color="auto" w:fill="65BDFF"/>
          </w:tcPr>
          <w:p w14:paraId="2A004512" w14:textId="77777777" w:rsidR="00F316CC" w:rsidRPr="00FA5D68" w:rsidRDefault="00F316CC" w:rsidP="00610C8C">
            <w:pPr>
              <w:rPr>
                <w:rStyle w:val="fontstyle01"/>
                <w:rFonts w:ascii="Arial" w:hAnsi="Arial" w:cs="Arial"/>
                <w:i/>
                <w:color w:val="auto"/>
                <w:sz w:val="19"/>
                <w:szCs w:val="19"/>
                <w:lang w:val="bs-Latn-BA"/>
              </w:rPr>
            </w:pPr>
            <w:r w:rsidRPr="00FA5D68">
              <w:rPr>
                <w:rStyle w:val="fontstyle11"/>
                <w:color w:val="auto"/>
                <w:sz w:val="19"/>
                <w:szCs w:val="19"/>
                <w:lang w:val="bs-Latn-BA"/>
              </w:rPr>
              <w:t>Unapređenje efikasnosti, odgovornosti, kvalitete i neovisnosti sektora pravde u BiH</w:t>
            </w:r>
            <w:r w:rsidRPr="00FA5D68">
              <w:rPr>
                <w:rStyle w:val="fontstyle01"/>
                <w:rFonts w:ascii="Arial" w:hAnsi="Arial" w:cs="Arial"/>
                <w:i/>
                <w:color w:val="auto"/>
                <w:sz w:val="19"/>
                <w:szCs w:val="19"/>
                <w:lang w:val="bs-Latn-BA"/>
              </w:rPr>
              <w:t>.</w:t>
            </w:r>
          </w:p>
          <w:p w14:paraId="67669E46" w14:textId="77777777" w:rsidR="00F316CC" w:rsidRPr="00FA5D68" w:rsidRDefault="00F316CC" w:rsidP="00610C8C">
            <w:pPr>
              <w:tabs>
                <w:tab w:val="left" w:pos="2413"/>
              </w:tabs>
              <w:spacing w:line="276" w:lineRule="auto"/>
              <w:jc w:val="both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</w:p>
        </w:tc>
      </w:tr>
      <w:tr w:rsidR="00F316CC" w:rsidRPr="00FA5D68" w14:paraId="1896EA52" w14:textId="77777777" w:rsidTr="0089270D">
        <w:tc>
          <w:tcPr>
            <w:tcW w:w="2054" w:type="pct"/>
            <w:gridSpan w:val="2"/>
            <w:shd w:val="clear" w:color="auto" w:fill="65BDFF"/>
          </w:tcPr>
          <w:p w14:paraId="4342B1B9" w14:textId="77777777" w:rsidR="00F316CC" w:rsidRPr="00FA5D68" w:rsidRDefault="00F316CC" w:rsidP="00610C8C">
            <w:pPr>
              <w:spacing w:line="276" w:lineRule="auto"/>
              <w:jc w:val="both"/>
              <w:rPr>
                <w:rFonts w:ascii="Arial" w:eastAsia="Calibri" w:hAnsi="Arial" w:cs="Arial"/>
                <w:b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b/>
                <w:w w:val="95"/>
                <w:sz w:val="19"/>
                <w:szCs w:val="19"/>
                <w:lang w:val="bs-Latn-BA"/>
              </w:rPr>
              <w:t>Trogodišnji cilj 1.1.</w:t>
            </w:r>
          </w:p>
        </w:tc>
        <w:tc>
          <w:tcPr>
            <w:tcW w:w="2946" w:type="pct"/>
            <w:gridSpan w:val="5"/>
            <w:shd w:val="clear" w:color="auto" w:fill="65BDFF"/>
            <w:vAlign w:val="center"/>
          </w:tcPr>
          <w:p w14:paraId="70A8D8ED" w14:textId="4425CD8E" w:rsidR="00F316CC" w:rsidRPr="00FA5D68" w:rsidRDefault="00F316CC" w:rsidP="00610C8C">
            <w:pPr>
              <w:spacing w:line="276" w:lineRule="auto"/>
              <w:jc w:val="both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hAnsi="Arial" w:cs="Arial"/>
                <w:sz w:val="19"/>
                <w:szCs w:val="19"/>
                <w:lang w:val="bs-Latn-BA"/>
              </w:rPr>
              <w:t>Održavanje dostignutog nivo e</w:t>
            </w:r>
            <w:r w:rsidR="002E0B58">
              <w:rPr>
                <w:rFonts w:ascii="Arial" w:hAnsi="Arial" w:cs="Arial"/>
                <w:sz w:val="19"/>
                <w:szCs w:val="19"/>
                <w:lang w:val="bs-Latn-BA"/>
              </w:rPr>
              <w:t>fikasnosti i rješavanje predmeta</w:t>
            </w:r>
            <w:r w:rsidRPr="00FA5D68">
              <w:rPr>
                <w:rFonts w:ascii="Arial" w:hAnsi="Arial" w:cs="Arial"/>
                <w:sz w:val="19"/>
                <w:szCs w:val="19"/>
                <w:lang w:val="bs-Latn-BA"/>
              </w:rPr>
              <w:t xml:space="preserve"> u optimalnim rokovima, uz povećanje kvaliteta rada sudija i uposlenika</w:t>
            </w:r>
          </w:p>
        </w:tc>
      </w:tr>
      <w:tr w:rsidR="00F316CC" w:rsidRPr="00FA5D68" w14:paraId="2C6E8A7B" w14:textId="77777777" w:rsidTr="0089270D">
        <w:tc>
          <w:tcPr>
            <w:tcW w:w="2054" w:type="pct"/>
            <w:gridSpan w:val="2"/>
            <w:vMerge w:val="restart"/>
            <w:shd w:val="clear" w:color="auto" w:fill="65BDFF"/>
          </w:tcPr>
          <w:p w14:paraId="70A806C1" w14:textId="77777777" w:rsidR="00F316CC" w:rsidRPr="00FA5D68" w:rsidRDefault="00F316CC" w:rsidP="00610C8C">
            <w:pPr>
              <w:spacing w:line="276" w:lineRule="auto"/>
              <w:jc w:val="both"/>
              <w:rPr>
                <w:rFonts w:ascii="Arial" w:eastAsia="Calibri" w:hAnsi="Arial" w:cs="Arial"/>
                <w:b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b/>
                <w:w w:val="95"/>
                <w:sz w:val="19"/>
                <w:szCs w:val="19"/>
                <w:lang w:val="bs-Latn-BA"/>
              </w:rPr>
              <w:t>Pokazatelji za izlazne rezultate</w:t>
            </w:r>
          </w:p>
        </w:tc>
        <w:tc>
          <w:tcPr>
            <w:tcW w:w="2946" w:type="pct"/>
            <w:gridSpan w:val="5"/>
            <w:shd w:val="clear" w:color="auto" w:fill="65BDFF"/>
            <w:vAlign w:val="center"/>
          </w:tcPr>
          <w:p w14:paraId="79181870" w14:textId="3DEEB686" w:rsidR="00F316CC" w:rsidRPr="00FA5D68" w:rsidRDefault="00F316CC" w:rsidP="00610C8C">
            <w:pPr>
              <w:spacing w:line="276" w:lineRule="auto"/>
              <w:jc w:val="center"/>
              <w:rPr>
                <w:rFonts w:ascii="Arial" w:eastAsia="Calibri" w:hAnsi="Arial" w:cs="Arial"/>
                <w:b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b/>
                <w:w w:val="95"/>
                <w:sz w:val="19"/>
                <w:szCs w:val="19"/>
                <w:lang w:val="bs-Latn-BA"/>
              </w:rPr>
              <w:t>Očekivani rezultati po godinama</w:t>
            </w:r>
          </w:p>
        </w:tc>
      </w:tr>
      <w:tr w:rsidR="00F316CC" w:rsidRPr="00FA5D68" w14:paraId="5F0B0379" w14:textId="77777777" w:rsidTr="0089270D">
        <w:tc>
          <w:tcPr>
            <w:tcW w:w="2054" w:type="pct"/>
            <w:gridSpan w:val="2"/>
            <w:vMerge/>
            <w:shd w:val="clear" w:color="auto" w:fill="8EAADB" w:themeFill="accent5" w:themeFillTint="99"/>
          </w:tcPr>
          <w:p w14:paraId="27C36C06" w14:textId="77777777" w:rsidR="00F316CC" w:rsidRPr="00FA5D68" w:rsidRDefault="00F316CC" w:rsidP="00610C8C">
            <w:pPr>
              <w:spacing w:line="276" w:lineRule="auto"/>
              <w:jc w:val="both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</w:p>
        </w:tc>
        <w:tc>
          <w:tcPr>
            <w:tcW w:w="1012" w:type="pct"/>
            <w:shd w:val="clear" w:color="auto" w:fill="6DD9FF"/>
            <w:vAlign w:val="center"/>
          </w:tcPr>
          <w:p w14:paraId="0F13E5C5" w14:textId="6145BC5E" w:rsidR="00F316CC" w:rsidRPr="00FA5D68" w:rsidRDefault="00F316CC" w:rsidP="00610C8C">
            <w:pPr>
              <w:spacing w:line="276" w:lineRule="auto"/>
              <w:jc w:val="center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>2022 (n)</w:t>
            </w:r>
          </w:p>
        </w:tc>
        <w:tc>
          <w:tcPr>
            <w:tcW w:w="967" w:type="pct"/>
            <w:gridSpan w:val="3"/>
            <w:shd w:val="clear" w:color="auto" w:fill="6DD9FF"/>
            <w:vAlign w:val="center"/>
          </w:tcPr>
          <w:p w14:paraId="096263E7" w14:textId="3ED89DB9" w:rsidR="00F316CC" w:rsidRPr="00FA5D68" w:rsidRDefault="00F316CC" w:rsidP="00610C8C">
            <w:pPr>
              <w:spacing w:line="276" w:lineRule="auto"/>
              <w:jc w:val="center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>2023 (n+1)</w:t>
            </w:r>
          </w:p>
        </w:tc>
        <w:tc>
          <w:tcPr>
            <w:tcW w:w="967" w:type="pct"/>
            <w:shd w:val="clear" w:color="auto" w:fill="6DD9FF"/>
            <w:vAlign w:val="center"/>
          </w:tcPr>
          <w:p w14:paraId="1E9F4446" w14:textId="5EF34269" w:rsidR="00F316CC" w:rsidRPr="00FA5D68" w:rsidRDefault="00F316CC" w:rsidP="00610C8C">
            <w:pPr>
              <w:spacing w:line="276" w:lineRule="auto"/>
              <w:jc w:val="center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>2024 (n+2)</w:t>
            </w:r>
          </w:p>
        </w:tc>
      </w:tr>
      <w:tr w:rsidR="00F316CC" w:rsidRPr="00FA5D68" w14:paraId="3B36E19E" w14:textId="77777777" w:rsidTr="0089270D">
        <w:tc>
          <w:tcPr>
            <w:tcW w:w="2054" w:type="pct"/>
            <w:gridSpan w:val="2"/>
          </w:tcPr>
          <w:p w14:paraId="4E53D711" w14:textId="77777777" w:rsidR="00F316CC" w:rsidRDefault="00F316CC" w:rsidP="00610C8C">
            <w:pPr>
              <w:tabs>
                <w:tab w:val="left" w:pos="2413"/>
              </w:tabs>
              <w:spacing w:line="276" w:lineRule="auto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>Broj predmeta riješen na kraju godine</w:t>
            </w:r>
          </w:p>
          <w:p w14:paraId="33A6AB80" w14:textId="77777777" w:rsidR="0089270D" w:rsidRDefault="0089270D" w:rsidP="00610C8C">
            <w:pPr>
              <w:tabs>
                <w:tab w:val="left" w:pos="2413"/>
              </w:tabs>
              <w:spacing w:line="276" w:lineRule="auto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</w:p>
          <w:p w14:paraId="327DE490" w14:textId="77777777" w:rsidR="0089270D" w:rsidRDefault="0089270D" w:rsidP="00610C8C">
            <w:pPr>
              <w:tabs>
                <w:tab w:val="left" w:pos="2413"/>
              </w:tabs>
              <w:spacing w:line="276" w:lineRule="auto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</w:p>
          <w:p w14:paraId="6ACEE4C0" w14:textId="77777777" w:rsidR="0089270D" w:rsidRDefault="0089270D" w:rsidP="00610C8C">
            <w:pPr>
              <w:tabs>
                <w:tab w:val="left" w:pos="2413"/>
              </w:tabs>
              <w:spacing w:line="276" w:lineRule="auto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</w:p>
          <w:p w14:paraId="5FA844DE" w14:textId="77777777" w:rsidR="0089270D" w:rsidRDefault="0089270D" w:rsidP="00610C8C">
            <w:pPr>
              <w:tabs>
                <w:tab w:val="left" w:pos="2413"/>
              </w:tabs>
              <w:spacing w:line="276" w:lineRule="auto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</w:p>
          <w:p w14:paraId="04F776EA" w14:textId="69563BBF" w:rsidR="0089270D" w:rsidRDefault="0089270D" w:rsidP="00610C8C">
            <w:pPr>
              <w:tabs>
                <w:tab w:val="left" w:pos="2413"/>
              </w:tabs>
              <w:spacing w:line="276" w:lineRule="auto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</w:p>
          <w:p w14:paraId="2C3EF929" w14:textId="77777777" w:rsidR="00E830DE" w:rsidRDefault="00E830DE" w:rsidP="00610C8C">
            <w:pPr>
              <w:tabs>
                <w:tab w:val="left" w:pos="2413"/>
              </w:tabs>
              <w:spacing w:line="276" w:lineRule="auto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</w:p>
          <w:p w14:paraId="44913530" w14:textId="75B39210" w:rsidR="0089270D" w:rsidRPr="00FA5D68" w:rsidRDefault="0089270D" w:rsidP="00610C8C">
            <w:pPr>
              <w:tabs>
                <w:tab w:val="left" w:pos="2413"/>
              </w:tabs>
              <w:spacing w:line="276" w:lineRule="auto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</w:p>
        </w:tc>
        <w:tc>
          <w:tcPr>
            <w:tcW w:w="1012" w:type="pct"/>
            <w:vAlign w:val="center"/>
          </w:tcPr>
          <w:p w14:paraId="11B2526C" w14:textId="77777777" w:rsidR="00F316CC" w:rsidRPr="00FA5D68" w:rsidRDefault="00F316CC" w:rsidP="00610C8C">
            <w:pPr>
              <w:tabs>
                <w:tab w:val="left" w:pos="2413"/>
              </w:tabs>
              <w:spacing w:line="276" w:lineRule="auto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>Riješeni svi novozaprimljeni predmeti do mjeseca decembra tekuće godine</w:t>
            </w:r>
          </w:p>
        </w:tc>
        <w:tc>
          <w:tcPr>
            <w:tcW w:w="967" w:type="pct"/>
            <w:gridSpan w:val="3"/>
            <w:vAlign w:val="center"/>
          </w:tcPr>
          <w:p w14:paraId="0110C6DD" w14:textId="77777777" w:rsidR="00F316CC" w:rsidRPr="00FA5D68" w:rsidRDefault="00F316CC" w:rsidP="00610C8C">
            <w:pPr>
              <w:tabs>
                <w:tab w:val="left" w:pos="2413"/>
              </w:tabs>
              <w:spacing w:line="276" w:lineRule="auto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>Riješeni svi novozaprimljeni predmeti do mjeseca decembra tekuće godine</w:t>
            </w:r>
          </w:p>
        </w:tc>
        <w:tc>
          <w:tcPr>
            <w:tcW w:w="967" w:type="pct"/>
            <w:vAlign w:val="center"/>
          </w:tcPr>
          <w:p w14:paraId="7BA9C6A7" w14:textId="77777777" w:rsidR="00F316CC" w:rsidRPr="00FA5D68" w:rsidRDefault="00F316CC" w:rsidP="00610C8C">
            <w:pPr>
              <w:tabs>
                <w:tab w:val="left" w:pos="2413"/>
              </w:tabs>
              <w:spacing w:line="276" w:lineRule="auto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>Riješeni svi novozaprimljeni predmeti do mjeseca decembra tekuće godine</w:t>
            </w:r>
          </w:p>
        </w:tc>
      </w:tr>
      <w:tr w:rsidR="00F316CC" w:rsidRPr="00FA5D68" w14:paraId="01421340" w14:textId="77777777" w:rsidTr="0089270D">
        <w:tc>
          <w:tcPr>
            <w:tcW w:w="745" w:type="pct"/>
            <w:shd w:val="clear" w:color="auto" w:fill="65BDFF"/>
          </w:tcPr>
          <w:p w14:paraId="2BC68860" w14:textId="77777777" w:rsidR="0089270D" w:rsidRDefault="0089270D" w:rsidP="00610C8C">
            <w:pPr>
              <w:spacing w:line="276" w:lineRule="auto"/>
              <w:jc w:val="center"/>
              <w:rPr>
                <w:rFonts w:ascii="Arial" w:eastAsia="Calibri" w:hAnsi="Arial" w:cs="Arial"/>
                <w:b/>
                <w:w w:val="95"/>
                <w:sz w:val="19"/>
                <w:szCs w:val="19"/>
                <w:lang w:val="bs-Latn-BA"/>
              </w:rPr>
            </w:pPr>
          </w:p>
          <w:p w14:paraId="437A2D76" w14:textId="42395033" w:rsidR="00F316CC" w:rsidRPr="00FA5D68" w:rsidRDefault="00F316CC" w:rsidP="00610C8C">
            <w:pPr>
              <w:spacing w:line="276" w:lineRule="auto"/>
              <w:jc w:val="center"/>
              <w:rPr>
                <w:rFonts w:ascii="Arial" w:eastAsia="Calibri" w:hAnsi="Arial" w:cs="Arial"/>
                <w:b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b/>
                <w:w w:val="95"/>
                <w:sz w:val="19"/>
                <w:szCs w:val="19"/>
                <w:lang w:val="bs-Latn-BA"/>
              </w:rPr>
              <w:t>Redni</w:t>
            </w:r>
          </w:p>
          <w:p w14:paraId="412ED126" w14:textId="77777777" w:rsidR="00F316CC" w:rsidRPr="00FA5D68" w:rsidRDefault="00F316CC" w:rsidP="00610C8C">
            <w:pPr>
              <w:spacing w:line="276" w:lineRule="auto"/>
              <w:jc w:val="center"/>
              <w:rPr>
                <w:rFonts w:ascii="Arial" w:eastAsia="Calibri" w:hAnsi="Arial" w:cs="Arial"/>
                <w:b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b/>
                <w:w w:val="95"/>
                <w:sz w:val="19"/>
                <w:szCs w:val="19"/>
                <w:lang w:val="bs-Latn-BA"/>
              </w:rPr>
              <w:t xml:space="preserve"> broj</w:t>
            </w:r>
          </w:p>
        </w:tc>
        <w:tc>
          <w:tcPr>
            <w:tcW w:w="1309" w:type="pct"/>
            <w:shd w:val="clear" w:color="auto" w:fill="65BDFF"/>
          </w:tcPr>
          <w:p w14:paraId="3C1A6B02" w14:textId="77777777" w:rsidR="00F316CC" w:rsidRPr="00FA5D68" w:rsidRDefault="00F316CC" w:rsidP="00610C8C">
            <w:pPr>
              <w:spacing w:line="276" w:lineRule="auto"/>
              <w:jc w:val="center"/>
              <w:rPr>
                <w:rFonts w:ascii="Arial" w:eastAsia="Calibri" w:hAnsi="Arial" w:cs="Arial"/>
                <w:b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b/>
                <w:w w:val="95"/>
                <w:sz w:val="19"/>
                <w:szCs w:val="19"/>
                <w:lang w:val="bs-Latn-BA"/>
              </w:rPr>
              <w:t>Naziv aktivnosti za 2022. godinu</w:t>
            </w:r>
          </w:p>
        </w:tc>
        <w:tc>
          <w:tcPr>
            <w:tcW w:w="1012" w:type="pct"/>
            <w:shd w:val="clear" w:color="auto" w:fill="65BDFF"/>
          </w:tcPr>
          <w:p w14:paraId="5C87FB26" w14:textId="77777777" w:rsidR="00F316CC" w:rsidRPr="00FA5D68" w:rsidRDefault="00F316CC" w:rsidP="00610C8C">
            <w:pPr>
              <w:spacing w:line="276" w:lineRule="auto"/>
              <w:jc w:val="center"/>
              <w:rPr>
                <w:rFonts w:ascii="Arial" w:eastAsia="Calibri" w:hAnsi="Arial" w:cs="Arial"/>
                <w:b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b/>
                <w:w w:val="95"/>
                <w:sz w:val="19"/>
                <w:szCs w:val="19"/>
                <w:lang w:val="bs-Latn-BA"/>
              </w:rPr>
              <w:t xml:space="preserve">Rok izvršenja </w:t>
            </w:r>
          </w:p>
          <w:p w14:paraId="67BACF52" w14:textId="77777777" w:rsidR="00F316CC" w:rsidRPr="00FA5D68" w:rsidRDefault="00F316CC" w:rsidP="00610C8C">
            <w:pPr>
              <w:spacing w:line="276" w:lineRule="auto"/>
              <w:jc w:val="center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>(po kvartalima u 2022. godini)</w:t>
            </w:r>
          </w:p>
        </w:tc>
        <w:tc>
          <w:tcPr>
            <w:tcW w:w="1934" w:type="pct"/>
            <w:gridSpan w:val="4"/>
            <w:shd w:val="clear" w:color="auto" w:fill="65BDFF"/>
          </w:tcPr>
          <w:p w14:paraId="04B079EC" w14:textId="77777777" w:rsidR="00F316CC" w:rsidRPr="00FA5D68" w:rsidRDefault="00F316CC" w:rsidP="00610C8C">
            <w:pPr>
              <w:spacing w:line="276" w:lineRule="auto"/>
              <w:jc w:val="center"/>
              <w:rPr>
                <w:rFonts w:ascii="Arial" w:eastAsia="Calibri" w:hAnsi="Arial" w:cs="Arial"/>
                <w:b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b/>
                <w:w w:val="95"/>
                <w:sz w:val="19"/>
                <w:szCs w:val="19"/>
                <w:lang w:val="bs-Latn-BA"/>
              </w:rPr>
              <w:t xml:space="preserve">Nosilac </w:t>
            </w:r>
            <w:r w:rsidRPr="00FA5D68"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>(najmanji organizacioni dio)</w:t>
            </w:r>
          </w:p>
        </w:tc>
      </w:tr>
      <w:tr w:rsidR="00F316CC" w:rsidRPr="00FA5D68" w14:paraId="53160D6B" w14:textId="77777777" w:rsidTr="00C3321B">
        <w:trPr>
          <w:trHeight w:val="866"/>
        </w:trPr>
        <w:tc>
          <w:tcPr>
            <w:tcW w:w="745" w:type="pct"/>
          </w:tcPr>
          <w:p w14:paraId="53D0A11F" w14:textId="3BA01E9C" w:rsidR="00F316CC" w:rsidRPr="00C3321B" w:rsidRDefault="002E0B58" w:rsidP="002E0B58">
            <w:pPr>
              <w:spacing w:line="276" w:lineRule="auto"/>
              <w:jc w:val="center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  <w:r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 xml:space="preserve">  </w:t>
            </w:r>
            <w:r w:rsidR="00F316CC" w:rsidRPr="00C3321B"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>1.</w:t>
            </w:r>
          </w:p>
          <w:p w14:paraId="29DEE676" w14:textId="2D1B31B9" w:rsidR="0089270D" w:rsidRPr="00C3321B" w:rsidRDefault="0089270D" w:rsidP="002E0B58">
            <w:pPr>
              <w:spacing w:line="276" w:lineRule="auto"/>
              <w:jc w:val="center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</w:p>
          <w:p w14:paraId="35674440" w14:textId="206A1A1F" w:rsidR="0089270D" w:rsidRPr="00C3321B" w:rsidRDefault="0089270D" w:rsidP="002E0B58">
            <w:pPr>
              <w:spacing w:line="276" w:lineRule="auto"/>
              <w:jc w:val="center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</w:p>
        </w:tc>
        <w:tc>
          <w:tcPr>
            <w:tcW w:w="1309" w:type="pct"/>
          </w:tcPr>
          <w:p w14:paraId="55B21966" w14:textId="1307C11E" w:rsidR="00F316CC" w:rsidRPr="00C3321B" w:rsidRDefault="00F316CC" w:rsidP="00610C8C">
            <w:pPr>
              <w:spacing w:line="276" w:lineRule="auto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  <w:r w:rsidRPr="00C3321B"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 xml:space="preserve">Redovna analiza predmeta zaprimljenih  i riješenih </w:t>
            </w:r>
            <w:r w:rsidR="002E0B58"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 xml:space="preserve">u </w:t>
            </w:r>
            <w:r w:rsidRPr="00C3321B"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>sudu</w:t>
            </w:r>
          </w:p>
        </w:tc>
        <w:tc>
          <w:tcPr>
            <w:tcW w:w="1012" w:type="pct"/>
            <w:vAlign w:val="center"/>
          </w:tcPr>
          <w:p w14:paraId="2C854934" w14:textId="77777777" w:rsidR="00F316CC" w:rsidRPr="00C3321B" w:rsidRDefault="00F316CC" w:rsidP="00610C8C">
            <w:pPr>
              <w:spacing w:line="276" w:lineRule="auto"/>
              <w:jc w:val="center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  <w:r w:rsidRPr="00C3321B"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>I-IV</w:t>
            </w:r>
          </w:p>
        </w:tc>
        <w:tc>
          <w:tcPr>
            <w:tcW w:w="1934" w:type="pct"/>
            <w:gridSpan w:val="4"/>
            <w:vAlign w:val="center"/>
          </w:tcPr>
          <w:p w14:paraId="10561FFE" w14:textId="77777777" w:rsidR="00F316CC" w:rsidRPr="00C3321B" w:rsidRDefault="00F316CC" w:rsidP="00610C8C">
            <w:pPr>
              <w:spacing w:line="276" w:lineRule="auto"/>
              <w:jc w:val="center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  <w:r w:rsidRPr="00C3321B"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>Predsjednik suda</w:t>
            </w:r>
          </w:p>
        </w:tc>
      </w:tr>
      <w:tr w:rsidR="00F316CC" w:rsidRPr="00FA5D68" w14:paraId="68B2E8A1" w14:textId="77777777" w:rsidTr="0089270D">
        <w:tc>
          <w:tcPr>
            <w:tcW w:w="745" w:type="pct"/>
          </w:tcPr>
          <w:p w14:paraId="1C8A03BB" w14:textId="6CBF80F2" w:rsidR="00F316CC" w:rsidRPr="00C3321B" w:rsidRDefault="002E0B58" w:rsidP="002E0B58">
            <w:pPr>
              <w:jc w:val="center"/>
              <w:rPr>
                <w:rFonts w:ascii="Arial" w:eastAsia="Trebuchet MS" w:hAnsi="Arial" w:cs="Arial"/>
                <w:sz w:val="19"/>
                <w:szCs w:val="19"/>
                <w:lang w:val="bs-Latn-BA"/>
              </w:rPr>
            </w:pPr>
            <w:r>
              <w:rPr>
                <w:rFonts w:ascii="Arial" w:eastAsia="Trebuchet MS" w:hAnsi="Arial" w:cs="Arial"/>
                <w:sz w:val="19"/>
                <w:szCs w:val="19"/>
                <w:lang w:val="bs-Latn-BA"/>
              </w:rPr>
              <w:t xml:space="preserve">  </w:t>
            </w:r>
            <w:r w:rsidR="00F316CC" w:rsidRPr="00C3321B">
              <w:rPr>
                <w:rFonts w:ascii="Arial" w:eastAsia="Trebuchet MS" w:hAnsi="Arial" w:cs="Arial"/>
                <w:sz w:val="19"/>
                <w:szCs w:val="19"/>
                <w:lang w:val="bs-Latn-BA"/>
              </w:rPr>
              <w:t>2.</w:t>
            </w:r>
          </w:p>
          <w:p w14:paraId="5CDD65C5" w14:textId="77777777" w:rsidR="0089270D" w:rsidRPr="00C3321B" w:rsidRDefault="0089270D" w:rsidP="002E0B58">
            <w:pPr>
              <w:jc w:val="center"/>
              <w:rPr>
                <w:rFonts w:ascii="Arial" w:eastAsia="Trebuchet MS" w:hAnsi="Arial" w:cs="Arial"/>
                <w:sz w:val="19"/>
                <w:szCs w:val="19"/>
                <w:lang w:val="bs-Latn-BA"/>
              </w:rPr>
            </w:pPr>
          </w:p>
          <w:p w14:paraId="484434E8" w14:textId="77777777" w:rsidR="0089270D" w:rsidRPr="00C3321B" w:rsidRDefault="0089270D" w:rsidP="002E0B58">
            <w:pPr>
              <w:jc w:val="center"/>
              <w:rPr>
                <w:rFonts w:ascii="Arial" w:eastAsia="Trebuchet MS" w:hAnsi="Arial" w:cs="Arial"/>
                <w:sz w:val="19"/>
                <w:szCs w:val="19"/>
                <w:lang w:val="bs-Latn-BA"/>
              </w:rPr>
            </w:pPr>
          </w:p>
          <w:p w14:paraId="74D669E4" w14:textId="3B8A6B53" w:rsidR="0089270D" w:rsidRPr="00C3321B" w:rsidRDefault="0089270D" w:rsidP="002E0B58">
            <w:pPr>
              <w:jc w:val="center"/>
              <w:rPr>
                <w:rFonts w:ascii="Arial" w:eastAsia="Trebuchet MS" w:hAnsi="Arial" w:cs="Arial"/>
                <w:sz w:val="19"/>
                <w:szCs w:val="19"/>
                <w:lang w:val="bs-Latn-BA"/>
              </w:rPr>
            </w:pPr>
          </w:p>
        </w:tc>
        <w:tc>
          <w:tcPr>
            <w:tcW w:w="1309" w:type="pct"/>
          </w:tcPr>
          <w:p w14:paraId="60A93F65" w14:textId="77777777" w:rsidR="00F316CC" w:rsidRPr="00C3321B" w:rsidRDefault="00F316CC" w:rsidP="00610C8C">
            <w:pPr>
              <w:spacing w:line="276" w:lineRule="auto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  <w:r w:rsidRPr="00C3321B"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 xml:space="preserve">Kvartalni sastanci sa sudijama i analiza stanja u pogledu rješavanja predmeta </w:t>
            </w:r>
          </w:p>
        </w:tc>
        <w:tc>
          <w:tcPr>
            <w:tcW w:w="1012" w:type="pct"/>
            <w:vAlign w:val="center"/>
          </w:tcPr>
          <w:p w14:paraId="57F1F15D" w14:textId="77777777" w:rsidR="00F316CC" w:rsidRPr="00C3321B" w:rsidRDefault="00F316CC" w:rsidP="00610C8C">
            <w:pPr>
              <w:spacing w:line="276" w:lineRule="auto"/>
              <w:jc w:val="center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  <w:r w:rsidRPr="00C3321B"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>I-IV</w:t>
            </w:r>
          </w:p>
        </w:tc>
        <w:tc>
          <w:tcPr>
            <w:tcW w:w="1934" w:type="pct"/>
            <w:gridSpan w:val="4"/>
            <w:vAlign w:val="center"/>
          </w:tcPr>
          <w:p w14:paraId="77C5574C" w14:textId="77777777" w:rsidR="00F316CC" w:rsidRPr="00C3321B" w:rsidRDefault="00F316CC" w:rsidP="00610C8C">
            <w:pPr>
              <w:spacing w:line="276" w:lineRule="auto"/>
              <w:jc w:val="center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  <w:r w:rsidRPr="00C3321B"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>Predsjednik suda</w:t>
            </w:r>
          </w:p>
        </w:tc>
      </w:tr>
      <w:tr w:rsidR="00F316CC" w:rsidRPr="00FA5D68" w14:paraId="6ECEFFBE" w14:textId="77777777" w:rsidTr="0089270D">
        <w:tc>
          <w:tcPr>
            <w:tcW w:w="745" w:type="pct"/>
          </w:tcPr>
          <w:p w14:paraId="117E05E8" w14:textId="2B787956" w:rsidR="00F316CC" w:rsidRPr="00C3321B" w:rsidRDefault="00F316CC" w:rsidP="002E0B58">
            <w:pPr>
              <w:widowControl w:val="0"/>
              <w:autoSpaceDE w:val="0"/>
              <w:autoSpaceDN w:val="0"/>
              <w:spacing w:before="101" w:line="276" w:lineRule="auto"/>
              <w:ind w:left="589"/>
              <w:rPr>
                <w:rFonts w:ascii="Arial" w:eastAsia="Trebuchet MS" w:hAnsi="Arial" w:cs="Arial"/>
                <w:sz w:val="19"/>
                <w:szCs w:val="19"/>
                <w:lang w:val="bs-Latn-BA"/>
              </w:rPr>
            </w:pPr>
            <w:r w:rsidRPr="00C3321B">
              <w:rPr>
                <w:rFonts w:ascii="Arial" w:eastAsia="Trebuchet MS" w:hAnsi="Arial" w:cs="Arial"/>
                <w:sz w:val="19"/>
                <w:szCs w:val="19"/>
                <w:lang w:val="bs-Latn-BA"/>
              </w:rPr>
              <w:t>3.</w:t>
            </w:r>
          </w:p>
          <w:p w14:paraId="706BC339" w14:textId="77777777" w:rsidR="0089270D" w:rsidRPr="00C3321B" w:rsidRDefault="0089270D" w:rsidP="002E0B58">
            <w:pPr>
              <w:widowControl w:val="0"/>
              <w:autoSpaceDE w:val="0"/>
              <w:autoSpaceDN w:val="0"/>
              <w:spacing w:before="101" w:line="276" w:lineRule="auto"/>
              <w:ind w:left="589"/>
              <w:rPr>
                <w:rFonts w:ascii="Arial" w:eastAsia="Trebuchet MS" w:hAnsi="Arial" w:cs="Arial"/>
                <w:sz w:val="19"/>
                <w:szCs w:val="19"/>
                <w:lang w:val="bs-Latn-BA"/>
              </w:rPr>
            </w:pPr>
          </w:p>
          <w:p w14:paraId="5C469E6B" w14:textId="72A649D7" w:rsidR="0089270D" w:rsidRPr="00C3321B" w:rsidRDefault="0089270D" w:rsidP="002E0B58">
            <w:pPr>
              <w:widowControl w:val="0"/>
              <w:autoSpaceDE w:val="0"/>
              <w:autoSpaceDN w:val="0"/>
              <w:spacing w:before="101" w:line="276" w:lineRule="auto"/>
              <w:ind w:left="589"/>
              <w:rPr>
                <w:rFonts w:ascii="Arial" w:eastAsia="Trebuchet MS" w:hAnsi="Arial" w:cs="Arial"/>
                <w:w w:val="95"/>
                <w:sz w:val="19"/>
                <w:szCs w:val="19"/>
                <w:lang w:val="bs-Latn-BA"/>
              </w:rPr>
            </w:pPr>
          </w:p>
        </w:tc>
        <w:tc>
          <w:tcPr>
            <w:tcW w:w="1309" w:type="pct"/>
          </w:tcPr>
          <w:p w14:paraId="1C386389" w14:textId="77777777" w:rsidR="00F316CC" w:rsidRPr="00C3321B" w:rsidRDefault="00F316CC" w:rsidP="00610C8C">
            <w:pPr>
              <w:spacing w:line="276" w:lineRule="auto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  <w:r w:rsidRPr="00C3321B"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>Predlaganje rješenja za unapređenje rješavanja predmeta u slučaju nastalih problema</w:t>
            </w:r>
          </w:p>
        </w:tc>
        <w:tc>
          <w:tcPr>
            <w:tcW w:w="1012" w:type="pct"/>
            <w:vAlign w:val="center"/>
          </w:tcPr>
          <w:p w14:paraId="3A4F517E" w14:textId="77777777" w:rsidR="00F316CC" w:rsidRPr="00C3321B" w:rsidRDefault="00F316CC" w:rsidP="00610C8C">
            <w:pPr>
              <w:spacing w:line="276" w:lineRule="auto"/>
              <w:jc w:val="center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  <w:r w:rsidRPr="00C3321B"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>I-IV</w:t>
            </w:r>
          </w:p>
        </w:tc>
        <w:tc>
          <w:tcPr>
            <w:tcW w:w="1934" w:type="pct"/>
            <w:gridSpan w:val="4"/>
            <w:vAlign w:val="center"/>
          </w:tcPr>
          <w:p w14:paraId="0FF616A2" w14:textId="77777777" w:rsidR="00F316CC" w:rsidRPr="00C3321B" w:rsidRDefault="00F316CC" w:rsidP="00610C8C">
            <w:pPr>
              <w:spacing w:line="276" w:lineRule="auto"/>
              <w:jc w:val="center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  <w:r w:rsidRPr="00C3321B"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>Postupajuće sudije</w:t>
            </w:r>
          </w:p>
        </w:tc>
      </w:tr>
      <w:tr w:rsidR="00F316CC" w:rsidRPr="00FA5D68" w14:paraId="1145BAB7" w14:textId="77777777" w:rsidTr="0089270D">
        <w:tc>
          <w:tcPr>
            <w:tcW w:w="745" w:type="pct"/>
          </w:tcPr>
          <w:p w14:paraId="2CE167FA" w14:textId="77777777" w:rsidR="00F316CC" w:rsidRPr="00C3321B" w:rsidRDefault="00F316CC" w:rsidP="002E0B58">
            <w:pPr>
              <w:widowControl w:val="0"/>
              <w:autoSpaceDE w:val="0"/>
              <w:autoSpaceDN w:val="0"/>
              <w:spacing w:before="101" w:line="276" w:lineRule="auto"/>
              <w:ind w:left="589"/>
              <w:rPr>
                <w:rFonts w:ascii="Arial" w:eastAsia="Trebuchet MS" w:hAnsi="Arial" w:cs="Arial"/>
                <w:sz w:val="19"/>
                <w:szCs w:val="19"/>
                <w:lang w:val="bs-Latn-BA"/>
              </w:rPr>
            </w:pPr>
            <w:r w:rsidRPr="00C3321B">
              <w:rPr>
                <w:rFonts w:ascii="Arial" w:eastAsia="Trebuchet MS" w:hAnsi="Arial" w:cs="Arial"/>
                <w:sz w:val="19"/>
                <w:szCs w:val="19"/>
                <w:lang w:val="bs-Latn-BA"/>
              </w:rPr>
              <w:t>4.</w:t>
            </w:r>
          </w:p>
          <w:p w14:paraId="16361363" w14:textId="0195CF81" w:rsidR="0089270D" w:rsidRPr="00C3321B" w:rsidRDefault="0089270D" w:rsidP="002E0B58">
            <w:pPr>
              <w:widowControl w:val="0"/>
              <w:autoSpaceDE w:val="0"/>
              <w:autoSpaceDN w:val="0"/>
              <w:spacing w:before="101" w:line="276" w:lineRule="auto"/>
              <w:ind w:left="589"/>
              <w:rPr>
                <w:rFonts w:ascii="Arial" w:eastAsia="Trebuchet MS" w:hAnsi="Arial" w:cs="Arial"/>
                <w:sz w:val="19"/>
                <w:szCs w:val="19"/>
                <w:lang w:val="bs-Latn-BA"/>
              </w:rPr>
            </w:pPr>
          </w:p>
        </w:tc>
        <w:tc>
          <w:tcPr>
            <w:tcW w:w="1309" w:type="pct"/>
          </w:tcPr>
          <w:p w14:paraId="33927E14" w14:textId="77777777" w:rsidR="00F316CC" w:rsidRPr="00C3321B" w:rsidRDefault="00F316CC" w:rsidP="00610C8C">
            <w:pPr>
              <w:spacing w:line="276" w:lineRule="auto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  <w:r w:rsidRPr="00C3321B">
              <w:rPr>
                <w:rFonts w:ascii="Arial" w:eastAsia="Calibri" w:hAnsi="Arial" w:cs="Arial"/>
                <w:b/>
                <w:i/>
                <w:w w:val="95"/>
                <w:sz w:val="19"/>
                <w:szCs w:val="19"/>
                <w:lang w:val="bs-Latn-BA"/>
              </w:rPr>
              <w:t>Pružanje podrške KS u Sarajevu u rješavanju delegiranih predmeta</w:t>
            </w:r>
          </w:p>
        </w:tc>
        <w:tc>
          <w:tcPr>
            <w:tcW w:w="1012" w:type="pct"/>
            <w:vAlign w:val="center"/>
          </w:tcPr>
          <w:p w14:paraId="15FB9930" w14:textId="77777777" w:rsidR="00F316CC" w:rsidRPr="00C3321B" w:rsidRDefault="00F316CC" w:rsidP="00610C8C">
            <w:pPr>
              <w:spacing w:line="276" w:lineRule="auto"/>
              <w:jc w:val="center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  <w:r w:rsidRPr="00C3321B">
              <w:rPr>
                <w:rFonts w:ascii="Arial" w:eastAsia="Calibri" w:hAnsi="Arial" w:cs="Arial"/>
                <w:b/>
                <w:i/>
                <w:w w:val="95"/>
                <w:sz w:val="19"/>
                <w:szCs w:val="19"/>
                <w:lang w:val="bs-Latn-BA"/>
              </w:rPr>
              <w:t>I - IV</w:t>
            </w:r>
          </w:p>
        </w:tc>
        <w:tc>
          <w:tcPr>
            <w:tcW w:w="1934" w:type="pct"/>
            <w:gridSpan w:val="4"/>
            <w:vAlign w:val="center"/>
          </w:tcPr>
          <w:p w14:paraId="70308AB2" w14:textId="77777777" w:rsidR="00F316CC" w:rsidRPr="00C3321B" w:rsidRDefault="00F316CC" w:rsidP="00610C8C">
            <w:pPr>
              <w:spacing w:line="276" w:lineRule="auto"/>
              <w:jc w:val="center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  <w:r w:rsidRPr="00C3321B">
              <w:rPr>
                <w:rFonts w:ascii="Arial" w:eastAsia="Calibri" w:hAnsi="Arial" w:cs="Arial"/>
                <w:b/>
                <w:i/>
                <w:w w:val="95"/>
                <w:sz w:val="19"/>
                <w:szCs w:val="19"/>
                <w:lang w:val="bs-Latn-BA"/>
              </w:rPr>
              <w:t>Postupajuće sudije</w:t>
            </w:r>
          </w:p>
        </w:tc>
      </w:tr>
      <w:tr w:rsidR="00F316CC" w:rsidRPr="00FA5D68" w14:paraId="1198E170" w14:textId="77777777" w:rsidTr="0089270D">
        <w:tc>
          <w:tcPr>
            <w:tcW w:w="745" w:type="pct"/>
          </w:tcPr>
          <w:p w14:paraId="3B18AF42" w14:textId="77777777" w:rsidR="00F316CC" w:rsidRPr="00C3321B" w:rsidRDefault="00F316CC" w:rsidP="002E0B58">
            <w:pPr>
              <w:widowControl w:val="0"/>
              <w:autoSpaceDE w:val="0"/>
              <w:autoSpaceDN w:val="0"/>
              <w:spacing w:before="101" w:line="276" w:lineRule="auto"/>
              <w:ind w:left="589"/>
              <w:rPr>
                <w:rFonts w:ascii="Arial" w:eastAsia="Trebuchet MS" w:hAnsi="Arial" w:cs="Arial"/>
                <w:sz w:val="19"/>
                <w:szCs w:val="19"/>
                <w:lang w:val="bs-Latn-BA"/>
              </w:rPr>
            </w:pPr>
            <w:r w:rsidRPr="00C3321B">
              <w:rPr>
                <w:rFonts w:ascii="Arial" w:eastAsia="Trebuchet MS" w:hAnsi="Arial" w:cs="Arial"/>
                <w:sz w:val="19"/>
                <w:szCs w:val="19"/>
                <w:lang w:val="bs-Latn-BA"/>
              </w:rPr>
              <w:t>5.</w:t>
            </w:r>
          </w:p>
        </w:tc>
        <w:tc>
          <w:tcPr>
            <w:tcW w:w="1309" w:type="pct"/>
          </w:tcPr>
          <w:p w14:paraId="3D085A55" w14:textId="77777777" w:rsidR="00F316CC" w:rsidRPr="00C3321B" w:rsidRDefault="00F316CC" w:rsidP="00610C8C">
            <w:pPr>
              <w:spacing w:line="276" w:lineRule="auto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  <w:r w:rsidRPr="00C3321B">
              <w:rPr>
                <w:rFonts w:ascii="Arial" w:eastAsia="Calibri" w:hAnsi="Arial" w:cs="Arial"/>
                <w:b/>
                <w:i/>
                <w:w w:val="95"/>
                <w:sz w:val="19"/>
                <w:szCs w:val="19"/>
                <w:lang w:val="bs-Latn-BA"/>
              </w:rPr>
              <w:t>Ostvarivanje saradnje i komunikacije sa sudijama KS u Sarajevu s ciljem ujednačavanja stavova povodom rješavanja delegiranih predmeta</w:t>
            </w:r>
          </w:p>
        </w:tc>
        <w:tc>
          <w:tcPr>
            <w:tcW w:w="1012" w:type="pct"/>
            <w:vAlign w:val="center"/>
          </w:tcPr>
          <w:p w14:paraId="047E432D" w14:textId="77777777" w:rsidR="00F316CC" w:rsidRPr="00C3321B" w:rsidRDefault="00F316CC" w:rsidP="00610C8C">
            <w:pPr>
              <w:spacing w:line="276" w:lineRule="auto"/>
              <w:jc w:val="center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  <w:r w:rsidRPr="00C3321B">
              <w:rPr>
                <w:rFonts w:ascii="Arial" w:eastAsia="Calibri" w:hAnsi="Arial" w:cs="Arial"/>
                <w:b/>
                <w:i/>
                <w:w w:val="95"/>
                <w:sz w:val="19"/>
                <w:szCs w:val="19"/>
                <w:lang w:val="bs-Latn-BA"/>
              </w:rPr>
              <w:t>I - IV</w:t>
            </w:r>
          </w:p>
        </w:tc>
        <w:tc>
          <w:tcPr>
            <w:tcW w:w="1934" w:type="pct"/>
            <w:gridSpan w:val="4"/>
            <w:vAlign w:val="center"/>
          </w:tcPr>
          <w:p w14:paraId="7AE3D615" w14:textId="77777777" w:rsidR="00F316CC" w:rsidRPr="00C3321B" w:rsidRDefault="00F316CC" w:rsidP="00610C8C">
            <w:pPr>
              <w:spacing w:line="276" w:lineRule="auto"/>
              <w:jc w:val="center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  <w:r w:rsidRPr="00C3321B">
              <w:rPr>
                <w:rFonts w:ascii="Arial" w:eastAsia="Calibri" w:hAnsi="Arial" w:cs="Arial"/>
                <w:b/>
                <w:i/>
                <w:w w:val="95"/>
                <w:sz w:val="19"/>
                <w:szCs w:val="19"/>
                <w:lang w:val="bs-Latn-BA"/>
              </w:rPr>
              <w:t>Postupajuće sudije</w:t>
            </w:r>
          </w:p>
        </w:tc>
      </w:tr>
      <w:tr w:rsidR="00F316CC" w:rsidRPr="00FA5D68" w14:paraId="69737A29" w14:textId="77777777" w:rsidTr="0089270D">
        <w:tc>
          <w:tcPr>
            <w:tcW w:w="2054" w:type="pct"/>
            <w:gridSpan w:val="2"/>
            <w:shd w:val="clear" w:color="auto" w:fill="65BDFF"/>
          </w:tcPr>
          <w:p w14:paraId="310D3844" w14:textId="77777777" w:rsidR="00F316CC" w:rsidRPr="00FA5D68" w:rsidRDefault="00F316CC" w:rsidP="00610C8C">
            <w:pPr>
              <w:spacing w:line="276" w:lineRule="auto"/>
              <w:jc w:val="both"/>
              <w:rPr>
                <w:rFonts w:ascii="Arial" w:eastAsia="Calibri" w:hAnsi="Arial" w:cs="Arial"/>
                <w:b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b/>
                <w:w w:val="95"/>
                <w:sz w:val="19"/>
                <w:szCs w:val="19"/>
                <w:lang w:val="bs-Latn-BA"/>
              </w:rPr>
              <w:t>Trogodišnji cilj 1.2.</w:t>
            </w:r>
          </w:p>
        </w:tc>
        <w:tc>
          <w:tcPr>
            <w:tcW w:w="2946" w:type="pct"/>
            <w:gridSpan w:val="5"/>
            <w:shd w:val="clear" w:color="auto" w:fill="65BDFF"/>
          </w:tcPr>
          <w:p w14:paraId="6334537B" w14:textId="77777777" w:rsidR="00F316CC" w:rsidRPr="00FA5D68" w:rsidRDefault="00F316CC" w:rsidP="00610C8C">
            <w:pPr>
              <w:rPr>
                <w:rStyle w:val="fontstyle11"/>
                <w:color w:val="auto"/>
                <w:sz w:val="19"/>
                <w:szCs w:val="19"/>
                <w:lang w:val="bs-Latn-BA"/>
              </w:rPr>
            </w:pPr>
            <w:r w:rsidRPr="00FA5D68">
              <w:rPr>
                <w:rFonts w:ascii="Arial" w:hAnsi="Arial" w:cs="Arial"/>
                <w:sz w:val="19"/>
                <w:szCs w:val="19"/>
                <w:lang w:val="bs-Latn-BA"/>
              </w:rPr>
              <w:t xml:space="preserve">Povećanje transparentnosti rada suda </w:t>
            </w:r>
          </w:p>
        </w:tc>
      </w:tr>
      <w:tr w:rsidR="00C3321B" w:rsidRPr="00FA5D68" w14:paraId="08E84F74" w14:textId="77777777" w:rsidTr="0089270D">
        <w:tc>
          <w:tcPr>
            <w:tcW w:w="2054" w:type="pct"/>
            <w:gridSpan w:val="2"/>
            <w:shd w:val="clear" w:color="auto" w:fill="65BDFF"/>
          </w:tcPr>
          <w:p w14:paraId="39EB3D71" w14:textId="77777777" w:rsidR="00C3321B" w:rsidRPr="00FA5D68" w:rsidRDefault="00C3321B" w:rsidP="00610C8C">
            <w:pPr>
              <w:spacing w:line="276" w:lineRule="auto"/>
              <w:jc w:val="both"/>
              <w:rPr>
                <w:rFonts w:ascii="Arial" w:eastAsia="Calibri" w:hAnsi="Arial" w:cs="Arial"/>
                <w:b/>
                <w:w w:val="95"/>
                <w:sz w:val="19"/>
                <w:szCs w:val="19"/>
                <w:lang w:val="bs-Latn-BA"/>
              </w:rPr>
            </w:pPr>
          </w:p>
        </w:tc>
        <w:tc>
          <w:tcPr>
            <w:tcW w:w="2946" w:type="pct"/>
            <w:gridSpan w:val="5"/>
            <w:shd w:val="clear" w:color="auto" w:fill="65BDFF"/>
          </w:tcPr>
          <w:p w14:paraId="10A0EE72" w14:textId="77777777" w:rsidR="00C3321B" w:rsidRPr="00FA5D68" w:rsidRDefault="00C3321B" w:rsidP="00610C8C">
            <w:pPr>
              <w:rPr>
                <w:rFonts w:ascii="Arial" w:hAnsi="Arial" w:cs="Arial"/>
                <w:sz w:val="19"/>
                <w:szCs w:val="19"/>
                <w:lang w:val="bs-Latn-BA"/>
              </w:rPr>
            </w:pPr>
          </w:p>
        </w:tc>
      </w:tr>
      <w:tr w:rsidR="00F316CC" w:rsidRPr="00FA5D68" w14:paraId="1C559603" w14:textId="77777777" w:rsidTr="0089270D">
        <w:tc>
          <w:tcPr>
            <w:tcW w:w="2054" w:type="pct"/>
            <w:gridSpan w:val="2"/>
            <w:vMerge w:val="restart"/>
            <w:shd w:val="clear" w:color="auto" w:fill="65BDFF"/>
          </w:tcPr>
          <w:p w14:paraId="0E2266FE" w14:textId="77777777" w:rsidR="00F316CC" w:rsidRPr="00FA5D68" w:rsidRDefault="00F316CC" w:rsidP="00610C8C">
            <w:pPr>
              <w:spacing w:line="276" w:lineRule="auto"/>
              <w:jc w:val="both"/>
              <w:rPr>
                <w:rFonts w:ascii="Arial" w:eastAsia="Calibri" w:hAnsi="Arial" w:cs="Arial"/>
                <w:b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b/>
                <w:w w:val="95"/>
                <w:sz w:val="19"/>
                <w:szCs w:val="19"/>
                <w:lang w:val="bs-Latn-BA"/>
              </w:rPr>
              <w:t>Pokazatelji za izlazne rezultate</w:t>
            </w:r>
          </w:p>
        </w:tc>
        <w:tc>
          <w:tcPr>
            <w:tcW w:w="2946" w:type="pct"/>
            <w:gridSpan w:val="5"/>
            <w:shd w:val="clear" w:color="auto" w:fill="65BDFF"/>
            <w:vAlign w:val="center"/>
          </w:tcPr>
          <w:p w14:paraId="58D5C78F" w14:textId="77777777" w:rsidR="00F316CC" w:rsidRPr="00FA5D68" w:rsidRDefault="00F316CC" w:rsidP="00610C8C">
            <w:pPr>
              <w:spacing w:line="276" w:lineRule="auto"/>
              <w:jc w:val="center"/>
              <w:rPr>
                <w:rFonts w:ascii="Arial" w:eastAsia="Calibri" w:hAnsi="Arial" w:cs="Arial"/>
                <w:b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b/>
                <w:w w:val="95"/>
                <w:sz w:val="19"/>
                <w:szCs w:val="19"/>
                <w:lang w:val="bs-Latn-BA"/>
              </w:rPr>
              <w:t>Očekivani rezultati po godinama</w:t>
            </w:r>
          </w:p>
        </w:tc>
      </w:tr>
      <w:tr w:rsidR="00F316CC" w:rsidRPr="00FA5D68" w14:paraId="28DA6EFE" w14:textId="77777777" w:rsidTr="0089270D">
        <w:tc>
          <w:tcPr>
            <w:tcW w:w="2054" w:type="pct"/>
            <w:gridSpan w:val="2"/>
            <w:vMerge/>
            <w:shd w:val="clear" w:color="auto" w:fill="65BDFF"/>
          </w:tcPr>
          <w:p w14:paraId="1A68BB7F" w14:textId="77777777" w:rsidR="00F316CC" w:rsidRPr="00FA5D68" w:rsidRDefault="00F316CC" w:rsidP="00610C8C">
            <w:pPr>
              <w:spacing w:line="276" w:lineRule="auto"/>
              <w:jc w:val="both"/>
              <w:rPr>
                <w:rFonts w:ascii="Arial" w:eastAsia="Calibri" w:hAnsi="Arial" w:cs="Arial"/>
                <w:w w:val="95"/>
                <w:lang w:val="bs-Latn-BA"/>
              </w:rPr>
            </w:pPr>
          </w:p>
        </w:tc>
        <w:tc>
          <w:tcPr>
            <w:tcW w:w="1012" w:type="pct"/>
            <w:shd w:val="clear" w:color="auto" w:fill="6DD9FF"/>
            <w:vAlign w:val="center"/>
          </w:tcPr>
          <w:p w14:paraId="3EEDB8C6" w14:textId="77777777" w:rsidR="00F316CC" w:rsidRPr="00FA5D68" w:rsidRDefault="00F316CC" w:rsidP="00610C8C">
            <w:pPr>
              <w:spacing w:line="276" w:lineRule="auto"/>
              <w:jc w:val="center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>2022 (n)</w:t>
            </w:r>
          </w:p>
        </w:tc>
        <w:tc>
          <w:tcPr>
            <w:tcW w:w="967" w:type="pct"/>
            <w:gridSpan w:val="3"/>
            <w:shd w:val="clear" w:color="auto" w:fill="6DD9FF"/>
            <w:vAlign w:val="center"/>
          </w:tcPr>
          <w:p w14:paraId="40D66244" w14:textId="77777777" w:rsidR="00F316CC" w:rsidRPr="00FA5D68" w:rsidRDefault="00F316CC" w:rsidP="00610C8C">
            <w:pPr>
              <w:spacing w:line="276" w:lineRule="auto"/>
              <w:jc w:val="center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>2023 (n+1)</w:t>
            </w:r>
          </w:p>
        </w:tc>
        <w:tc>
          <w:tcPr>
            <w:tcW w:w="967" w:type="pct"/>
            <w:shd w:val="clear" w:color="auto" w:fill="6DD9FF"/>
            <w:vAlign w:val="center"/>
          </w:tcPr>
          <w:p w14:paraId="7B84987A" w14:textId="77777777" w:rsidR="00F316CC" w:rsidRPr="00FA5D68" w:rsidRDefault="00F316CC" w:rsidP="00610C8C">
            <w:pPr>
              <w:spacing w:line="276" w:lineRule="auto"/>
              <w:jc w:val="center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>2024 (n+2)</w:t>
            </w:r>
          </w:p>
        </w:tc>
      </w:tr>
      <w:tr w:rsidR="00F316CC" w:rsidRPr="00FA5D68" w14:paraId="6045E844" w14:textId="77777777" w:rsidTr="0089270D">
        <w:tc>
          <w:tcPr>
            <w:tcW w:w="2054" w:type="pct"/>
            <w:gridSpan w:val="2"/>
          </w:tcPr>
          <w:p w14:paraId="5EE0C4B0" w14:textId="77777777" w:rsidR="00F316CC" w:rsidRPr="00FA5D68" w:rsidRDefault="00F316CC" w:rsidP="00610C8C">
            <w:pPr>
              <w:tabs>
                <w:tab w:val="left" w:pos="2413"/>
              </w:tabs>
              <w:spacing w:line="276" w:lineRule="auto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>Broj anonimiziranih i objavljenih presuda na web portalu</w:t>
            </w:r>
          </w:p>
        </w:tc>
        <w:tc>
          <w:tcPr>
            <w:tcW w:w="1012" w:type="pct"/>
            <w:vAlign w:val="center"/>
          </w:tcPr>
          <w:p w14:paraId="6FE6798A" w14:textId="77777777" w:rsidR="00F316CC" w:rsidRPr="00FA5D68" w:rsidRDefault="00F316CC" w:rsidP="00610C8C">
            <w:pPr>
              <w:tabs>
                <w:tab w:val="left" w:pos="2413"/>
              </w:tabs>
              <w:spacing w:line="276" w:lineRule="auto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>Objavljeno 25 odluka</w:t>
            </w:r>
          </w:p>
        </w:tc>
        <w:tc>
          <w:tcPr>
            <w:tcW w:w="967" w:type="pct"/>
            <w:gridSpan w:val="3"/>
            <w:vAlign w:val="center"/>
          </w:tcPr>
          <w:p w14:paraId="77D188A8" w14:textId="77777777" w:rsidR="00F316CC" w:rsidRPr="00FA5D68" w:rsidRDefault="00F316CC" w:rsidP="00610C8C">
            <w:pPr>
              <w:tabs>
                <w:tab w:val="left" w:pos="2413"/>
              </w:tabs>
              <w:spacing w:line="276" w:lineRule="auto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>Objavljeno 50 odluka</w:t>
            </w:r>
          </w:p>
        </w:tc>
        <w:tc>
          <w:tcPr>
            <w:tcW w:w="967" w:type="pct"/>
            <w:vAlign w:val="center"/>
          </w:tcPr>
          <w:p w14:paraId="3C749A08" w14:textId="77777777" w:rsidR="00F316CC" w:rsidRPr="00FA5D68" w:rsidRDefault="00F316CC" w:rsidP="00610C8C">
            <w:pPr>
              <w:tabs>
                <w:tab w:val="left" w:pos="2413"/>
              </w:tabs>
              <w:spacing w:line="276" w:lineRule="auto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>Objavljeno 75 odluka</w:t>
            </w:r>
          </w:p>
        </w:tc>
      </w:tr>
      <w:tr w:rsidR="00F316CC" w:rsidRPr="00FA5D68" w14:paraId="75F11A1A" w14:textId="77777777" w:rsidTr="0089270D">
        <w:tc>
          <w:tcPr>
            <w:tcW w:w="745" w:type="pct"/>
            <w:shd w:val="clear" w:color="auto" w:fill="65BDFF"/>
          </w:tcPr>
          <w:p w14:paraId="74EC5DDA" w14:textId="77777777" w:rsidR="00F316CC" w:rsidRPr="00FA5D68" w:rsidRDefault="00F316CC" w:rsidP="00610C8C">
            <w:pPr>
              <w:tabs>
                <w:tab w:val="left" w:pos="2413"/>
              </w:tabs>
              <w:spacing w:line="276" w:lineRule="auto"/>
              <w:jc w:val="both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 xml:space="preserve">Redni   </w:t>
            </w:r>
          </w:p>
          <w:p w14:paraId="2AD97CA4" w14:textId="77777777" w:rsidR="00F316CC" w:rsidRPr="00FA5D68" w:rsidRDefault="00F316CC" w:rsidP="00610C8C">
            <w:pPr>
              <w:tabs>
                <w:tab w:val="left" w:pos="2413"/>
              </w:tabs>
              <w:spacing w:line="276" w:lineRule="auto"/>
              <w:jc w:val="both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 xml:space="preserve">broj          </w:t>
            </w:r>
          </w:p>
        </w:tc>
        <w:tc>
          <w:tcPr>
            <w:tcW w:w="1309" w:type="pct"/>
            <w:shd w:val="clear" w:color="auto" w:fill="65BDFF"/>
          </w:tcPr>
          <w:p w14:paraId="748F7093" w14:textId="77777777" w:rsidR="00F316CC" w:rsidRPr="00FA5D68" w:rsidRDefault="00F316CC" w:rsidP="00610C8C">
            <w:pPr>
              <w:tabs>
                <w:tab w:val="left" w:pos="2413"/>
              </w:tabs>
              <w:spacing w:line="276" w:lineRule="auto"/>
              <w:jc w:val="both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 xml:space="preserve">Naziv aktivnosti za                  </w:t>
            </w:r>
          </w:p>
          <w:p w14:paraId="3DDE9ECE" w14:textId="77777777" w:rsidR="00F316CC" w:rsidRPr="00FA5D68" w:rsidRDefault="00F316CC" w:rsidP="00610C8C">
            <w:pPr>
              <w:tabs>
                <w:tab w:val="left" w:pos="2413"/>
              </w:tabs>
              <w:spacing w:line="276" w:lineRule="auto"/>
              <w:jc w:val="both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 xml:space="preserve">                            2022.godinu</w:t>
            </w:r>
          </w:p>
          <w:p w14:paraId="207F11CA" w14:textId="77777777" w:rsidR="00F316CC" w:rsidRPr="00FA5D68" w:rsidRDefault="00F316CC" w:rsidP="00610C8C">
            <w:pPr>
              <w:tabs>
                <w:tab w:val="left" w:pos="2413"/>
              </w:tabs>
              <w:spacing w:line="276" w:lineRule="auto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</w:p>
        </w:tc>
        <w:tc>
          <w:tcPr>
            <w:tcW w:w="1012" w:type="pct"/>
            <w:shd w:val="clear" w:color="auto" w:fill="65BDFF"/>
            <w:vAlign w:val="center"/>
          </w:tcPr>
          <w:p w14:paraId="45DA3AC3" w14:textId="42B26502" w:rsidR="00F316CC" w:rsidRPr="00FA5D68" w:rsidRDefault="00F316CC" w:rsidP="00610C8C">
            <w:pPr>
              <w:tabs>
                <w:tab w:val="left" w:pos="2413"/>
              </w:tabs>
              <w:spacing w:line="276" w:lineRule="auto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>Rok izvršenja po kvartalima</w:t>
            </w:r>
            <w:r w:rsidR="002E0B58"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 xml:space="preserve"> </w:t>
            </w:r>
            <w:r w:rsidRPr="00FA5D68"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>u 2021.godini</w:t>
            </w:r>
          </w:p>
        </w:tc>
        <w:tc>
          <w:tcPr>
            <w:tcW w:w="1934" w:type="pct"/>
            <w:gridSpan w:val="4"/>
            <w:shd w:val="clear" w:color="auto" w:fill="65BDFF"/>
            <w:vAlign w:val="center"/>
          </w:tcPr>
          <w:p w14:paraId="600D3683" w14:textId="77777777" w:rsidR="00F316CC" w:rsidRPr="00FA5D68" w:rsidRDefault="00F316CC" w:rsidP="00610C8C">
            <w:pPr>
              <w:tabs>
                <w:tab w:val="left" w:pos="2413"/>
              </w:tabs>
              <w:spacing w:line="276" w:lineRule="auto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>Nosilac (najmanji organizacioni dio)</w:t>
            </w:r>
          </w:p>
        </w:tc>
      </w:tr>
      <w:tr w:rsidR="00F316CC" w:rsidRPr="00FA5D68" w14:paraId="2644301E" w14:textId="77777777" w:rsidTr="0089270D">
        <w:tc>
          <w:tcPr>
            <w:tcW w:w="745" w:type="pct"/>
          </w:tcPr>
          <w:p w14:paraId="5EE10C6D" w14:textId="77777777" w:rsidR="00F316CC" w:rsidRPr="00FA5D68" w:rsidRDefault="00F316CC" w:rsidP="002E0B58">
            <w:pPr>
              <w:widowControl w:val="0"/>
              <w:autoSpaceDE w:val="0"/>
              <w:autoSpaceDN w:val="0"/>
              <w:spacing w:before="101" w:line="276" w:lineRule="auto"/>
              <w:ind w:left="884"/>
              <w:rPr>
                <w:rFonts w:ascii="Arial" w:eastAsia="Trebuchet MS" w:hAnsi="Arial" w:cs="Arial"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Trebuchet MS" w:hAnsi="Arial" w:cs="Arial"/>
                <w:w w:val="95"/>
                <w:sz w:val="19"/>
                <w:szCs w:val="19"/>
                <w:lang w:val="bs-Latn-BA"/>
              </w:rPr>
              <w:t>1.</w:t>
            </w:r>
          </w:p>
        </w:tc>
        <w:tc>
          <w:tcPr>
            <w:tcW w:w="1309" w:type="pct"/>
          </w:tcPr>
          <w:p w14:paraId="7AA68F08" w14:textId="77777777" w:rsidR="00F316CC" w:rsidRPr="00FA5D68" w:rsidRDefault="00F316CC" w:rsidP="00610C8C">
            <w:pPr>
              <w:spacing w:line="276" w:lineRule="auto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>Postupak odabira odluka, provođenje postupka anonimiziranja i objava na web portalu</w:t>
            </w:r>
          </w:p>
        </w:tc>
        <w:tc>
          <w:tcPr>
            <w:tcW w:w="1012" w:type="pct"/>
            <w:vAlign w:val="center"/>
          </w:tcPr>
          <w:p w14:paraId="62CA1326" w14:textId="77777777" w:rsidR="00F316CC" w:rsidRPr="00FA5D68" w:rsidRDefault="00F316CC" w:rsidP="00610C8C">
            <w:pPr>
              <w:spacing w:line="276" w:lineRule="auto"/>
              <w:jc w:val="center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>I-IV</w:t>
            </w:r>
          </w:p>
        </w:tc>
        <w:tc>
          <w:tcPr>
            <w:tcW w:w="1934" w:type="pct"/>
            <w:gridSpan w:val="4"/>
            <w:vAlign w:val="center"/>
          </w:tcPr>
          <w:p w14:paraId="7D4D92B6" w14:textId="77777777" w:rsidR="00F316CC" w:rsidRPr="00FA5D68" w:rsidRDefault="00F316CC" w:rsidP="00610C8C">
            <w:pPr>
              <w:spacing w:line="276" w:lineRule="auto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</w:p>
          <w:p w14:paraId="24023E44" w14:textId="77777777" w:rsidR="00F316CC" w:rsidRPr="00FA5D68" w:rsidRDefault="00F316CC" w:rsidP="00610C8C">
            <w:pPr>
              <w:spacing w:line="276" w:lineRule="auto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>Predsjednik suda i postupajuće sudije, tehničko osoblje</w:t>
            </w:r>
          </w:p>
          <w:p w14:paraId="051B6AC8" w14:textId="77777777" w:rsidR="00F316CC" w:rsidRPr="00FA5D68" w:rsidRDefault="00F316CC" w:rsidP="00610C8C">
            <w:pPr>
              <w:spacing w:line="276" w:lineRule="auto"/>
              <w:jc w:val="center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</w:p>
          <w:p w14:paraId="07DC375A" w14:textId="77777777" w:rsidR="00F316CC" w:rsidRPr="00FA5D68" w:rsidRDefault="00F316CC" w:rsidP="00610C8C">
            <w:pPr>
              <w:spacing w:line="276" w:lineRule="auto"/>
              <w:jc w:val="center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</w:p>
        </w:tc>
      </w:tr>
      <w:tr w:rsidR="00F316CC" w:rsidRPr="00FA5D68" w14:paraId="562D20D7" w14:textId="77777777" w:rsidTr="0089270D">
        <w:tc>
          <w:tcPr>
            <w:tcW w:w="2054" w:type="pct"/>
            <w:gridSpan w:val="2"/>
            <w:shd w:val="clear" w:color="auto" w:fill="65BDFF"/>
          </w:tcPr>
          <w:p w14:paraId="20F6C01F" w14:textId="77777777" w:rsidR="00F316CC" w:rsidRPr="00FA5D68" w:rsidRDefault="00F316CC" w:rsidP="00610C8C">
            <w:pPr>
              <w:spacing w:line="276" w:lineRule="auto"/>
              <w:jc w:val="both"/>
              <w:rPr>
                <w:rFonts w:ascii="Arial" w:eastAsia="Calibri" w:hAnsi="Arial" w:cs="Arial"/>
                <w:b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b/>
                <w:w w:val="95"/>
                <w:sz w:val="19"/>
                <w:szCs w:val="19"/>
                <w:lang w:val="bs-Latn-BA"/>
              </w:rPr>
              <w:t>Trogodišnji cilj 1.3.</w:t>
            </w:r>
          </w:p>
        </w:tc>
        <w:tc>
          <w:tcPr>
            <w:tcW w:w="2946" w:type="pct"/>
            <w:gridSpan w:val="5"/>
            <w:shd w:val="clear" w:color="auto" w:fill="65BDFF"/>
          </w:tcPr>
          <w:p w14:paraId="35353B35" w14:textId="2D618A1C" w:rsidR="00F316CC" w:rsidRPr="00FA5D68" w:rsidRDefault="00F316CC" w:rsidP="00610C8C">
            <w:pPr>
              <w:rPr>
                <w:rStyle w:val="fontstyle11"/>
                <w:color w:val="auto"/>
                <w:sz w:val="19"/>
                <w:szCs w:val="19"/>
                <w:lang w:val="bs-Latn-BA"/>
              </w:rPr>
            </w:pPr>
            <w:r w:rsidRPr="00FA5D68">
              <w:rPr>
                <w:rFonts w:ascii="Arial" w:hAnsi="Arial" w:cs="Arial"/>
                <w:sz w:val="19"/>
                <w:szCs w:val="19"/>
                <w:lang w:val="bs-Latn-BA"/>
              </w:rPr>
              <w:t>Tehničko opremanje suda informatičkom opremom</w:t>
            </w:r>
            <w:r w:rsidR="002E0B58">
              <w:rPr>
                <w:rFonts w:ascii="Arial" w:hAnsi="Arial" w:cs="Arial"/>
                <w:sz w:val="19"/>
                <w:szCs w:val="19"/>
                <w:lang w:val="bs-Latn-BA"/>
              </w:rPr>
              <w:t xml:space="preserve"> </w:t>
            </w:r>
            <w:r w:rsidRPr="00FA5D68">
              <w:rPr>
                <w:rFonts w:ascii="Arial" w:hAnsi="Arial" w:cs="Arial"/>
                <w:sz w:val="19"/>
                <w:szCs w:val="19"/>
                <w:lang w:val="bs-Latn-BA"/>
              </w:rPr>
              <w:t>(zanavljanje postojeće opreme) i rekonstrukcija prostorija suda</w:t>
            </w:r>
          </w:p>
        </w:tc>
      </w:tr>
      <w:tr w:rsidR="00F316CC" w:rsidRPr="00FA5D68" w14:paraId="04C489BE" w14:textId="77777777" w:rsidTr="0089270D">
        <w:tc>
          <w:tcPr>
            <w:tcW w:w="2054" w:type="pct"/>
            <w:gridSpan w:val="2"/>
            <w:vMerge w:val="restart"/>
            <w:shd w:val="clear" w:color="auto" w:fill="65BDFF"/>
          </w:tcPr>
          <w:p w14:paraId="1C51C7FA" w14:textId="77777777" w:rsidR="00F316CC" w:rsidRPr="00FA5D68" w:rsidRDefault="00F316CC" w:rsidP="00610C8C">
            <w:pPr>
              <w:spacing w:line="276" w:lineRule="auto"/>
              <w:jc w:val="both"/>
              <w:rPr>
                <w:rFonts w:ascii="Arial" w:eastAsia="Calibri" w:hAnsi="Arial" w:cs="Arial"/>
                <w:b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b/>
                <w:w w:val="95"/>
                <w:sz w:val="19"/>
                <w:szCs w:val="19"/>
                <w:lang w:val="bs-Latn-BA"/>
              </w:rPr>
              <w:t>Pokazatelji za izlazne rezultate</w:t>
            </w:r>
          </w:p>
        </w:tc>
        <w:tc>
          <w:tcPr>
            <w:tcW w:w="2946" w:type="pct"/>
            <w:gridSpan w:val="5"/>
            <w:shd w:val="clear" w:color="auto" w:fill="65BDFF"/>
            <w:vAlign w:val="center"/>
          </w:tcPr>
          <w:p w14:paraId="08717C91" w14:textId="77777777" w:rsidR="00F316CC" w:rsidRPr="00FA5D68" w:rsidRDefault="00F316CC" w:rsidP="00610C8C">
            <w:pPr>
              <w:spacing w:line="276" w:lineRule="auto"/>
              <w:jc w:val="center"/>
              <w:rPr>
                <w:rFonts w:ascii="Arial" w:eastAsia="Calibri" w:hAnsi="Arial" w:cs="Arial"/>
                <w:b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b/>
                <w:w w:val="95"/>
                <w:sz w:val="19"/>
                <w:szCs w:val="19"/>
                <w:lang w:val="bs-Latn-BA"/>
              </w:rPr>
              <w:t>Očekivani rezultati po godinama</w:t>
            </w:r>
          </w:p>
        </w:tc>
      </w:tr>
      <w:tr w:rsidR="00F316CC" w:rsidRPr="00FA5D68" w14:paraId="550083F2" w14:textId="77777777" w:rsidTr="0089270D">
        <w:tc>
          <w:tcPr>
            <w:tcW w:w="2054" w:type="pct"/>
            <w:gridSpan w:val="2"/>
            <w:vMerge/>
            <w:shd w:val="clear" w:color="auto" w:fill="65BDFF"/>
          </w:tcPr>
          <w:p w14:paraId="02E4E0F2" w14:textId="77777777" w:rsidR="00F316CC" w:rsidRPr="00FA5D68" w:rsidRDefault="00F316CC" w:rsidP="00610C8C">
            <w:pPr>
              <w:spacing w:line="276" w:lineRule="auto"/>
              <w:jc w:val="both"/>
              <w:rPr>
                <w:rFonts w:ascii="Arial" w:eastAsia="Calibri" w:hAnsi="Arial" w:cs="Arial"/>
                <w:w w:val="95"/>
                <w:lang w:val="bs-Latn-BA"/>
              </w:rPr>
            </w:pPr>
          </w:p>
        </w:tc>
        <w:tc>
          <w:tcPr>
            <w:tcW w:w="1012" w:type="pct"/>
            <w:shd w:val="clear" w:color="auto" w:fill="6DD9FF"/>
            <w:vAlign w:val="center"/>
          </w:tcPr>
          <w:p w14:paraId="219649C1" w14:textId="77777777" w:rsidR="00F316CC" w:rsidRPr="00FA5D68" w:rsidRDefault="00F316CC" w:rsidP="00610C8C">
            <w:pPr>
              <w:spacing w:line="276" w:lineRule="auto"/>
              <w:jc w:val="center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>2022 (n)</w:t>
            </w:r>
          </w:p>
        </w:tc>
        <w:tc>
          <w:tcPr>
            <w:tcW w:w="967" w:type="pct"/>
            <w:gridSpan w:val="3"/>
            <w:shd w:val="clear" w:color="auto" w:fill="6DD9FF"/>
            <w:vAlign w:val="center"/>
          </w:tcPr>
          <w:p w14:paraId="1D98408B" w14:textId="77777777" w:rsidR="00F316CC" w:rsidRPr="00FA5D68" w:rsidRDefault="00F316CC" w:rsidP="00610C8C">
            <w:pPr>
              <w:spacing w:line="276" w:lineRule="auto"/>
              <w:jc w:val="center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>2023 (n+1)</w:t>
            </w:r>
          </w:p>
        </w:tc>
        <w:tc>
          <w:tcPr>
            <w:tcW w:w="967" w:type="pct"/>
            <w:shd w:val="clear" w:color="auto" w:fill="6DD9FF"/>
            <w:vAlign w:val="center"/>
          </w:tcPr>
          <w:p w14:paraId="74F0CD4A" w14:textId="77777777" w:rsidR="00F316CC" w:rsidRPr="00FA5D68" w:rsidRDefault="00F316CC" w:rsidP="00610C8C">
            <w:pPr>
              <w:spacing w:line="276" w:lineRule="auto"/>
              <w:jc w:val="center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>2024 (n+2)</w:t>
            </w:r>
          </w:p>
        </w:tc>
      </w:tr>
      <w:tr w:rsidR="00F316CC" w:rsidRPr="00FA5D68" w14:paraId="339001E6" w14:textId="77777777" w:rsidTr="0089270D">
        <w:tc>
          <w:tcPr>
            <w:tcW w:w="2054" w:type="pct"/>
            <w:gridSpan w:val="2"/>
          </w:tcPr>
          <w:p w14:paraId="10A2C173" w14:textId="76F04947" w:rsidR="00F316CC" w:rsidRDefault="00F316CC" w:rsidP="00610C8C">
            <w:pPr>
              <w:tabs>
                <w:tab w:val="left" w:pos="2413"/>
              </w:tabs>
              <w:spacing w:line="276" w:lineRule="auto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>Broj zanovljene informatičke opreme</w:t>
            </w:r>
          </w:p>
          <w:p w14:paraId="76C0BD90" w14:textId="77777777" w:rsidR="00E830DE" w:rsidRDefault="00E830DE" w:rsidP="00610C8C">
            <w:pPr>
              <w:tabs>
                <w:tab w:val="left" w:pos="2413"/>
              </w:tabs>
              <w:spacing w:line="276" w:lineRule="auto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</w:p>
          <w:p w14:paraId="20F903D5" w14:textId="77777777" w:rsidR="00E830DE" w:rsidRDefault="00E830DE" w:rsidP="00610C8C">
            <w:pPr>
              <w:tabs>
                <w:tab w:val="left" w:pos="2413"/>
              </w:tabs>
              <w:spacing w:line="276" w:lineRule="auto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</w:p>
          <w:p w14:paraId="0FD2C2B1" w14:textId="62C0FEBA" w:rsidR="00E830DE" w:rsidRPr="00FA5D68" w:rsidRDefault="00E830DE" w:rsidP="00610C8C">
            <w:pPr>
              <w:tabs>
                <w:tab w:val="left" w:pos="2413"/>
              </w:tabs>
              <w:spacing w:line="276" w:lineRule="auto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</w:p>
        </w:tc>
        <w:tc>
          <w:tcPr>
            <w:tcW w:w="1012" w:type="pct"/>
            <w:vAlign w:val="center"/>
          </w:tcPr>
          <w:p w14:paraId="2383C9BC" w14:textId="02417B62" w:rsidR="00F316CC" w:rsidRPr="00FA5D68" w:rsidRDefault="00872E6B" w:rsidP="00610C8C">
            <w:pPr>
              <w:tabs>
                <w:tab w:val="left" w:pos="2413"/>
              </w:tabs>
              <w:spacing w:line="276" w:lineRule="auto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  <w:r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>Nabavljena i puštena</w:t>
            </w:r>
            <w:r w:rsidR="007A3FFE"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 xml:space="preserve"> u rad 2 računarska</w:t>
            </w:r>
            <w:r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 xml:space="preserve"> seta</w:t>
            </w:r>
          </w:p>
        </w:tc>
        <w:tc>
          <w:tcPr>
            <w:tcW w:w="967" w:type="pct"/>
            <w:gridSpan w:val="3"/>
            <w:vAlign w:val="center"/>
          </w:tcPr>
          <w:p w14:paraId="11DEE513" w14:textId="6A4E733E" w:rsidR="00F316CC" w:rsidRPr="00FA5D68" w:rsidRDefault="00872E6B" w:rsidP="00610C8C">
            <w:pPr>
              <w:tabs>
                <w:tab w:val="left" w:pos="2413"/>
              </w:tabs>
              <w:spacing w:line="276" w:lineRule="auto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  <w:r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>Nabavljena i puštena u rad 4 računarska seta</w:t>
            </w:r>
          </w:p>
        </w:tc>
        <w:tc>
          <w:tcPr>
            <w:tcW w:w="967" w:type="pct"/>
            <w:vAlign w:val="center"/>
          </w:tcPr>
          <w:p w14:paraId="2F06D116" w14:textId="2EC16D55" w:rsidR="00F316CC" w:rsidRPr="00FA5D68" w:rsidRDefault="00872E6B" w:rsidP="00610C8C">
            <w:pPr>
              <w:tabs>
                <w:tab w:val="left" w:pos="2413"/>
              </w:tabs>
              <w:spacing w:line="276" w:lineRule="auto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  <w:r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>Nabavljeno i pušteo u rad 8 računarskih setova</w:t>
            </w:r>
          </w:p>
        </w:tc>
      </w:tr>
      <w:tr w:rsidR="00F316CC" w:rsidRPr="00FA5D68" w14:paraId="5F10BF6A" w14:textId="77777777" w:rsidTr="0089270D">
        <w:tc>
          <w:tcPr>
            <w:tcW w:w="738" w:type="pct"/>
            <w:shd w:val="clear" w:color="auto" w:fill="65BDFF"/>
          </w:tcPr>
          <w:p w14:paraId="36A5A447" w14:textId="77777777" w:rsidR="00F316CC" w:rsidRPr="00FA5D68" w:rsidRDefault="00F316CC" w:rsidP="00610C8C">
            <w:pPr>
              <w:tabs>
                <w:tab w:val="left" w:pos="2413"/>
              </w:tabs>
              <w:spacing w:line="276" w:lineRule="auto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>Redni broj</w:t>
            </w:r>
          </w:p>
        </w:tc>
        <w:tc>
          <w:tcPr>
            <w:tcW w:w="1316" w:type="pct"/>
            <w:shd w:val="clear" w:color="auto" w:fill="65BDFF"/>
          </w:tcPr>
          <w:p w14:paraId="0B9C1BD3" w14:textId="77777777" w:rsidR="00F316CC" w:rsidRPr="00FA5D68" w:rsidRDefault="00F316CC" w:rsidP="00610C8C">
            <w:pPr>
              <w:tabs>
                <w:tab w:val="left" w:pos="2413"/>
              </w:tabs>
              <w:spacing w:line="276" w:lineRule="auto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>Naziv aktivnosti za 2022.godinu</w:t>
            </w:r>
          </w:p>
        </w:tc>
        <w:tc>
          <w:tcPr>
            <w:tcW w:w="1012" w:type="pct"/>
            <w:shd w:val="clear" w:color="auto" w:fill="65BDFF"/>
            <w:vAlign w:val="center"/>
          </w:tcPr>
          <w:p w14:paraId="7EE433EE" w14:textId="77777777" w:rsidR="00F316CC" w:rsidRPr="00FA5D68" w:rsidRDefault="00F316CC" w:rsidP="00610C8C">
            <w:pPr>
              <w:tabs>
                <w:tab w:val="left" w:pos="2413"/>
              </w:tabs>
              <w:spacing w:line="276" w:lineRule="auto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>Rok izvršenja po kvartalima u 2022.godini</w:t>
            </w:r>
          </w:p>
        </w:tc>
        <w:tc>
          <w:tcPr>
            <w:tcW w:w="1934" w:type="pct"/>
            <w:gridSpan w:val="4"/>
            <w:shd w:val="clear" w:color="auto" w:fill="65BDFF"/>
            <w:vAlign w:val="center"/>
          </w:tcPr>
          <w:p w14:paraId="13A94034" w14:textId="77777777" w:rsidR="00F316CC" w:rsidRPr="00FA5D68" w:rsidRDefault="00F316CC" w:rsidP="00610C8C">
            <w:pPr>
              <w:tabs>
                <w:tab w:val="left" w:pos="2413"/>
              </w:tabs>
              <w:spacing w:line="276" w:lineRule="auto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>Nosilac (najmanji organizacioni dio)</w:t>
            </w:r>
          </w:p>
        </w:tc>
      </w:tr>
      <w:tr w:rsidR="00F316CC" w:rsidRPr="00FA5D68" w14:paraId="6324E2B7" w14:textId="77777777" w:rsidTr="0089270D">
        <w:tc>
          <w:tcPr>
            <w:tcW w:w="738" w:type="pct"/>
          </w:tcPr>
          <w:p w14:paraId="208C2C03" w14:textId="77777777" w:rsidR="00F316CC" w:rsidRPr="00FA5D68" w:rsidRDefault="00F316CC" w:rsidP="00610C8C">
            <w:pPr>
              <w:spacing w:line="276" w:lineRule="auto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</w:p>
        </w:tc>
        <w:tc>
          <w:tcPr>
            <w:tcW w:w="1316" w:type="pct"/>
          </w:tcPr>
          <w:p w14:paraId="3C813526" w14:textId="77777777" w:rsidR="00F316CC" w:rsidRPr="00FA5D68" w:rsidRDefault="00F316CC" w:rsidP="00610C8C">
            <w:pPr>
              <w:spacing w:line="276" w:lineRule="auto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</w:p>
        </w:tc>
        <w:tc>
          <w:tcPr>
            <w:tcW w:w="1012" w:type="pct"/>
            <w:vAlign w:val="center"/>
          </w:tcPr>
          <w:p w14:paraId="43E0C646" w14:textId="77777777" w:rsidR="00F316CC" w:rsidRPr="00FA5D68" w:rsidRDefault="00F316CC" w:rsidP="00610C8C">
            <w:pPr>
              <w:spacing w:line="276" w:lineRule="auto"/>
              <w:jc w:val="center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</w:p>
        </w:tc>
        <w:tc>
          <w:tcPr>
            <w:tcW w:w="1934" w:type="pct"/>
            <w:gridSpan w:val="4"/>
            <w:vAlign w:val="center"/>
          </w:tcPr>
          <w:p w14:paraId="2123529C" w14:textId="77777777" w:rsidR="00F316CC" w:rsidRPr="00FA5D68" w:rsidRDefault="00F316CC" w:rsidP="00610C8C">
            <w:pPr>
              <w:spacing w:line="276" w:lineRule="auto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</w:p>
        </w:tc>
      </w:tr>
      <w:tr w:rsidR="00F316CC" w:rsidRPr="00FA5D68" w14:paraId="549B6361" w14:textId="77777777" w:rsidTr="0089270D">
        <w:tc>
          <w:tcPr>
            <w:tcW w:w="738" w:type="pct"/>
          </w:tcPr>
          <w:p w14:paraId="191A8197" w14:textId="77777777" w:rsidR="00F316CC" w:rsidRPr="00FA5D68" w:rsidRDefault="00F316CC" w:rsidP="00E1419A">
            <w:pPr>
              <w:widowControl w:val="0"/>
              <w:autoSpaceDE w:val="0"/>
              <w:autoSpaceDN w:val="0"/>
              <w:spacing w:before="101" w:line="276" w:lineRule="auto"/>
              <w:ind w:left="1080"/>
              <w:jc w:val="center"/>
              <w:rPr>
                <w:rFonts w:ascii="Arial" w:eastAsia="Trebuchet MS" w:hAnsi="Arial" w:cs="Arial"/>
                <w:w w:val="95"/>
                <w:sz w:val="19"/>
                <w:szCs w:val="19"/>
                <w:lang w:val="bs-Latn-BA"/>
              </w:rPr>
            </w:pPr>
          </w:p>
          <w:p w14:paraId="28EA420B" w14:textId="77777777" w:rsidR="00F316CC" w:rsidRPr="00FA5D68" w:rsidRDefault="00F316CC" w:rsidP="00E1419A">
            <w:pPr>
              <w:jc w:val="center"/>
              <w:rPr>
                <w:rFonts w:ascii="Arial" w:eastAsia="Trebuchet MS" w:hAnsi="Arial" w:cs="Arial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Trebuchet MS" w:hAnsi="Arial" w:cs="Arial"/>
                <w:sz w:val="19"/>
                <w:szCs w:val="19"/>
                <w:lang w:val="bs-Latn-BA"/>
              </w:rPr>
              <w:t>1.</w:t>
            </w:r>
          </w:p>
        </w:tc>
        <w:tc>
          <w:tcPr>
            <w:tcW w:w="1316" w:type="pct"/>
          </w:tcPr>
          <w:p w14:paraId="3DF45EB6" w14:textId="77777777" w:rsidR="00F316CC" w:rsidRPr="00FA5D68" w:rsidRDefault="00F316CC" w:rsidP="00610C8C">
            <w:pPr>
              <w:spacing w:line="276" w:lineRule="auto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>Obezbjeđenje sredstava od strane nadležnog ministarstva</w:t>
            </w:r>
          </w:p>
        </w:tc>
        <w:tc>
          <w:tcPr>
            <w:tcW w:w="1012" w:type="pct"/>
            <w:vAlign w:val="center"/>
          </w:tcPr>
          <w:p w14:paraId="62E2473A" w14:textId="77777777" w:rsidR="00F316CC" w:rsidRPr="00FA5D68" w:rsidRDefault="00F316CC" w:rsidP="00610C8C">
            <w:pPr>
              <w:spacing w:line="276" w:lineRule="auto"/>
              <w:jc w:val="center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>III-IV</w:t>
            </w:r>
          </w:p>
        </w:tc>
        <w:tc>
          <w:tcPr>
            <w:tcW w:w="1934" w:type="pct"/>
            <w:gridSpan w:val="4"/>
            <w:vAlign w:val="center"/>
          </w:tcPr>
          <w:p w14:paraId="1DD3777B" w14:textId="77777777" w:rsidR="00F316CC" w:rsidRPr="00FA5D68" w:rsidRDefault="00F316CC" w:rsidP="00610C8C">
            <w:pPr>
              <w:spacing w:line="276" w:lineRule="auto"/>
              <w:jc w:val="center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>Nadležno Ministarstvo pravde/VSTV BiH</w:t>
            </w:r>
          </w:p>
        </w:tc>
      </w:tr>
      <w:tr w:rsidR="00F316CC" w:rsidRPr="00FA5D68" w14:paraId="7DA10131" w14:textId="77777777" w:rsidTr="0089270D">
        <w:tc>
          <w:tcPr>
            <w:tcW w:w="738" w:type="pct"/>
          </w:tcPr>
          <w:p w14:paraId="684054D5" w14:textId="0403B297" w:rsidR="00F316CC" w:rsidRPr="00FA5D68" w:rsidRDefault="00F316CC" w:rsidP="00E1419A">
            <w:pPr>
              <w:widowControl w:val="0"/>
              <w:autoSpaceDE w:val="0"/>
              <w:autoSpaceDN w:val="0"/>
              <w:spacing w:before="101" w:line="276" w:lineRule="auto"/>
              <w:jc w:val="center"/>
              <w:rPr>
                <w:rFonts w:ascii="Arial" w:eastAsia="Trebuchet MS" w:hAnsi="Arial" w:cs="Arial"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Trebuchet MS" w:hAnsi="Arial" w:cs="Arial"/>
                <w:sz w:val="19"/>
                <w:szCs w:val="19"/>
                <w:lang w:val="bs-Latn-BA"/>
              </w:rPr>
              <w:t>2.</w:t>
            </w:r>
          </w:p>
        </w:tc>
        <w:tc>
          <w:tcPr>
            <w:tcW w:w="1316" w:type="pct"/>
          </w:tcPr>
          <w:p w14:paraId="07034BFE" w14:textId="77777777" w:rsidR="00F316CC" w:rsidRPr="00FA5D68" w:rsidRDefault="00F316CC" w:rsidP="00610C8C">
            <w:pPr>
              <w:spacing w:line="276" w:lineRule="auto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>Provođenje tenderske procedure i isporuka opreme</w:t>
            </w:r>
          </w:p>
        </w:tc>
        <w:tc>
          <w:tcPr>
            <w:tcW w:w="1012" w:type="pct"/>
            <w:vAlign w:val="center"/>
          </w:tcPr>
          <w:p w14:paraId="2487163C" w14:textId="77777777" w:rsidR="00F316CC" w:rsidRPr="00FA5D68" w:rsidRDefault="00F316CC" w:rsidP="00610C8C">
            <w:pPr>
              <w:spacing w:line="276" w:lineRule="auto"/>
              <w:jc w:val="center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>III</w:t>
            </w:r>
          </w:p>
        </w:tc>
        <w:tc>
          <w:tcPr>
            <w:tcW w:w="1934" w:type="pct"/>
            <w:gridSpan w:val="4"/>
            <w:vAlign w:val="center"/>
          </w:tcPr>
          <w:p w14:paraId="6D6CAFCB" w14:textId="77777777" w:rsidR="00F316CC" w:rsidRPr="00FA5D68" w:rsidRDefault="00F316CC" w:rsidP="00610C8C">
            <w:pPr>
              <w:spacing w:line="276" w:lineRule="auto"/>
              <w:jc w:val="center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 xml:space="preserve">Nadležno Ministarstvo pravde/ VSTV BiH </w:t>
            </w:r>
          </w:p>
        </w:tc>
      </w:tr>
      <w:tr w:rsidR="00F316CC" w:rsidRPr="00FA5D68" w14:paraId="79FAA24F" w14:textId="77777777" w:rsidTr="0089270D">
        <w:tc>
          <w:tcPr>
            <w:tcW w:w="738" w:type="pct"/>
          </w:tcPr>
          <w:p w14:paraId="24B7BE25" w14:textId="1CE70886" w:rsidR="00F316CC" w:rsidRPr="00FA5D68" w:rsidRDefault="00F316CC" w:rsidP="00E1419A">
            <w:pPr>
              <w:widowControl w:val="0"/>
              <w:autoSpaceDE w:val="0"/>
              <w:autoSpaceDN w:val="0"/>
              <w:spacing w:before="101" w:line="276" w:lineRule="auto"/>
              <w:jc w:val="center"/>
              <w:rPr>
                <w:rFonts w:ascii="Arial" w:eastAsia="Trebuchet MS" w:hAnsi="Arial" w:cs="Arial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Trebuchet MS" w:hAnsi="Arial" w:cs="Arial"/>
                <w:sz w:val="19"/>
                <w:szCs w:val="19"/>
                <w:lang w:val="bs-Latn-BA"/>
              </w:rPr>
              <w:t>3.</w:t>
            </w:r>
          </w:p>
        </w:tc>
        <w:tc>
          <w:tcPr>
            <w:tcW w:w="1316" w:type="pct"/>
          </w:tcPr>
          <w:p w14:paraId="38066955" w14:textId="77777777" w:rsidR="00F316CC" w:rsidRPr="00FA5D68" w:rsidRDefault="00F316CC" w:rsidP="00610C8C">
            <w:pPr>
              <w:spacing w:line="276" w:lineRule="auto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</w:p>
          <w:p w14:paraId="6903BE30" w14:textId="77777777" w:rsidR="00F316CC" w:rsidRPr="00FA5D68" w:rsidRDefault="00F316CC" w:rsidP="00610C8C">
            <w:pPr>
              <w:spacing w:line="276" w:lineRule="auto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>Instaliranje opreme u sudu</w:t>
            </w:r>
          </w:p>
        </w:tc>
        <w:tc>
          <w:tcPr>
            <w:tcW w:w="1012" w:type="pct"/>
            <w:vAlign w:val="center"/>
          </w:tcPr>
          <w:p w14:paraId="4FA42F3F" w14:textId="77777777" w:rsidR="00F316CC" w:rsidRPr="00FA5D68" w:rsidRDefault="00F316CC" w:rsidP="00610C8C">
            <w:pPr>
              <w:spacing w:line="276" w:lineRule="auto"/>
              <w:jc w:val="center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>IV</w:t>
            </w:r>
          </w:p>
        </w:tc>
        <w:tc>
          <w:tcPr>
            <w:tcW w:w="1934" w:type="pct"/>
            <w:gridSpan w:val="4"/>
            <w:vAlign w:val="center"/>
          </w:tcPr>
          <w:p w14:paraId="68B56EBB" w14:textId="77777777" w:rsidR="00F316CC" w:rsidRPr="00FA5D68" w:rsidRDefault="00F316CC" w:rsidP="00610C8C">
            <w:pPr>
              <w:spacing w:line="276" w:lineRule="auto"/>
              <w:jc w:val="center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</w:p>
          <w:p w14:paraId="1365FCE3" w14:textId="77777777" w:rsidR="00F316CC" w:rsidRPr="00FA5D68" w:rsidRDefault="00F316CC" w:rsidP="00610C8C">
            <w:pPr>
              <w:spacing w:line="276" w:lineRule="auto"/>
              <w:jc w:val="center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>IKT službenik</w:t>
            </w:r>
          </w:p>
          <w:p w14:paraId="4AA35B18" w14:textId="77777777" w:rsidR="00F316CC" w:rsidRPr="00FA5D68" w:rsidRDefault="00F316CC" w:rsidP="00610C8C">
            <w:pPr>
              <w:spacing w:line="276" w:lineRule="auto"/>
              <w:jc w:val="center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</w:p>
          <w:p w14:paraId="77EA7E42" w14:textId="77777777" w:rsidR="00F316CC" w:rsidRPr="00FA5D68" w:rsidRDefault="00F316CC" w:rsidP="00610C8C">
            <w:pPr>
              <w:spacing w:line="276" w:lineRule="auto"/>
              <w:jc w:val="center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</w:p>
        </w:tc>
      </w:tr>
      <w:tr w:rsidR="00F316CC" w:rsidRPr="00FA5D68" w14:paraId="7A1874CD" w14:textId="77777777" w:rsidTr="0089270D">
        <w:trPr>
          <w:trHeight w:val="390"/>
        </w:trPr>
        <w:tc>
          <w:tcPr>
            <w:tcW w:w="2054" w:type="pct"/>
            <w:gridSpan w:val="2"/>
            <w:vMerge w:val="restart"/>
            <w:shd w:val="clear" w:color="auto" w:fill="65BDFF"/>
          </w:tcPr>
          <w:p w14:paraId="1F31A61D" w14:textId="77777777" w:rsidR="00F316CC" w:rsidRPr="00FA5D68" w:rsidRDefault="00F316CC" w:rsidP="00610C8C">
            <w:pPr>
              <w:spacing w:line="276" w:lineRule="auto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</w:p>
          <w:p w14:paraId="4EBE7249" w14:textId="77777777" w:rsidR="00F316CC" w:rsidRPr="00FA5D68" w:rsidRDefault="00F316CC" w:rsidP="00610C8C">
            <w:pPr>
              <w:spacing w:line="276" w:lineRule="auto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>Pokazatelji za izlazne rezultate</w:t>
            </w:r>
          </w:p>
        </w:tc>
        <w:tc>
          <w:tcPr>
            <w:tcW w:w="2946" w:type="pct"/>
            <w:gridSpan w:val="5"/>
            <w:shd w:val="clear" w:color="auto" w:fill="65BDFF"/>
            <w:vAlign w:val="center"/>
          </w:tcPr>
          <w:p w14:paraId="7B334CDB" w14:textId="77777777" w:rsidR="00F316CC" w:rsidRPr="00FA5D68" w:rsidRDefault="00F316CC" w:rsidP="00610C8C">
            <w:pPr>
              <w:spacing w:line="276" w:lineRule="auto"/>
              <w:jc w:val="center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>Očekivani rezultati po godinama</w:t>
            </w:r>
          </w:p>
        </w:tc>
      </w:tr>
      <w:tr w:rsidR="00F316CC" w:rsidRPr="00FA5D68" w14:paraId="13987F50" w14:textId="77777777" w:rsidTr="0089270D">
        <w:trPr>
          <w:trHeight w:val="345"/>
        </w:trPr>
        <w:tc>
          <w:tcPr>
            <w:tcW w:w="2054" w:type="pct"/>
            <w:gridSpan w:val="2"/>
            <w:vMerge/>
            <w:shd w:val="clear" w:color="auto" w:fill="65BDFF"/>
          </w:tcPr>
          <w:p w14:paraId="1745D76F" w14:textId="77777777" w:rsidR="00F316CC" w:rsidRPr="00FA5D68" w:rsidRDefault="00F316CC" w:rsidP="00610C8C">
            <w:pPr>
              <w:spacing w:line="276" w:lineRule="auto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</w:p>
        </w:tc>
        <w:tc>
          <w:tcPr>
            <w:tcW w:w="1023" w:type="pct"/>
            <w:gridSpan w:val="2"/>
            <w:shd w:val="clear" w:color="auto" w:fill="6DD9FF"/>
            <w:vAlign w:val="center"/>
          </w:tcPr>
          <w:p w14:paraId="6D6673A5" w14:textId="77777777" w:rsidR="00F316CC" w:rsidRPr="00FA5D68" w:rsidRDefault="00F316CC" w:rsidP="00610C8C">
            <w:pPr>
              <w:spacing w:line="276" w:lineRule="auto"/>
              <w:jc w:val="center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>2022(n)</w:t>
            </w:r>
          </w:p>
        </w:tc>
        <w:tc>
          <w:tcPr>
            <w:tcW w:w="947" w:type="pct"/>
            <w:shd w:val="clear" w:color="auto" w:fill="6DD9FF"/>
            <w:vAlign w:val="center"/>
          </w:tcPr>
          <w:p w14:paraId="0E6F753C" w14:textId="77777777" w:rsidR="00F316CC" w:rsidRPr="00FA5D68" w:rsidRDefault="00F316CC" w:rsidP="00610C8C">
            <w:pPr>
              <w:spacing w:line="276" w:lineRule="auto"/>
              <w:jc w:val="center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>2023 (n+1)</w:t>
            </w:r>
          </w:p>
        </w:tc>
        <w:tc>
          <w:tcPr>
            <w:tcW w:w="976" w:type="pct"/>
            <w:gridSpan w:val="2"/>
            <w:shd w:val="clear" w:color="auto" w:fill="6DD9FF"/>
            <w:vAlign w:val="center"/>
          </w:tcPr>
          <w:p w14:paraId="64F12EAD" w14:textId="77777777" w:rsidR="00F316CC" w:rsidRPr="00FA5D68" w:rsidRDefault="00F316CC" w:rsidP="00610C8C">
            <w:pPr>
              <w:spacing w:line="276" w:lineRule="auto"/>
              <w:jc w:val="center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>2024 (n+2)</w:t>
            </w:r>
          </w:p>
        </w:tc>
      </w:tr>
      <w:tr w:rsidR="00F316CC" w:rsidRPr="00FA5D68" w14:paraId="564C7AD7" w14:textId="77777777" w:rsidTr="0089270D">
        <w:trPr>
          <w:trHeight w:val="606"/>
        </w:trPr>
        <w:tc>
          <w:tcPr>
            <w:tcW w:w="2054" w:type="pct"/>
            <w:gridSpan w:val="2"/>
            <w:shd w:val="clear" w:color="auto" w:fill="FFFFFF" w:themeFill="background1"/>
          </w:tcPr>
          <w:p w14:paraId="5C58D915" w14:textId="77777777" w:rsidR="00F316CC" w:rsidRPr="00FA5D68" w:rsidRDefault="00F316CC" w:rsidP="00610C8C">
            <w:pPr>
              <w:spacing w:line="276" w:lineRule="auto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</w:p>
          <w:p w14:paraId="578CDD3C" w14:textId="77777777" w:rsidR="00F316CC" w:rsidRPr="00FA5D68" w:rsidRDefault="00F316CC" w:rsidP="00610C8C">
            <w:pPr>
              <w:spacing w:line="276" w:lineRule="auto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>Rekonstrukcija prostostorija suda</w:t>
            </w:r>
          </w:p>
        </w:tc>
        <w:tc>
          <w:tcPr>
            <w:tcW w:w="1023" w:type="pct"/>
            <w:gridSpan w:val="2"/>
            <w:shd w:val="clear" w:color="auto" w:fill="FFFFFF" w:themeFill="background1"/>
            <w:vAlign w:val="center"/>
          </w:tcPr>
          <w:p w14:paraId="52102222" w14:textId="74CA24CF" w:rsidR="00F316CC" w:rsidRPr="00FA5D68" w:rsidRDefault="00F316CC" w:rsidP="00872E6B">
            <w:pPr>
              <w:spacing w:line="276" w:lineRule="auto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 xml:space="preserve">Saniran krov zgrade suda </w:t>
            </w:r>
          </w:p>
        </w:tc>
        <w:tc>
          <w:tcPr>
            <w:tcW w:w="947" w:type="pct"/>
            <w:shd w:val="clear" w:color="auto" w:fill="FFFFFF" w:themeFill="background1"/>
            <w:vAlign w:val="center"/>
          </w:tcPr>
          <w:p w14:paraId="4FFA5C4D" w14:textId="00B66465" w:rsidR="00F316CC" w:rsidRPr="00FA5D68" w:rsidRDefault="00872E6B" w:rsidP="00872E6B">
            <w:pPr>
              <w:spacing w:line="276" w:lineRule="auto"/>
              <w:jc w:val="center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 xml:space="preserve"> </w:t>
            </w:r>
            <w:r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>I</w:t>
            </w:r>
            <w:r w:rsidRPr="00FA5D68"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>zvršena unutrašnja rekonstrukcija prostorija</w:t>
            </w:r>
            <w:r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 xml:space="preserve"> u dijelu u kojim rad obavljaju namještenici</w:t>
            </w:r>
          </w:p>
        </w:tc>
        <w:tc>
          <w:tcPr>
            <w:tcW w:w="976" w:type="pct"/>
            <w:gridSpan w:val="2"/>
            <w:shd w:val="clear" w:color="auto" w:fill="FFFFFF" w:themeFill="background1"/>
            <w:vAlign w:val="center"/>
          </w:tcPr>
          <w:p w14:paraId="52B3C9AB" w14:textId="0DE18AC9" w:rsidR="00F316CC" w:rsidRPr="00FA5D68" w:rsidRDefault="00872E6B" w:rsidP="00610C8C">
            <w:pPr>
              <w:spacing w:line="276" w:lineRule="auto"/>
              <w:jc w:val="center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 xml:space="preserve"> </w:t>
            </w:r>
            <w:r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>I</w:t>
            </w:r>
            <w:r w:rsidRPr="00FA5D68"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>zvršena unut</w:t>
            </w:r>
            <w:r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>rašnja rekonstrukcija sudnice i kancelarija sudija</w:t>
            </w:r>
          </w:p>
        </w:tc>
      </w:tr>
      <w:tr w:rsidR="00F316CC" w:rsidRPr="00FA5D68" w14:paraId="22A5C6E5" w14:textId="77777777" w:rsidTr="0089270D">
        <w:trPr>
          <w:trHeight w:val="606"/>
        </w:trPr>
        <w:tc>
          <w:tcPr>
            <w:tcW w:w="738" w:type="pct"/>
            <w:shd w:val="clear" w:color="auto" w:fill="65BDFF"/>
          </w:tcPr>
          <w:p w14:paraId="4F115C27" w14:textId="77777777" w:rsidR="00F316CC" w:rsidRPr="00FA5D68" w:rsidRDefault="00F316CC" w:rsidP="00610C8C">
            <w:pPr>
              <w:spacing w:line="276" w:lineRule="auto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>Redni broj</w:t>
            </w:r>
          </w:p>
        </w:tc>
        <w:tc>
          <w:tcPr>
            <w:tcW w:w="1316" w:type="pct"/>
            <w:shd w:val="clear" w:color="auto" w:fill="65BDFF"/>
          </w:tcPr>
          <w:p w14:paraId="68091A09" w14:textId="77777777" w:rsidR="00F316CC" w:rsidRPr="00FA5D68" w:rsidRDefault="00F316CC" w:rsidP="00610C8C">
            <w:pPr>
              <w:spacing w:line="276" w:lineRule="auto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>Naziv aktivnosti za 2022.godinu</w:t>
            </w:r>
          </w:p>
        </w:tc>
        <w:tc>
          <w:tcPr>
            <w:tcW w:w="1023" w:type="pct"/>
            <w:gridSpan w:val="2"/>
            <w:shd w:val="clear" w:color="auto" w:fill="65BDFF"/>
            <w:vAlign w:val="center"/>
          </w:tcPr>
          <w:p w14:paraId="4038AB41" w14:textId="77777777" w:rsidR="00F316CC" w:rsidRPr="00FA5D68" w:rsidRDefault="00F316CC" w:rsidP="00610C8C">
            <w:pPr>
              <w:spacing w:line="276" w:lineRule="auto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>Rok izvršenja po kvartalima u 2022.godini</w:t>
            </w:r>
          </w:p>
        </w:tc>
        <w:tc>
          <w:tcPr>
            <w:tcW w:w="1923" w:type="pct"/>
            <w:gridSpan w:val="3"/>
            <w:shd w:val="clear" w:color="auto" w:fill="65BDFF"/>
            <w:vAlign w:val="center"/>
          </w:tcPr>
          <w:p w14:paraId="590EAA3D" w14:textId="77777777" w:rsidR="00F316CC" w:rsidRPr="00FA5D68" w:rsidRDefault="00F316CC" w:rsidP="00610C8C">
            <w:pPr>
              <w:spacing w:line="276" w:lineRule="auto"/>
              <w:jc w:val="center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>Nosilac (najmanji organizacioni dio)</w:t>
            </w:r>
          </w:p>
        </w:tc>
      </w:tr>
      <w:tr w:rsidR="00F316CC" w:rsidRPr="00FA5D68" w14:paraId="15CACF9A" w14:textId="77777777" w:rsidTr="0089270D">
        <w:trPr>
          <w:trHeight w:val="606"/>
        </w:trPr>
        <w:tc>
          <w:tcPr>
            <w:tcW w:w="738" w:type="pct"/>
            <w:shd w:val="clear" w:color="auto" w:fill="FFFFFF" w:themeFill="background1"/>
          </w:tcPr>
          <w:p w14:paraId="357AB667" w14:textId="77777777" w:rsidR="00F316CC" w:rsidRPr="00FA5D68" w:rsidRDefault="00F316CC" w:rsidP="00610C8C">
            <w:pPr>
              <w:spacing w:line="276" w:lineRule="auto"/>
              <w:jc w:val="right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</w:p>
          <w:p w14:paraId="15775282" w14:textId="77777777" w:rsidR="00F316CC" w:rsidRDefault="00F316CC" w:rsidP="002E0B58">
            <w:pPr>
              <w:spacing w:line="276" w:lineRule="auto"/>
              <w:jc w:val="center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>1.</w:t>
            </w:r>
          </w:p>
          <w:p w14:paraId="318046B3" w14:textId="77777777" w:rsidR="0089270D" w:rsidRDefault="0089270D" w:rsidP="00610C8C">
            <w:pPr>
              <w:spacing w:line="276" w:lineRule="auto"/>
              <w:jc w:val="right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</w:p>
          <w:p w14:paraId="62A95A28" w14:textId="77777777" w:rsidR="0089270D" w:rsidRDefault="0089270D" w:rsidP="00610C8C">
            <w:pPr>
              <w:spacing w:line="276" w:lineRule="auto"/>
              <w:jc w:val="right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</w:p>
          <w:p w14:paraId="3FB45C18" w14:textId="35DFB82D" w:rsidR="0089270D" w:rsidRPr="00FA5D68" w:rsidRDefault="0089270D" w:rsidP="00610C8C">
            <w:pPr>
              <w:spacing w:line="276" w:lineRule="auto"/>
              <w:jc w:val="right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</w:p>
        </w:tc>
        <w:tc>
          <w:tcPr>
            <w:tcW w:w="1316" w:type="pct"/>
            <w:shd w:val="clear" w:color="auto" w:fill="FFFFFF" w:themeFill="background1"/>
          </w:tcPr>
          <w:p w14:paraId="053DD3EC" w14:textId="77777777" w:rsidR="00F316CC" w:rsidRPr="00FA5D68" w:rsidRDefault="00F316CC" w:rsidP="00610C8C">
            <w:pPr>
              <w:spacing w:line="276" w:lineRule="auto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>Obezbjeđenje sredstava od strane nadležnog ministarstva i izvođenje radova</w:t>
            </w:r>
          </w:p>
        </w:tc>
        <w:tc>
          <w:tcPr>
            <w:tcW w:w="1023" w:type="pct"/>
            <w:gridSpan w:val="2"/>
            <w:shd w:val="clear" w:color="auto" w:fill="FFFFFF" w:themeFill="background1"/>
            <w:vAlign w:val="center"/>
          </w:tcPr>
          <w:p w14:paraId="2FF7B7FD" w14:textId="77777777" w:rsidR="00F316CC" w:rsidRPr="00FA5D68" w:rsidRDefault="00F316CC" w:rsidP="00610C8C">
            <w:pPr>
              <w:spacing w:line="276" w:lineRule="auto"/>
              <w:jc w:val="center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>II-IV</w:t>
            </w:r>
          </w:p>
        </w:tc>
        <w:tc>
          <w:tcPr>
            <w:tcW w:w="1923" w:type="pct"/>
            <w:gridSpan w:val="3"/>
            <w:shd w:val="clear" w:color="auto" w:fill="FFFFFF" w:themeFill="background1"/>
            <w:vAlign w:val="center"/>
          </w:tcPr>
          <w:p w14:paraId="4D5A21AD" w14:textId="77777777" w:rsidR="00F316CC" w:rsidRPr="00FA5D68" w:rsidRDefault="00F316CC" w:rsidP="00610C8C">
            <w:pPr>
              <w:spacing w:line="276" w:lineRule="auto"/>
              <w:jc w:val="center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>Nadležno Ministarstvo pravde / VSTV BiH</w:t>
            </w:r>
          </w:p>
        </w:tc>
      </w:tr>
      <w:bookmarkEnd w:id="99"/>
      <w:tr w:rsidR="00F316CC" w:rsidRPr="00FA5D68" w14:paraId="427A5E47" w14:textId="77777777" w:rsidTr="0089270D">
        <w:tc>
          <w:tcPr>
            <w:tcW w:w="2054" w:type="pct"/>
            <w:gridSpan w:val="2"/>
            <w:shd w:val="clear" w:color="auto" w:fill="65BDFF"/>
          </w:tcPr>
          <w:p w14:paraId="208B140C" w14:textId="77777777" w:rsidR="00F316CC" w:rsidRPr="00FA5D68" w:rsidRDefault="00F316CC" w:rsidP="00610C8C">
            <w:pPr>
              <w:spacing w:line="276" w:lineRule="auto"/>
              <w:jc w:val="both"/>
              <w:rPr>
                <w:rFonts w:ascii="Arial" w:eastAsia="Calibri" w:hAnsi="Arial" w:cs="Arial"/>
                <w:b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b/>
                <w:w w:val="95"/>
                <w:sz w:val="19"/>
                <w:szCs w:val="19"/>
                <w:lang w:val="bs-Latn-BA"/>
              </w:rPr>
              <w:t>Trogodišnji cilj 1.4.</w:t>
            </w:r>
          </w:p>
        </w:tc>
        <w:tc>
          <w:tcPr>
            <w:tcW w:w="2946" w:type="pct"/>
            <w:gridSpan w:val="5"/>
            <w:shd w:val="clear" w:color="auto" w:fill="65BDFF"/>
          </w:tcPr>
          <w:p w14:paraId="128CE6AE" w14:textId="77777777" w:rsidR="00F316CC" w:rsidRPr="00FA5D68" w:rsidRDefault="00F316CC" w:rsidP="00610C8C">
            <w:pPr>
              <w:rPr>
                <w:rStyle w:val="fontstyle11"/>
                <w:color w:val="auto"/>
                <w:sz w:val="19"/>
                <w:szCs w:val="19"/>
                <w:lang w:val="bs-Latn-BA"/>
              </w:rPr>
            </w:pPr>
            <w:r w:rsidRPr="00FA5D68">
              <w:rPr>
                <w:rFonts w:ascii="Arial" w:hAnsi="Arial" w:cs="Arial"/>
                <w:sz w:val="19"/>
                <w:szCs w:val="19"/>
                <w:lang w:val="bs-Latn-BA"/>
              </w:rPr>
              <w:t>Izrada, usvajanje i implementacija S</w:t>
            </w:r>
            <w:r w:rsidRPr="00FA5D68"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>trategija za unapređenje rodne ravnopravnosti u pravosuđu BiH</w:t>
            </w:r>
          </w:p>
        </w:tc>
      </w:tr>
      <w:tr w:rsidR="00F316CC" w:rsidRPr="00FA5D68" w14:paraId="67F27D11" w14:textId="77777777" w:rsidTr="0089270D">
        <w:tc>
          <w:tcPr>
            <w:tcW w:w="2054" w:type="pct"/>
            <w:gridSpan w:val="2"/>
            <w:vMerge w:val="restart"/>
            <w:shd w:val="clear" w:color="auto" w:fill="65BDFF"/>
          </w:tcPr>
          <w:p w14:paraId="6B7FA50E" w14:textId="77777777" w:rsidR="00F316CC" w:rsidRPr="00FA5D68" w:rsidRDefault="00F316CC" w:rsidP="00610C8C">
            <w:pPr>
              <w:spacing w:line="276" w:lineRule="auto"/>
              <w:jc w:val="both"/>
              <w:rPr>
                <w:rFonts w:ascii="Arial" w:eastAsia="Calibri" w:hAnsi="Arial" w:cs="Arial"/>
                <w:b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b/>
                <w:w w:val="95"/>
                <w:sz w:val="19"/>
                <w:szCs w:val="19"/>
                <w:lang w:val="bs-Latn-BA"/>
              </w:rPr>
              <w:t>Pokazatelji za izlazne rezultate</w:t>
            </w:r>
          </w:p>
        </w:tc>
        <w:tc>
          <w:tcPr>
            <w:tcW w:w="2946" w:type="pct"/>
            <w:gridSpan w:val="5"/>
            <w:shd w:val="clear" w:color="auto" w:fill="65BDFF"/>
            <w:vAlign w:val="center"/>
          </w:tcPr>
          <w:p w14:paraId="1AEBED12" w14:textId="77777777" w:rsidR="00F316CC" w:rsidRPr="00FA5D68" w:rsidRDefault="00F316CC" w:rsidP="00610C8C">
            <w:pPr>
              <w:spacing w:line="276" w:lineRule="auto"/>
              <w:jc w:val="center"/>
              <w:rPr>
                <w:rFonts w:ascii="Arial" w:eastAsia="Calibri" w:hAnsi="Arial" w:cs="Arial"/>
                <w:b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b/>
                <w:w w:val="95"/>
                <w:sz w:val="19"/>
                <w:szCs w:val="19"/>
                <w:lang w:val="bs-Latn-BA"/>
              </w:rPr>
              <w:t>Očekivani rezultati po godinama</w:t>
            </w:r>
          </w:p>
        </w:tc>
      </w:tr>
      <w:tr w:rsidR="00F316CC" w:rsidRPr="00FA5D68" w14:paraId="2C77B024" w14:textId="77777777" w:rsidTr="0089270D">
        <w:tc>
          <w:tcPr>
            <w:tcW w:w="2054" w:type="pct"/>
            <w:gridSpan w:val="2"/>
            <w:vMerge/>
            <w:shd w:val="clear" w:color="auto" w:fill="65BDFF"/>
          </w:tcPr>
          <w:p w14:paraId="5CB4D17C" w14:textId="77777777" w:rsidR="00F316CC" w:rsidRPr="00FA5D68" w:rsidRDefault="00F316CC" w:rsidP="00610C8C">
            <w:pPr>
              <w:spacing w:line="276" w:lineRule="auto"/>
              <w:jc w:val="both"/>
              <w:rPr>
                <w:rFonts w:ascii="Arial" w:eastAsia="Calibri" w:hAnsi="Arial" w:cs="Arial"/>
                <w:w w:val="95"/>
                <w:lang w:val="bs-Latn-BA"/>
              </w:rPr>
            </w:pPr>
          </w:p>
        </w:tc>
        <w:tc>
          <w:tcPr>
            <w:tcW w:w="1012" w:type="pct"/>
            <w:shd w:val="clear" w:color="auto" w:fill="6DD9FF"/>
            <w:vAlign w:val="center"/>
          </w:tcPr>
          <w:p w14:paraId="1FD579DC" w14:textId="77777777" w:rsidR="00F316CC" w:rsidRPr="00FA5D68" w:rsidRDefault="00F316CC" w:rsidP="00610C8C">
            <w:pPr>
              <w:spacing w:line="276" w:lineRule="auto"/>
              <w:jc w:val="center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>2022 (n)</w:t>
            </w:r>
          </w:p>
        </w:tc>
        <w:tc>
          <w:tcPr>
            <w:tcW w:w="967" w:type="pct"/>
            <w:gridSpan w:val="3"/>
            <w:shd w:val="clear" w:color="auto" w:fill="6DD9FF"/>
            <w:vAlign w:val="center"/>
          </w:tcPr>
          <w:p w14:paraId="5BB0B168" w14:textId="77777777" w:rsidR="00F316CC" w:rsidRPr="00FA5D68" w:rsidRDefault="00F316CC" w:rsidP="00610C8C">
            <w:pPr>
              <w:spacing w:line="276" w:lineRule="auto"/>
              <w:jc w:val="center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>2023 (n+1)</w:t>
            </w:r>
          </w:p>
        </w:tc>
        <w:tc>
          <w:tcPr>
            <w:tcW w:w="967" w:type="pct"/>
            <w:shd w:val="clear" w:color="auto" w:fill="6DD9FF"/>
            <w:vAlign w:val="center"/>
          </w:tcPr>
          <w:p w14:paraId="2492BD5F" w14:textId="77777777" w:rsidR="00F316CC" w:rsidRPr="00FA5D68" w:rsidRDefault="00F316CC" w:rsidP="00610C8C">
            <w:pPr>
              <w:spacing w:line="276" w:lineRule="auto"/>
              <w:jc w:val="center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>2024 (n+2)</w:t>
            </w:r>
          </w:p>
        </w:tc>
      </w:tr>
      <w:tr w:rsidR="00F316CC" w:rsidRPr="00FA5D68" w14:paraId="78D32550" w14:textId="77777777" w:rsidTr="0089270D">
        <w:tc>
          <w:tcPr>
            <w:tcW w:w="2054" w:type="pct"/>
            <w:gridSpan w:val="2"/>
          </w:tcPr>
          <w:p w14:paraId="06AD2BA0" w14:textId="4D25EE25" w:rsidR="00F316CC" w:rsidRPr="00FA5D68" w:rsidRDefault="0089270D" w:rsidP="00610C8C">
            <w:pPr>
              <w:tabs>
                <w:tab w:val="left" w:pos="2413"/>
              </w:tabs>
              <w:spacing w:line="276" w:lineRule="auto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  <w:r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>Izrađen akcioni plan u predviđenom roku</w:t>
            </w:r>
            <w:r w:rsidR="00C3321B"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 xml:space="preserve"> </w:t>
            </w:r>
          </w:p>
        </w:tc>
        <w:tc>
          <w:tcPr>
            <w:tcW w:w="1012" w:type="pct"/>
            <w:vAlign w:val="center"/>
          </w:tcPr>
          <w:p w14:paraId="3C6F44BC" w14:textId="77777777" w:rsidR="00F316CC" w:rsidRPr="00FA5D68" w:rsidRDefault="00F316CC" w:rsidP="00610C8C">
            <w:pPr>
              <w:tabs>
                <w:tab w:val="left" w:pos="2413"/>
              </w:tabs>
              <w:spacing w:line="276" w:lineRule="auto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>Strategija usvojena i implementirana</w:t>
            </w:r>
          </w:p>
        </w:tc>
        <w:tc>
          <w:tcPr>
            <w:tcW w:w="967" w:type="pct"/>
            <w:gridSpan w:val="3"/>
            <w:vAlign w:val="center"/>
          </w:tcPr>
          <w:p w14:paraId="13ACAF33" w14:textId="77777777" w:rsidR="00F316CC" w:rsidRPr="00FA5D68" w:rsidRDefault="00F316CC" w:rsidP="00610C8C">
            <w:pPr>
              <w:tabs>
                <w:tab w:val="left" w:pos="2413"/>
              </w:tabs>
              <w:spacing w:line="276" w:lineRule="auto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>Praćenje primjene strategije i promjene</w:t>
            </w:r>
          </w:p>
        </w:tc>
        <w:tc>
          <w:tcPr>
            <w:tcW w:w="967" w:type="pct"/>
            <w:vAlign w:val="center"/>
          </w:tcPr>
          <w:p w14:paraId="62C9F544" w14:textId="77777777" w:rsidR="00F316CC" w:rsidRPr="00FA5D68" w:rsidRDefault="00F316CC" w:rsidP="00610C8C">
            <w:pPr>
              <w:tabs>
                <w:tab w:val="left" w:pos="2413"/>
              </w:tabs>
              <w:spacing w:line="276" w:lineRule="auto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>Praćenje primjene strategije i promjene</w:t>
            </w:r>
          </w:p>
        </w:tc>
      </w:tr>
      <w:tr w:rsidR="00F316CC" w:rsidRPr="00FA5D68" w14:paraId="28B440E9" w14:textId="77777777" w:rsidTr="0089270D">
        <w:tc>
          <w:tcPr>
            <w:tcW w:w="738" w:type="pct"/>
            <w:shd w:val="clear" w:color="auto" w:fill="65BDFF"/>
          </w:tcPr>
          <w:p w14:paraId="574B78AE" w14:textId="77777777" w:rsidR="00F316CC" w:rsidRPr="00FA5D68" w:rsidRDefault="00F316CC" w:rsidP="00610C8C">
            <w:pPr>
              <w:tabs>
                <w:tab w:val="left" w:pos="2413"/>
              </w:tabs>
              <w:spacing w:line="276" w:lineRule="auto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>Redni broj</w:t>
            </w:r>
          </w:p>
        </w:tc>
        <w:tc>
          <w:tcPr>
            <w:tcW w:w="1316" w:type="pct"/>
            <w:shd w:val="clear" w:color="auto" w:fill="65BDFF"/>
          </w:tcPr>
          <w:p w14:paraId="0561868D" w14:textId="77777777" w:rsidR="00F316CC" w:rsidRPr="00FA5D68" w:rsidRDefault="00F316CC" w:rsidP="00610C8C">
            <w:pPr>
              <w:tabs>
                <w:tab w:val="left" w:pos="2413"/>
              </w:tabs>
              <w:spacing w:line="276" w:lineRule="auto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>Naziv aktivnosti za 2022.godinu</w:t>
            </w:r>
          </w:p>
        </w:tc>
        <w:tc>
          <w:tcPr>
            <w:tcW w:w="1012" w:type="pct"/>
            <w:shd w:val="clear" w:color="auto" w:fill="65BDFF"/>
            <w:vAlign w:val="center"/>
          </w:tcPr>
          <w:p w14:paraId="097392D0" w14:textId="77777777" w:rsidR="00F316CC" w:rsidRPr="00FA5D68" w:rsidRDefault="00F316CC" w:rsidP="00610C8C">
            <w:pPr>
              <w:tabs>
                <w:tab w:val="left" w:pos="2413"/>
              </w:tabs>
              <w:spacing w:line="276" w:lineRule="auto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>Rok izvršenja po kvartalima u 2022.godini</w:t>
            </w:r>
          </w:p>
        </w:tc>
        <w:tc>
          <w:tcPr>
            <w:tcW w:w="1934" w:type="pct"/>
            <w:gridSpan w:val="4"/>
            <w:shd w:val="clear" w:color="auto" w:fill="65BDFF"/>
            <w:vAlign w:val="center"/>
          </w:tcPr>
          <w:p w14:paraId="31D3E2E5" w14:textId="77777777" w:rsidR="00F316CC" w:rsidRPr="00FA5D68" w:rsidRDefault="00F316CC" w:rsidP="00610C8C">
            <w:pPr>
              <w:tabs>
                <w:tab w:val="left" w:pos="2413"/>
              </w:tabs>
              <w:spacing w:line="276" w:lineRule="auto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>Nosilac (najmanji organizacioni dio)</w:t>
            </w:r>
          </w:p>
        </w:tc>
      </w:tr>
      <w:tr w:rsidR="00F316CC" w:rsidRPr="00FA5D68" w14:paraId="54695D8E" w14:textId="77777777" w:rsidTr="0089270D">
        <w:tc>
          <w:tcPr>
            <w:tcW w:w="738" w:type="pct"/>
          </w:tcPr>
          <w:p w14:paraId="262AFCB1" w14:textId="77777777" w:rsidR="00F316CC" w:rsidRPr="00FA5D68" w:rsidRDefault="00F316CC" w:rsidP="00610C8C">
            <w:pPr>
              <w:spacing w:line="276" w:lineRule="auto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</w:p>
        </w:tc>
        <w:tc>
          <w:tcPr>
            <w:tcW w:w="1316" w:type="pct"/>
          </w:tcPr>
          <w:p w14:paraId="5A2CE82B" w14:textId="77777777" w:rsidR="00F316CC" w:rsidRPr="00FA5D68" w:rsidRDefault="00F316CC" w:rsidP="00610C8C">
            <w:pPr>
              <w:spacing w:line="276" w:lineRule="auto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</w:p>
        </w:tc>
        <w:tc>
          <w:tcPr>
            <w:tcW w:w="1012" w:type="pct"/>
            <w:vAlign w:val="center"/>
          </w:tcPr>
          <w:p w14:paraId="07D3999C" w14:textId="77777777" w:rsidR="00F316CC" w:rsidRPr="00FA5D68" w:rsidRDefault="00F316CC" w:rsidP="00610C8C">
            <w:pPr>
              <w:spacing w:line="276" w:lineRule="auto"/>
              <w:jc w:val="center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</w:p>
        </w:tc>
        <w:tc>
          <w:tcPr>
            <w:tcW w:w="1934" w:type="pct"/>
            <w:gridSpan w:val="4"/>
            <w:vAlign w:val="center"/>
          </w:tcPr>
          <w:p w14:paraId="5BB89CEF" w14:textId="77777777" w:rsidR="00F316CC" w:rsidRPr="00FA5D68" w:rsidRDefault="00F316CC" w:rsidP="00610C8C">
            <w:pPr>
              <w:spacing w:line="276" w:lineRule="auto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</w:p>
        </w:tc>
      </w:tr>
      <w:tr w:rsidR="00F316CC" w:rsidRPr="00FA5D68" w14:paraId="74D213C7" w14:textId="77777777" w:rsidTr="0089270D">
        <w:tc>
          <w:tcPr>
            <w:tcW w:w="738" w:type="pct"/>
          </w:tcPr>
          <w:p w14:paraId="6936FD88" w14:textId="55B35B4A" w:rsidR="00F316CC" w:rsidRPr="00FA5D68" w:rsidRDefault="00F316CC" w:rsidP="00FA2310">
            <w:pPr>
              <w:jc w:val="center"/>
              <w:rPr>
                <w:rFonts w:ascii="Arial" w:eastAsia="Trebuchet MS" w:hAnsi="Arial" w:cs="Arial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Trebuchet MS" w:hAnsi="Arial" w:cs="Arial"/>
                <w:sz w:val="19"/>
                <w:szCs w:val="19"/>
                <w:lang w:val="bs-Latn-BA"/>
              </w:rPr>
              <w:t>1.</w:t>
            </w:r>
          </w:p>
        </w:tc>
        <w:tc>
          <w:tcPr>
            <w:tcW w:w="1316" w:type="pct"/>
          </w:tcPr>
          <w:p w14:paraId="7DA9284A" w14:textId="77777777" w:rsidR="00F316CC" w:rsidRPr="00FA5D68" w:rsidRDefault="00F316CC" w:rsidP="00610C8C">
            <w:pPr>
              <w:spacing w:line="276" w:lineRule="auto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 xml:space="preserve">Analiza trenutnog stanja i potreba </w:t>
            </w:r>
          </w:p>
        </w:tc>
        <w:tc>
          <w:tcPr>
            <w:tcW w:w="1012" w:type="pct"/>
            <w:vAlign w:val="center"/>
          </w:tcPr>
          <w:p w14:paraId="5D7B8F93" w14:textId="77777777" w:rsidR="00F316CC" w:rsidRPr="00FA5D68" w:rsidRDefault="00F316CC" w:rsidP="00610C8C">
            <w:pPr>
              <w:spacing w:line="276" w:lineRule="auto"/>
              <w:jc w:val="center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>I</w:t>
            </w:r>
          </w:p>
        </w:tc>
        <w:tc>
          <w:tcPr>
            <w:tcW w:w="1934" w:type="pct"/>
            <w:gridSpan w:val="4"/>
            <w:vAlign w:val="center"/>
          </w:tcPr>
          <w:p w14:paraId="683FDB6F" w14:textId="77777777" w:rsidR="00F316CC" w:rsidRPr="00FA5D68" w:rsidRDefault="00F316CC" w:rsidP="00610C8C">
            <w:pPr>
              <w:spacing w:line="276" w:lineRule="auto"/>
              <w:jc w:val="center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>Formirani tim u sudu</w:t>
            </w:r>
          </w:p>
        </w:tc>
      </w:tr>
      <w:tr w:rsidR="00F316CC" w:rsidRPr="00FA5D68" w14:paraId="0DCB8156" w14:textId="77777777" w:rsidTr="0089270D">
        <w:tc>
          <w:tcPr>
            <w:tcW w:w="738" w:type="pct"/>
          </w:tcPr>
          <w:p w14:paraId="3A4DAD0F" w14:textId="5CC21992" w:rsidR="00F316CC" w:rsidRPr="00FA5D68" w:rsidRDefault="00F316CC" w:rsidP="00FA2310">
            <w:pPr>
              <w:widowControl w:val="0"/>
              <w:autoSpaceDE w:val="0"/>
              <w:autoSpaceDN w:val="0"/>
              <w:spacing w:before="101" w:line="276" w:lineRule="auto"/>
              <w:jc w:val="center"/>
              <w:rPr>
                <w:rFonts w:ascii="Arial" w:eastAsia="Trebuchet MS" w:hAnsi="Arial" w:cs="Arial"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Trebuchet MS" w:hAnsi="Arial" w:cs="Arial"/>
                <w:sz w:val="19"/>
                <w:szCs w:val="19"/>
                <w:lang w:val="bs-Latn-BA"/>
              </w:rPr>
              <w:t>2.</w:t>
            </w:r>
          </w:p>
        </w:tc>
        <w:tc>
          <w:tcPr>
            <w:tcW w:w="1316" w:type="pct"/>
          </w:tcPr>
          <w:p w14:paraId="50F4E45A" w14:textId="77777777" w:rsidR="00F316CC" w:rsidRPr="00FA5D68" w:rsidRDefault="00F316CC" w:rsidP="00610C8C">
            <w:pPr>
              <w:spacing w:line="276" w:lineRule="auto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>Izrada strategije i dostavljanje iste na odobrenje</w:t>
            </w:r>
          </w:p>
        </w:tc>
        <w:tc>
          <w:tcPr>
            <w:tcW w:w="1012" w:type="pct"/>
            <w:vAlign w:val="center"/>
          </w:tcPr>
          <w:p w14:paraId="5DE92A9C" w14:textId="77777777" w:rsidR="00F316CC" w:rsidRPr="00FA5D68" w:rsidRDefault="00F316CC" w:rsidP="00610C8C">
            <w:pPr>
              <w:spacing w:line="276" w:lineRule="auto"/>
              <w:jc w:val="center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>II</w:t>
            </w:r>
          </w:p>
        </w:tc>
        <w:tc>
          <w:tcPr>
            <w:tcW w:w="1934" w:type="pct"/>
            <w:gridSpan w:val="4"/>
            <w:vAlign w:val="center"/>
          </w:tcPr>
          <w:p w14:paraId="55147B50" w14:textId="77777777" w:rsidR="00F316CC" w:rsidRPr="00FA5D68" w:rsidRDefault="00F316CC" w:rsidP="00610C8C">
            <w:pPr>
              <w:spacing w:line="276" w:lineRule="auto"/>
              <w:jc w:val="center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 xml:space="preserve">Formirani tim u sudu / VSTV BiH </w:t>
            </w:r>
          </w:p>
        </w:tc>
      </w:tr>
      <w:tr w:rsidR="00F316CC" w:rsidRPr="00FA5D68" w14:paraId="0C31380A" w14:textId="77777777" w:rsidTr="0089270D">
        <w:tc>
          <w:tcPr>
            <w:tcW w:w="738" w:type="pct"/>
          </w:tcPr>
          <w:p w14:paraId="532D687A" w14:textId="1D5BE144" w:rsidR="00F316CC" w:rsidRPr="00FA5D68" w:rsidRDefault="00F316CC" w:rsidP="00FA2310">
            <w:pPr>
              <w:widowControl w:val="0"/>
              <w:autoSpaceDE w:val="0"/>
              <w:autoSpaceDN w:val="0"/>
              <w:spacing w:before="101" w:line="276" w:lineRule="auto"/>
              <w:jc w:val="center"/>
              <w:rPr>
                <w:rFonts w:ascii="Arial" w:eastAsia="Trebuchet MS" w:hAnsi="Arial" w:cs="Arial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Trebuchet MS" w:hAnsi="Arial" w:cs="Arial"/>
                <w:sz w:val="19"/>
                <w:szCs w:val="19"/>
                <w:lang w:val="bs-Latn-BA"/>
              </w:rPr>
              <w:t>3.</w:t>
            </w:r>
          </w:p>
        </w:tc>
        <w:tc>
          <w:tcPr>
            <w:tcW w:w="1316" w:type="pct"/>
          </w:tcPr>
          <w:p w14:paraId="03F934BF" w14:textId="0904D187" w:rsidR="00F316CC" w:rsidRPr="00FA5D68" w:rsidRDefault="00F316CC" w:rsidP="00610C8C">
            <w:pPr>
              <w:spacing w:line="276" w:lineRule="auto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>Implementacije i praćenje primjene strategije</w:t>
            </w:r>
          </w:p>
        </w:tc>
        <w:tc>
          <w:tcPr>
            <w:tcW w:w="1012" w:type="pct"/>
            <w:vAlign w:val="center"/>
          </w:tcPr>
          <w:p w14:paraId="0A693FC8" w14:textId="77777777" w:rsidR="00F316CC" w:rsidRPr="00FA5D68" w:rsidRDefault="00F316CC" w:rsidP="00610C8C">
            <w:pPr>
              <w:spacing w:line="276" w:lineRule="auto"/>
              <w:jc w:val="center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>II-IV</w:t>
            </w:r>
          </w:p>
        </w:tc>
        <w:tc>
          <w:tcPr>
            <w:tcW w:w="1934" w:type="pct"/>
            <w:gridSpan w:val="4"/>
            <w:vAlign w:val="center"/>
          </w:tcPr>
          <w:p w14:paraId="02C09E92" w14:textId="77777777" w:rsidR="00F316CC" w:rsidRPr="00FA5D68" w:rsidRDefault="00F316CC" w:rsidP="00610C8C">
            <w:pPr>
              <w:spacing w:line="276" w:lineRule="auto"/>
              <w:jc w:val="center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>Predsjednik suda / sudije / zaposlenici</w:t>
            </w:r>
          </w:p>
          <w:p w14:paraId="32900262" w14:textId="77777777" w:rsidR="00F316CC" w:rsidRPr="00FA5D68" w:rsidRDefault="00F316CC" w:rsidP="00610C8C">
            <w:pPr>
              <w:spacing w:line="276" w:lineRule="auto"/>
              <w:jc w:val="center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</w:p>
          <w:p w14:paraId="59B83E0C" w14:textId="77777777" w:rsidR="00F316CC" w:rsidRPr="00FA5D68" w:rsidRDefault="00F316CC" w:rsidP="00610C8C">
            <w:pPr>
              <w:spacing w:line="276" w:lineRule="auto"/>
              <w:jc w:val="center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</w:p>
        </w:tc>
      </w:tr>
    </w:tbl>
    <w:p w14:paraId="3E9442A4" w14:textId="6FCA4242" w:rsidR="00F316CC" w:rsidRPr="00FA5D68" w:rsidRDefault="00F316CC" w:rsidP="00F316CC">
      <w:pPr>
        <w:keepNext/>
        <w:keepLines/>
        <w:spacing w:before="40"/>
        <w:ind w:left="0"/>
        <w:outlineLvl w:val="2"/>
        <w:rPr>
          <w:rFonts w:ascii="Arial" w:eastAsia="Times New Roman" w:hAnsi="Arial" w:cs="Arial"/>
          <w:w w:val="95"/>
          <w:sz w:val="24"/>
          <w:szCs w:val="24"/>
          <w:lang w:val="bs-Latn-BA"/>
        </w:rPr>
      </w:pPr>
    </w:p>
    <w:tbl>
      <w:tblPr>
        <w:tblStyle w:val="TableGrid"/>
        <w:tblpPr w:leftFromText="180" w:rightFromText="180" w:vertAnchor="text" w:horzAnchor="margin" w:tblpY="3"/>
        <w:tblW w:w="9067" w:type="dxa"/>
        <w:tblLook w:val="04A0" w:firstRow="1" w:lastRow="0" w:firstColumn="1" w:lastColumn="0" w:noHBand="0" w:noVBand="1"/>
      </w:tblPr>
      <w:tblGrid>
        <w:gridCol w:w="1296"/>
        <w:gridCol w:w="2052"/>
        <w:gridCol w:w="2483"/>
        <w:gridCol w:w="410"/>
        <w:gridCol w:w="1208"/>
        <w:gridCol w:w="1618"/>
      </w:tblGrid>
      <w:tr w:rsidR="00F316CC" w:rsidRPr="00FA5D68" w14:paraId="701E9F6F" w14:textId="77777777" w:rsidTr="00610C8C">
        <w:tc>
          <w:tcPr>
            <w:tcW w:w="3348" w:type="dxa"/>
            <w:gridSpan w:val="2"/>
            <w:shd w:val="clear" w:color="auto" w:fill="65BDFF"/>
          </w:tcPr>
          <w:p w14:paraId="58CD70A2" w14:textId="77777777" w:rsidR="00F316CC" w:rsidRPr="00FA5D68" w:rsidRDefault="00F316CC" w:rsidP="00610C8C">
            <w:pPr>
              <w:spacing w:line="276" w:lineRule="auto"/>
              <w:jc w:val="both"/>
              <w:rPr>
                <w:rFonts w:ascii="Arial" w:eastAsia="Calibri" w:hAnsi="Arial" w:cs="Arial"/>
                <w:b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b/>
                <w:w w:val="95"/>
                <w:sz w:val="19"/>
                <w:szCs w:val="19"/>
                <w:lang w:val="bs-Latn-BA"/>
              </w:rPr>
              <w:t>Strateški cilj 2</w:t>
            </w:r>
          </w:p>
        </w:tc>
        <w:tc>
          <w:tcPr>
            <w:tcW w:w="5719" w:type="dxa"/>
            <w:gridSpan w:val="4"/>
            <w:shd w:val="clear" w:color="auto" w:fill="65BDFF"/>
            <w:vAlign w:val="center"/>
          </w:tcPr>
          <w:p w14:paraId="5C66D5A2" w14:textId="77777777" w:rsidR="00F316CC" w:rsidRPr="00FA5D68" w:rsidRDefault="00F316CC" w:rsidP="00610C8C">
            <w:pPr>
              <w:spacing w:line="276" w:lineRule="auto"/>
              <w:jc w:val="both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  <w:r w:rsidRPr="00FA5D68">
              <w:rPr>
                <w:rStyle w:val="fontstyle01"/>
                <w:rFonts w:ascii="Arial" w:hAnsi="Arial" w:cs="Arial"/>
                <w:color w:val="auto"/>
                <w:sz w:val="19"/>
                <w:szCs w:val="19"/>
                <w:lang w:val="bs-Latn-BA"/>
              </w:rPr>
              <w:t>Procesuirati najsloženije i najprioritetnije predmete ratnih zločina do kraja 2023. godine</w:t>
            </w:r>
          </w:p>
        </w:tc>
      </w:tr>
      <w:tr w:rsidR="00F316CC" w:rsidRPr="00FA5D68" w14:paraId="720813ED" w14:textId="77777777" w:rsidTr="00610C8C">
        <w:tc>
          <w:tcPr>
            <w:tcW w:w="3348" w:type="dxa"/>
            <w:gridSpan w:val="2"/>
            <w:shd w:val="clear" w:color="auto" w:fill="65BDFF"/>
          </w:tcPr>
          <w:p w14:paraId="61D761A1" w14:textId="77777777" w:rsidR="00F316CC" w:rsidRPr="00FA5D68" w:rsidRDefault="00F316CC" w:rsidP="00610C8C">
            <w:pPr>
              <w:spacing w:line="276" w:lineRule="auto"/>
              <w:jc w:val="both"/>
              <w:rPr>
                <w:rFonts w:ascii="Arial" w:eastAsia="Calibri" w:hAnsi="Arial" w:cs="Arial"/>
                <w:b/>
                <w:w w:val="95"/>
                <w:sz w:val="19"/>
                <w:szCs w:val="19"/>
                <w:lang w:val="bs-Latn-BA"/>
              </w:rPr>
            </w:pPr>
          </w:p>
          <w:p w14:paraId="1EC94484" w14:textId="77777777" w:rsidR="00F316CC" w:rsidRPr="00FA5D68" w:rsidRDefault="00F316CC" w:rsidP="00610C8C">
            <w:pPr>
              <w:spacing w:line="276" w:lineRule="auto"/>
              <w:jc w:val="both"/>
              <w:rPr>
                <w:rFonts w:ascii="Arial" w:eastAsia="Calibri" w:hAnsi="Arial" w:cs="Arial"/>
                <w:b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b/>
                <w:w w:val="95"/>
                <w:sz w:val="19"/>
                <w:szCs w:val="19"/>
                <w:lang w:val="bs-Latn-BA"/>
              </w:rPr>
              <w:t>Trogodišnji cilj 2.1.</w:t>
            </w:r>
          </w:p>
        </w:tc>
        <w:tc>
          <w:tcPr>
            <w:tcW w:w="5719" w:type="dxa"/>
            <w:gridSpan w:val="4"/>
            <w:shd w:val="clear" w:color="auto" w:fill="65BDFF"/>
            <w:vAlign w:val="center"/>
          </w:tcPr>
          <w:p w14:paraId="2A564C6E" w14:textId="77777777" w:rsidR="00F316CC" w:rsidRPr="00FA5D68" w:rsidRDefault="00F316CC" w:rsidP="00610C8C">
            <w:pPr>
              <w:spacing w:line="276" w:lineRule="auto"/>
              <w:jc w:val="both"/>
              <w:rPr>
                <w:rStyle w:val="fontstyle11"/>
                <w:b w:val="0"/>
                <w:i w:val="0"/>
                <w:color w:val="auto"/>
                <w:sz w:val="19"/>
                <w:szCs w:val="19"/>
                <w:lang w:val="bs-Latn-BA"/>
              </w:rPr>
            </w:pPr>
          </w:p>
          <w:p w14:paraId="4BBECE95" w14:textId="77777777" w:rsidR="00F316CC" w:rsidRPr="00FA5D68" w:rsidRDefault="00F316CC" w:rsidP="00610C8C">
            <w:pPr>
              <w:spacing w:line="276" w:lineRule="auto"/>
              <w:jc w:val="both"/>
              <w:rPr>
                <w:rFonts w:ascii="Arial" w:eastAsia="Calibri" w:hAnsi="Arial" w:cs="Arial"/>
                <w:b/>
                <w:i/>
                <w:w w:val="95"/>
                <w:sz w:val="19"/>
                <w:szCs w:val="19"/>
                <w:lang w:val="bs-Latn-BA"/>
              </w:rPr>
            </w:pPr>
            <w:r w:rsidRPr="00FA5D68">
              <w:rPr>
                <w:rStyle w:val="fontstyle11"/>
                <w:color w:val="auto"/>
                <w:sz w:val="19"/>
                <w:szCs w:val="19"/>
                <w:lang w:val="bs-Latn-BA"/>
              </w:rPr>
              <w:t>Unapređenje procesuiranja predmeta ratnih zločina</w:t>
            </w:r>
          </w:p>
        </w:tc>
      </w:tr>
      <w:tr w:rsidR="00F316CC" w:rsidRPr="00FA5D68" w14:paraId="1F91EFA8" w14:textId="77777777" w:rsidTr="00610C8C">
        <w:tc>
          <w:tcPr>
            <w:tcW w:w="3348" w:type="dxa"/>
            <w:gridSpan w:val="2"/>
            <w:vMerge w:val="restart"/>
            <w:shd w:val="clear" w:color="auto" w:fill="65BDFF"/>
          </w:tcPr>
          <w:p w14:paraId="3AF15738" w14:textId="77777777" w:rsidR="00F316CC" w:rsidRPr="00FA5D68" w:rsidRDefault="00F316CC" w:rsidP="00610C8C">
            <w:pPr>
              <w:spacing w:line="276" w:lineRule="auto"/>
              <w:jc w:val="both"/>
              <w:rPr>
                <w:rFonts w:ascii="Arial" w:eastAsia="Calibri" w:hAnsi="Arial" w:cs="Arial"/>
                <w:b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b/>
                <w:w w:val="95"/>
                <w:sz w:val="19"/>
                <w:szCs w:val="19"/>
                <w:lang w:val="bs-Latn-BA"/>
              </w:rPr>
              <w:t>Pokazatelji za izlazne rezultate</w:t>
            </w:r>
          </w:p>
        </w:tc>
        <w:tc>
          <w:tcPr>
            <w:tcW w:w="5719" w:type="dxa"/>
            <w:gridSpan w:val="4"/>
            <w:shd w:val="clear" w:color="auto" w:fill="65BDFF"/>
            <w:vAlign w:val="center"/>
          </w:tcPr>
          <w:p w14:paraId="57ABDD61" w14:textId="77777777" w:rsidR="00F316CC" w:rsidRPr="00FA5D68" w:rsidRDefault="00F316CC" w:rsidP="00610C8C">
            <w:pPr>
              <w:spacing w:line="276" w:lineRule="auto"/>
              <w:jc w:val="center"/>
              <w:rPr>
                <w:rFonts w:ascii="Arial" w:eastAsia="Calibri" w:hAnsi="Arial" w:cs="Arial"/>
                <w:b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b/>
                <w:w w:val="95"/>
                <w:sz w:val="19"/>
                <w:szCs w:val="19"/>
                <w:lang w:val="bs-Latn-BA"/>
              </w:rPr>
              <w:t>Očekivani rezultati po godinama</w:t>
            </w:r>
          </w:p>
          <w:p w14:paraId="7758AA80" w14:textId="77777777" w:rsidR="00F316CC" w:rsidRPr="00FA5D68" w:rsidRDefault="00F316CC" w:rsidP="00610C8C">
            <w:pPr>
              <w:spacing w:line="276" w:lineRule="auto"/>
              <w:jc w:val="center"/>
              <w:rPr>
                <w:rFonts w:ascii="Arial" w:eastAsia="Calibri" w:hAnsi="Arial" w:cs="Arial"/>
                <w:b/>
                <w:w w:val="95"/>
                <w:sz w:val="19"/>
                <w:szCs w:val="19"/>
                <w:lang w:val="bs-Latn-BA"/>
              </w:rPr>
            </w:pPr>
          </w:p>
        </w:tc>
      </w:tr>
      <w:tr w:rsidR="00F316CC" w:rsidRPr="00FA5D68" w14:paraId="23A00A32" w14:textId="77777777" w:rsidTr="00610C8C">
        <w:tc>
          <w:tcPr>
            <w:tcW w:w="3348" w:type="dxa"/>
            <w:gridSpan w:val="2"/>
            <w:vMerge/>
            <w:shd w:val="clear" w:color="auto" w:fill="0070C0"/>
          </w:tcPr>
          <w:p w14:paraId="3CA3BCF3" w14:textId="77777777" w:rsidR="00F316CC" w:rsidRPr="00FA5D68" w:rsidRDefault="00F316CC" w:rsidP="00610C8C">
            <w:pPr>
              <w:spacing w:line="276" w:lineRule="auto"/>
              <w:jc w:val="both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</w:p>
        </w:tc>
        <w:tc>
          <w:tcPr>
            <w:tcW w:w="2483" w:type="dxa"/>
            <w:shd w:val="clear" w:color="auto" w:fill="6DD9FF"/>
            <w:vAlign w:val="center"/>
          </w:tcPr>
          <w:p w14:paraId="7094839A" w14:textId="77777777" w:rsidR="00F316CC" w:rsidRPr="00FA5D68" w:rsidRDefault="00F316CC" w:rsidP="00610C8C">
            <w:pPr>
              <w:spacing w:line="276" w:lineRule="auto"/>
              <w:jc w:val="center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>202</w:t>
            </w:r>
            <w:r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>2</w:t>
            </w:r>
            <w:r w:rsidRPr="00FA5D68"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 xml:space="preserve"> (n)</w:t>
            </w:r>
          </w:p>
        </w:tc>
        <w:tc>
          <w:tcPr>
            <w:tcW w:w="1618" w:type="dxa"/>
            <w:gridSpan w:val="2"/>
            <w:shd w:val="clear" w:color="auto" w:fill="6DD9FF"/>
            <w:vAlign w:val="center"/>
          </w:tcPr>
          <w:p w14:paraId="0C89962C" w14:textId="77777777" w:rsidR="00F316CC" w:rsidRPr="00FA5D68" w:rsidRDefault="00F316CC" w:rsidP="00610C8C">
            <w:pPr>
              <w:spacing w:line="276" w:lineRule="auto"/>
              <w:jc w:val="center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>2022 (n+1)</w:t>
            </w:r>
          </w:p>
        </w:tc>
        <w:tc>
          <w:tcPr>
            <w:tcW w:w="1618" w:type="dxa"/>
            <w:shd w:val="clear" w:color="auto" w:fill="6DD9FF"/>
            <w:vAlign w:val="center"/>
          </w:tcPr>
          <w:p w14:paraId="1552C6C4" w14:textId="77777777" w:rsidR="00F316CC" w:rsidRPr="00FA5D68" w:rsidRDefault="00F316CC" w:rsidP="00610C8C">
            <w:pPr>
              <w:spacing w:line="276" w:lineRule="auto"/>
              <w:jc w:val="center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>2023 (n+2)</w:t>
            </w:r>
          </w:p>
        </w:tc>
      </w:tr>
      <w:tr w:rsidR="00F316CC" w:rsidRPr="00FA5D68" w14:paraId="67FB8F35" w14:textId="77777777" w:rsidTr="00610C8C">
        <w:tc>
          <w:tcPr>
            <w:tcW w:w="3348" w:type="dxa"/>
            <w:gridSpan w:val="2"/>
          </w:tcPr>
          <w:p w14:paraId="4DB3F475" w14:textId="77777777" w:rsidR="00F316CC" w:rsidRPr="00FA5D68" w:rsidRDefault="00F316CC" w:rsidP="00610C8C">
            <w:pPr>
              <w:spacing w:line="276" w:lineRule="auto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>Broj riješenih predmeta ratnih zločina</w:t>
            </w:r>
          </w:p>
        </w:tc>
        <w:tc>
          <w:tcPr>
            <w:tcW w:w="2483" w:type="dxa"/>
            <w:vAlign w:val="center"/>
          </w:tcPr>
          <w:p w14:paraId="0BB6139C" w14:textId="77777777" w:rsidR="00F316CC" w:rsidRPr="00FA5D68" w:rsidRDefault="00F316CC" w:rsidP="00610C8C">
            <w:pPr>
              <w:spacing w:line="276" w:lineRule="auto"/>
              <w:jc w:val="center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>0</w:t>
            </w:r>
          </w:p>
        </w:tc>
        <w:tc>
          <w:tcPr>
            <w:tcW w:w="1618" w:type="dxa"/>
            <w:gridSpan w:val="2"/>
            <w:vAlign w:val="center"/>
          </w:tcPr>
          <w:p w14:paraId="631AF8C0" w14:textId="77777777" w:rsidR="00F316CC" w:rsidRPr="00FA5D68" w:rsidRDefault="00F316CC" w:rsidP="00610C8C">
            <w:pPr>
              <w:spacing w:line="276" w:lineRule="auto"/>
              <w:jc w:val="center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>1</w:t>
            </w:r>
          </w:p>
        </w:tc>
        <w:tc>
          <w:tcPr>
            <w:tcW w:w="1618" w:type="dxa"/>
            <w:vAlign w:val="center"/>
          </w:tcPr>
          <w:p w14:paraId="1CC5B69E" w14:textId="77777777" w:rsidR="00F316CC" w:rsidRPr="00FA5D68" w:rsidRDefault="00F316CC" w:rsidP="00610C8C">
            <w:pPr>
              <w:spacing w:line="276" w:lineRule="auto"/>
              <w:jc w:val="center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>1</w:t>
            </w:r>
          </w:p>
        </w:tc>
      </w:tr>
      <w:tr w:rsidR="00F316CC" w:rsidRPr="00FA5D68" w14:paraId="64840DCA" w14:textId="77777777" w:rsidTr="00610C8C">
        <w:tc>
          <w:tcPr>
            <w:tcW w:w="1296" w:type="dxa"/>
            <w:shd w:val="clear" w:color="auto" w:fill="65BDFF"/>
          </w:tcPr>
          <w:p w14:paraId="38B1CCDB" w14:textId="77777777" w:rsidR="00F316CC" w:rsidRPr="00FA5D68" w:rsidRDefault="00F316CC" w:rsidP="00610C8C">
            <w:pPr>
              <w:spacing w:line="276" w:lineRule="auto"/>
              <w:jc w:val="center"/>
              <w:rPr>
                <w:rFonts w:ascii="Arial" w:eastAsia="Calibri" w:hAnsi="Arial" w:cs="Arial"/>
                <w:b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b/>
                <w:w w:val="95"/>
                <w:sz w:val="19"/>
                <w:szCs w:val="19"/>
                <w:lang w:val="bs-Latn-BA"/>
              </w:rPr>
              <w:t>Redni broj</w:t>
            </w:r>
          </w:p>
        </w:tc>
        <w:tc>
          <w:tcPr>
            <w:tcW w:w="2052" w:type="dxa"/>
            <w:shd w:val="clear" w:color="auto" w:fill="65BDFF"/>
          </w:tcPr>
          <w:p w14:paraId="180CB6EB" w14:textId="77777777" w:rsidR="00F316CC" w:rsidRPr="00FA5D68" w:rsidRDefault="00F316CC" w:rsidP="00610C8C">
            <w:pPr>
              <w:spacing w:line="276" w:lineRule="auto"/>
              <w:jc w:val="center"/>
              <w:rPr>
                <w:rFonts w:ascii="Arial" w:eastAsia="Calibri" w:hAnsi="Arial" w:cs="Arial"/>
                <w:b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b/>
                <w:w w:val="95"/>
                <w:sz w:val="19"/>
                <w:szCs w:val="19"/>
                <w:lang w:val="bs-Latn-BA"/>
              </w:rPr>
              <w:t>Naziv aktivnosti za 2020. godinu</w:t>
            </w:r>
          </w:p>
        </w:tc>
        <w:tc>
          <w:tcPr>
            <w:tcW w:w="2893" w:type="dxa"/>
            <w:gridSpan w:val="2"/>
            <w:shd w:val="clear" w:color="auto" w:fill="65BDFF"/>
          </w:tcPr>
          <w:p w14:paraId="3AD2022E" w14:textId="77777777" w:rsidR="00F316CC" w:rsidRPr="00FA5D68" w:rsidRDefault="00F316CC" w:rsidP="00610C8C">
            <w:pPr>
              <w:spacing w:line="276" w:lineRule="auto"/>
              <w:jc w:val="center"/>
              <w:rPr>
                <w:rFonts w:ascii="Arial" w:eastAsia="Calibri" w:hAnsi="Arial" w:cs="Arial"/>
                <w:b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b/>
                <w:w w:val="95"/>
                <w:sz w:val="19"/>
                <w:szCs w:val="19"/>
                <w:lang w:val="bs-Latn-BA"/>
              </w:rPr>
              <w:t xml:space="preserve">Rok izvršenja </w:t>
            </w:r>
          </w:p>
          <w:p w14:paraId="25AA6A04" w14:textId="77777777" w:rsidR="00F316CC" w:rsidRPr="00FA5D68" w:rsidRDefault="00F316CC" w:rsidP="00610C8C">
            <w:pPr>
              <w:spacing w:line="276" w:lineRule="auto"/>
              <w:jc w:val="center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>(po kvartalima u 2021. godini)</w:t>
            </w:r>
          </w:p>
        </w:tc>
        <w:tc>
          <w:tcPr>
            <w:tcW w:w="2826" w:type="dxa"/>
            <w:gridSpan w:val="2"/>
            <w:shd w:val="clear" w:color="auto" w:fill="65BDFF"/>
          </w:tcPr>
          <w:p w14:paraId="15B1E3FD" w14:textId="77777777" w:rsidR="00F316CC" w:rsidRPr="00FA5D68" w:rsidRDefault="00F316CC" w:rsidP="00610C8C">
            <w:pPr>
              <w:spacing w:line="276" w:lineRule="auto"/>
              <w:jc w:val="center"/>
              <w:rPr>
                <w:rFonts w:ascii="Arial" w:eastAsia="Calibri" w:hAnsi="Arial" w:cs="Arial"/>
                <w:b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b/>
                <w:w w:val="95"/>
                <w:sz w:val="19"/>
                <w:szCs w:val="19"/>
                <w:lang w:val="bs-Latn-BA"/>
              </w:rPr>
              <w:t xml:space="preserve">Nosilac </w:t>
            </w:r>
            <w:r w:rsidRPr="00FA5D68"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>(najmanji organizacioni dio)</w:t>
            </w:r>
          </w:p>
        </w:tc>
      </w:tr>
      <w:tr w:rsidR="00F316CC" w:rsidRPr="00FA5D68" w14:paraId="7B4E3488" w14:textId="77777777" w:rsidTr="00610C8C">
        <w:tc>
          <w:tcPr>
            <w:tcW w:w="1296" w:type="dxa"/>
          </w:tcPr>
          <w:p w14:paraId="3911F705" w14:textId="77777777" w:rsidR="00F316CC" w:rsidRPr="00FA5D68" w:rsidRDefault="00F316CC" w:rsidP="00610C8C">
            <w:pPr>
              <w:spacing w:line="276" w:lineRule="auto"/>
              <w:jc w:val="center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</w:p>
          <w:p w14:paraId="013E3F3B" w14:textId="77777777" w:rsidR="00F316CC" w:rsidRPr="00FA5D68" w:rsidRDefault="00F316CC" w:rsidP="00610C8C">
            <w:pPr>
              <w:spacing w:line="276" w:lineRule="auto"/>
              <w:jc w:val="center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>1.</w:t>
            </w:r>
          </w:p>
        </w:tc>
        <w:tc>
          <w:tcPr>
            <w:tcW w:w="2052" w:type="dxa"/>
          </w:tcPr>
          <w:p w14:paraId="4C0C67B1" w14:textId="77777777" w:rsidR="00F316CC" w:rsidRPr="00FA5D68" w:rsidRDefault="00F316CC" w:rsidP="00610C8C">
            <w:pPr>
              <w:spacing w:line="276" w:lineRule="auto"/>
              <w:jc w:val="both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>Ravnomjerna preraspodjela predmeta RZ</w:t>
            </w:r>
          </w:p>
        </w:tc>
        <w:tc>
          <w:tcPr>
            <w:tcW w:w="2893" w:type="dxa"/>
            <w:gridSpan w:val="2"/>
            <w:vAlign w:val="center"/>
          </w:tcPr>
          <w:p w14:paraId="12F2C00E" w14:textId="77777777" w:rsidR="00F316CC" w:rsidRPr="00FA5D68" w:rsidRDefault="00F316CC" w:rsidP="00610C8C">
            <w:pPr>
              <w:spacing w:line="276" w:lineRule="auto"/>
              <w:jc w:val="center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>I</w:t>
            </w:r>
          </w:p>
        </w:tc>
        <w:tc>
          <w:tcPr>
            <w:tcW w:w="2826" w:type="dxa"/>
            <w:gridSpan w:val="2"/>
            <w:vAlign w:val="center"/>
          </w:tcPr>
          <w:p w14:paraId="05BE945C" w14:textId="77777777" w:rsidR="00F316CC" w:rsidRPr="00FA5D68" w:rsidRDefault="00F316CC" w:rsidP="00610C8C">
            <w:pPr>
              <w:spacing w:line="276" w:lineRule="auto"/>
              <w:jc w:val="center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>Predsjednik suda</w:t>
            </w:r>
          </w:p>
        </w:tc>
      </w:tr>
      <w:tr w:rsidR="00F316CC" w:rsidRPr="00FA5D68" w14:paraId="3B623906" w14:textId="77777777" w:rsidTr="00610C8C">
        <w:tc>
          <w:tcPr>
            <w:tcW w:w="1296" w:type="dxa"/>
          </w:tcPr>
          <w:p w14:paraId="02423E92" w14:textId="77777777" w:rsidR="00F316CC" w:rsidRPr="00FA5D68" w:rsidRDefault="00F316CC" w:rsidP="00610C8C">
            <w:pPr>
              <w:widowControl w:val="0"/>
              <w:autoSpaceDE w:val="0"/>
              <w:autoSpaceDN w:val="0"/>
              <w:spacing w:before="101" w:line="276" w:lineRule="auto"/>
              <w:ind w:left="1080"/>
              <w:jc w:val="both"/>
              <w:rPr>
                <w:rFonts w:ascii="Arial" w:eastAsia="Trebuchet MS" w:hAnsi="Arial" w:cs="Arial"/>
                <w:w w:val="95"/>
                <w:sz w:val="19"/>
                <w:szCs w:val="19"/>
                <w:lang w:val="bs-Latn-BA"/>
              </w:rPr>
            </w:pPr>
          </w:p>
          <w:p w14:paraId="42670F93" w14:textId="77777777" w:rsidR="00F316CC" w:rsidRPr="00FA5D68" w:rsidRDefault="00F316CC" w:rsidP="00610C8C">
            <w:pPr>
              <w:jc w:val="center"/>
              <w:rPr>
                <w:rFonts w:ascii="Arial" w:eastAsia="Trebuchet MS" w:hAnsi="Arial" w:cs="Arial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Trebuchet MS" w:hAnsi="Arial" w:cs="Arial"/>
                <w:sz w:val="19"/>
                <w:szCs w:val="19"/>
                <w:lang w:val="bs-Latn-BA"/>
              </w:rPr>
              <w:t>2.</w:t>
            </w:r>
          </w:p>
        </w:tc>
        <w:tc>
          <w:tcPr>
            <w:tcW w:w="2052" w:type="dxa"/>
          </w:tcPr>
          <w:p w14:paraId="06CD5E83" w14:textId="77777777" w:rsidR="00F316CC" w:rsidRPr="00FA5D68" w:rsidRDefault="00F316CC" w:rsidP="00610C8C">
            <w:pPr>
              <w:spacing w:line="276" w:lineRule="auto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>Izrada Akcionog plana rješavanja predmeta RZ</w:t>
            </w:r>
          </w:p>
        </w:tc>
        <w:tc>
          <w:tcPr>
            <w:tcW w:w="2893" w:type="dxa"/>
            <w:gridSpan w:val="2"/>
            <w:vAlign w:val="center"/>
          </w:tcPr>
          <w:p w14:paraId="0FAF857C" w14:textId="77777777" w:rsidR="00F316CC" w:rsidRPr="00FA5D68" w:rsidRDefault="00F316CC" w:rsidP="00610C8C">
            <w:pPr>
              <w:spacing w:line="276" w:lineRule="auto"/>
              <w:jc w:val="center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>IV</w:t>
            </w:r>
          </w:p>
        </w:tc>
        <w:tc>
          <w:tcPr>
            <w:tcW w:w="2826" w:type="dxa"/>
            <w:gridSpan w:val="2"/>
            <w:vAlign w:val="center"/>
          </w:tcPr>
          <w:p w14:paraId="5BA09ADF" w14:textId="77777777" w:rsidR="00F316CC" w:rsidRPr="00FA5D68" w:rsidRDefault="00F316CC" w:rsidP="00610C8C">
            <w:pPr>
              <w:spacing w:line="276" w:lineRule="auto"/>
              <w:jc w:val="center"/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</w:pPr>
            <w:r w:rsidRPr="00FA5D68">
              <w:rPr>
                <w:rFonts w:ascii="Arial" w:eastAsia="Calibri" w:hAnsi="Arial" w:cs="Arial"/>
                <w:w w:val="95"/>
                <w:sz w:val="19"/>
                <w:szCs w:val="19"/>
                <w:lang w:val="bs-Latn-BA"/>
              </w:rPr>
              <w:t>Predsjednik suda</w:t>
            </w:r>
          </w:p>
        </w:tc>
      </w:tr>
    </w:tbl>
    <w:p w14:paraId="7292885E" w14:textId="77777777" w:rsidR="00E830DE" w:rsidRDefault="00E830DE" w:rsidP="00E830DE">
      <w:pPr>
        <w:jc w:val="both"/>
        <w:rPr>
          <w:rFonts w:eastAsia="Calibri"/>
        </w:rPr>
      </w:pPr>
      <w:bookmarkStart w:id="100" w:name="_Toc29479787"/>
      <w:bookmarkStart w:id="101" w:name="_Toc39666949"/>
      <w:bookmarkStart w:id="102" w:name="_Toc91766457"/>
    </w:p>
    <w:p w14:paraId="665C6C51" w14:textId="77777777" w:rsidR="0096075B" w:rsidRDefault="0096075B" w:rsidP="00E830DE">
      <w:pPr>
        <w:keepNext/>
        <w:keepLines/>
        <w:tabs>
          <w:tab w:val="left" w:pos="426"/>
        </w:tabs>
        <w:spacing w:before="240"/>
        <w:ind w:left="0"/>
        <w:outlineLvl w:val="0"/>
        <w:rPr>
          <w:rFonts w:ascii="Arial" w:eastAsia="Times New Roman" w:hAnsi="Arial" w:cs="Arial"/>
          <w:b/>
          <w:bCs/>
          <w:color w:val="2E74B5" w:themeColor="accent1" w:themeShade="BF"/>
          <w:w w:val="95"/>
          <w:sz w:val="28"/>
          <w:szCs w:val="28"/>
          <w:lang w:val="hr-HR"/>
        </w:rPr>
      </w:pPr>
    </w:p>
    <w:p w14:paraId="7D2B3399" w14:textId="510284CB" w:rsidR="00E830DE" w:rsidRPr="00E830DE" w:rsidRDefault="00E830DE" w:rsidP="00E830DE">
      <w:pPr>
        <w:keepNext/>
        <w:keepLines/>
        <w:tabs>
          <w:tab w:val="left" w:pos="426"/>
        </w:tabs>
        <w:spacing w:before="240"/>
        <w:ind w:left="0"/>
        <w:outlineLvl w:val="0"/>
        <w:rPr>
          <w:rFonts w:ascii="Arial" w:eastAsia="Times New Roman" w:hAnsi="Arial" w:cs="Arial"/>
          <w:b/>
          <w:bCs/>
          <w:color w:val="2E74B5" w:themeColor="accent1" w:themeShade="BF"/>
          <w:w w:val="95"/>
          <w:sz w:val="28"/>
          <w:szCs w:val="28"/>
          <w:lang w:val="hr-HR"/>
        </w:rPr>
      </w:pPr>
      <w:r w:rsidRPr="00E830DE">
        <w:rPr>
          <w:rFonts w:ascii="Arial" w:eastAsia="Times New Roman" w:hAnsi="Arial" w:cs="Arial"/>
          <w:b/>
          <w:bCs/>
          <w:color w:val="2E74B5" w:themeColor="accent1" w:themeShade="BF"/>
          <w:w w:val="95"/>
          <w:sz w:val="28"/>
          <w:szCs w:val="28"/>
          <w:lang w:val="hr-HR"/>
        </w:rPr>
        <w:t>C</w:t>
      </w:r>
      <w:r w:rsidR="0096075B">
        <w:rPr>
          <w:rFonts w:ascii="Arial" w:eastAsia="Times New Roman" w:hAnsi="Arial" w:cs="Arial"/>
          <w:b/>
          <w:bCs/>
          <w:color w:val="2E74B5" w:themeColor="accent1" w:themeShade="BF"/>
          <w:w w:val="95"/>
          <w:sz w:val="28"/>
          <w:szCs w:val="28"/>
          <w:lang w:val="hr-HR"/>
        </w:rPr>
        <w:t xml:space="preserve">. </w:t>
      </w:r>
      <w:r w:rsidRPr="00E830DE">
        <w:rPr>
          <w:rFonts w:ascii="Arial" w:eastAsia="Times New Roman" w:hAnsi="Arial" w:cs="Arial"/>
          <w:b/>
          <w:bCs/>
          <w:color w:val="2E74B5" w:themeColor="accent1" w:themeShade="BF"/>
          <w:w w:val="95"/>
          <w:sz w:val="28"/>
          <w:szCs w:val="28"/>
          <w:lang w:val="hr-HR"/>
        </w:rPr>
        <w:t>Godišnji plan rješavanja sudskih predmeta</w:t>
      </w:r>
    </w:p>
    <w:bookmarkEnd w:id="100"/>
    <w:bookmarkEnd w:id="101"/>
    <w:bookmarkEnd w:id="102"/>
    <w:p w14:paraId="02405577" w14:textId="0F78D2BF" w:rsidR="00850FF6" w:rsidRPr="009701D8" w:rsidRDefault="00850FF6" w:rsidP="009701D8">
      <w:pPr>
        <w:spacing w:before="40" w:line="276" w:lineRule="auto"/>
        <w:ind w:left="0"/>
        <w:jc w:val="both"/>
        <w:rPr>
          <w:rFonts w:ascii="Arial" w:hAnsi="Arial" w:cs="Arial"/>
          <w:w w:val="95"/>
          <w:sz w:val="24"/>
          <w:szCs w:val="24"/>
          <w:lang w:val="hr-HR"/>
        </w:rPr>
      </w:pPr>
    </w:p>
    <w:p w14:paraId="49D470CC" w14:textId="5E4326A5" w:rsidR="00610C8C" w:rsidRDefault="00610C8C" w:rsidP="009701D8">
      <w:pPr>
        <w:spacing w:before="40" w:line="276" w:lineRule="auto"/>
        <w:ind w:left="0"/>
        <w:jc w:val="both"/>
        <w:rPr>
          <w:rFonts w:ascii="Arial" w:eastAsia="Calibri" w:hAnsi="Arial" w:cs="Arial"/>
          <w:w w:val="95"/>
          <w:sz w:val="24"/>
          <w:szCs w:val="24"/>
          <w:lang w:val="hr-HR"/>
        </w:rPr>
      </w:pPr>
      <w:r>
        <w:rPr>
          <w:rFonts w:ascii="Arial" w:eastAsia="Calibri" w:hAnsi="Arial" w:cs="Arial"/>
          <w:w w:val="95"/>
          <w:sz w:val="24"/>
          <w:szCs w:val="24"/>
          <w:lang w:val="hr-HR"/>
        </w:rPr>
        <w:tab/>
      </w:r>
      <w:r w:rsidR="00850FF6" w:rsidRPr="009701D8">
        <w:rPr>
          <w:rFonts w:ascii="Arial" w:eastAsia="Calibri" w:hAnsi="Arial" w:cs="Arial"/>
          <w:w w:val="95"/>
          <w:sz w:val="24"/>
          <w:szCs w:val="24"/>
          <w:lang w:val="hr-HR"/>
        </w:rPr>
        <w:t xml:space="preserve">Plan rješavanja predmeta u sudovima se izrađuje u skladu s važećim </w:t>
      </w:r>
      <w:r w:rsidR="00C80EA6">
        <w:rPr>
          <w:rFonts w:ascii="Arial" w:eastAsia="Calibri" w:hAnsi="Arial" w:cs="Arial"/>
          <w:w w:val="95"/>
          <w:sz w:val="24"/>
          <w:szCs w:val="24"/>
          <w:lang w:val="hr-HR"/>
        </w:rPr>
        <w:t>Uputstvom</w:t>
      </w:r>
      <w:r w:rsidR="00850FF6" w:rsidRPr="009701D8">
        <w:rPr>
          <w:rFonts w:ascii="Arial" w:eastAsia="Calibri" w:hAnsi="Arial" w:cs="Arial"/>
          <w:w w:val="95"/>
          <w:sz w:val="24"/>
          <w:szCs w:val="24"/>
          <w:lang w:val="hr-HR"/>
        </w:rPr>
        <w:t xml:space="preserve"> za </w:t>
      </w:r>
      <w:r w:rsidR="00053C22">
        <w:rPr>
          <w:rFonts w:ascii="Arial" w:eastAsia="Calibri" w:hAnsi="Arial" w:cs="Arial"/>
          <w:w w:val="95"/>
          <w:sz w:val="24"/>
          <w:szCs w:val="24"/>
          <w:lang w:val="hr-HR"/>
        </w:rPr>
        <w:t xml:space="preserve">  </w:t>
      </w:r>
      <w:r w:rsidR="00850FF6" w:rsidRPr="009701D8">
        <w:rPr>
          <w:rFonts w:ascii="Arial" w:eastAsia="Calibri" w:hAnsi="Arial" w:cs="Arial"/>
          <w:w w:val="95"/>
          <w:sz w:val="24"/>
          <w:szCs w:val="24"/>
          <w:lang w:val="hr-HR"/>
        </w:rPr>
        <w:t>izradu planova rješavanja predmeta usvojenog od strane VSTV-a.</w:t>
      </w:r>
    </w:p>
    <w:p w14:paraId="6EC7F499" w14:textId="77777777" w:rsidR="00862414" w:rsidRDefault="00862414" w:rsidP="00610C8C">
      <w:pPr>
        <w:pStyle w:val="Heading1"/>
      </w:pPr>
      <w:bookmarkStart w:id="103" w:name="_Toc91766458"/>
    </w:p>
    <w:p w14:paraId="776C44BF" w14:textId="382E999D" w:rsidR="00610C8C" w:rsidRDefault="00610C8C" w:rsidP="00610C8C">
      <w:pPr>
        <w:pStyle w:val="Heading1"/>
      </w:pPr>
      <w:r>
        <w:t>D. Ostale informacije</w:t>
      </w:r>
      <w:bookmarkEnd w:id="103"/>
      <w:r>
        <w:t xml:space="preserve"> </w:t>
      </w:r>
    </w:p>
    <w:p w14:paraId="512E6DD8" w14:textId="77777777" w:rsidR="00610C8C" w:rsidRDefault="00610C8C" w:rsidP="009701D8">
      <w:pPr>
        <w:spacing w:before="40" w:line="276" w:lineRule="auto"/>
        <w:ind w:left="0"/>
        <w:jc w:val="both"/>
        <w:rPr>
          <w:rFonts w:ascii="Arial" w:eastAsia="Calibri" w:hAnsi="Arial" w:cs="Arial"/>
          <w:w w:val="95"/>
          <w:sz w:val="24"/>
          <w:szCs w:val="24"/>
          <w:lang w:val="hr-HR"/>
        </w:rPr>
      </w:pPr>
    </w:p>
    <w:p w14:paraId="15109C98" w14:textId="77777777" w:rsidR="00862414" w:rsidRDefault="00862414" w:rsidP="009701D8">
      <w:pPr>
        <w:spacing w:before="40" w:line="276" w:lineRule="auto"/>
        <w:ind w:left="0"/>
        <w:jc w:val="both"/>
        <w:rPr>
          <w:rFonts w:ascii="Arial" w:eastAsia="Calibri" w:hAnsi="Arial" w:cs="Arial"/>
          <w:w w:val="95"/>
          <w:sz w:val="24"/>
          <w:szCs w:val="24"/>
          <w:lang w:val="hr-HR"/>
        </w:rPr>
      </w:pPr>
      <w:r>
        <w:rPr>
          <w:rFonts w:ascii="Arial" w:eastAsia="Calibri" w:hAnsi="Arial" w:cs="Arial"/>
          <w:w w:val="95"/>
          <w:sz w:val="24"/>
          <w:szCs w:val="24"/>
          <w:lang w:val="hr-HR"/>
        </w:rPr>
        <w:tab/>
      </w:r>
      <w:r w:rsidR="00610C8C">
        <w:rPr>
          <w:rFonts w:ascii="Arial" w:eastAsia="Calibri" w:hAnsi="Arial" w:cs="Arial"/>
          <w:w w:val="95"/>
          <w:sz w:val="24"/>
          <w:szCs w:val="24"/>
          <w:lang w:val="hr-HR"/>
        </w:rPr>
        <w:t xml:space="preserve">Pravilnikom o unutrašnjoj organizaciji suda ustanovljene </w:t>
      </w:r>
      <w:r>
        <w:rPr>
          <w:rFonts w:ascii="Arial" w:eastAsia="Calibri" w:hAnsi="Arial" w:cs="Arial"/>
          <w:w w:val="95"/>
          <w:sz w:val="24"/>
          <w:szCs w:val="24"/>
          <w:lang w:val="hr-HR"/>
        </w:rPr>
        <w:t>su dvije organizacione jedinice</w:t>
      </w:r>
      <w:r w:rsidR="00610C8C">
        <w:rPr>
          <w:rFonts w:ascii="Arial" w:eastAsia="Calibri" w:hAnsi="Arial" w:cs="Arial"/>
          <w:w w:val="95"/>
          <w:sz w:val="24"/>
          <w:szCs w:val="24"/>
          <w:lang w:val="hr-HR"/>
        </w:rPr>
        <w:t>: organizaciona jedinica sudija koju čine četvoro sudija od kojih je jedan predsjednik suda i organizaciona jedinica dopunskih poslova osnovne djelatnosti i poslova pomoćne djelatnosti koja prema sistematizaciji radnih mjesta ima ukupno deset namještenika od kojih tri radna mjesta nisu popunjena.</w:t>
      </w:r>
    </w:p>
    <w:p w14:paraId="791B5A6B" w14:textId="409038D7" w:rsidR="00850FF6" w:rsidRDefault="00862414" w:rsidP="009701D8">
      <w:pPr>
        <w:spacing w:before="40" w:line="276" w:lineRule="auto"/>
        <w:ind w:left="0"/>
        <w:jc w:val="both"/>
        <w:rPr>
          <w:rFonts w:ascii="Arial" w:eastAsia="Calibri" w:hAnsi="Arial" w:cs="Arial"/>
          <w:w w:val="95"/>
          <w:sz w:val="24"/>
          <w:szCs w:val="24"/>
          <w:lang w:val="hr-HR"/>
        </w:rPr>
      </w:pPr>
      <w:r>
        <w:rPr>
          <w:rFonts w:ascii="Arial" w:eastAsia="Calibri" w:hAnsi="Arial" w:cs="Arial"/>
          <w:w w:val="95"/>
          <w:sz w:val="24"/>
          <w:szCs w:val="24"/>
          <w:lang w:val="hr-HR"/>
        </w:rPr>
        <w:tab/>
      </w:r>
      <w:r w:rsidR="00610C8C">
        <w:rPr>
          <w:rFonts w:ascii="Arial" w:eastAsia="Calibri" w:hAnsi="Arial" w:cs="Arial"/>
          <w:w w:val="95"/>
          <w:sz w:val="24"/>
          <w:szCs w:val="24"/>
          <w:lang w:val="hr-HR"/>
        </w:rPr>
        <w:t xml:space="preserve"> Sud nema sekretara suda.</w:t>
      </w:r>
    </w:p>
    <w:p w14:paraId="724DE2B1" w14:textId="5E4860E6" w:rsidR="00610C8C" w:rsidRPr="009701D8" w:rsidRDefault="00862414" w:rsidP="009701D8">
      <w:pPr>
        <w:spacing w:before="40" w:line="276" w:lineRule="auto"/>
        <w:ind w:left="0"/>
        <w:jc w:val="both"/>
        <w:rPr>
          <w:rFonts w:ascii="Arial" w:eastAsia="Calibri" w:hAnsi="Arial" w:cs="Arial"/>
          <w:w w:val="95"/>
          <w:sz w:val="24"/>
          <w:szCs w:val="24"/>
          <w:lang w:val="hr-HR"/>
        </w:rPr>
      </w:pPr>
      <w:r>
        <w:rPr>
          <w:rFonts w:ascii="Arial" w:eastAsia="Calibri" w:hAnsi="Arial" w:cs="Arial"/>
          <w:w w:val="95"/>
          <w:sz w:val="24"/>
          <w:szCs w:val="24"/>
          <w:lang w:val="hr-HR"/>
        </w:rPr>
        <w:tab/>
        <w:t xml:space="preserve">Kantonalni sud </w:t>
      </w:r>
      <w:r w:rsidR="00610C8C">
        <w:rPr>
          <w:rFonts w:ascii="Arial" w:eastAsia="Calibri" w:hAnsi="Arial" w:cs="Arial"/>
          <w:w w:val="95"/>
          <w:sz w:val="24"/>
          <w:szCs w:val="24"/>
          <w:lang w:val="hr-HR"/>
        </w:rPr>
        <w:t>u Goraždu finansira se iz Budžeta BPK Goražde. Sud je sačinio prijedlog Budžeta za 2022. godinu u skladu sa Smjernicama VSTV BiH na koji je dobio suglasnost VSTV-a ali isti nije usvojen u predloženom iznosu. Najvećim dijelom izmijenjen je u stavci - Nabavka osnovnih sre</w:t>
      </w:r>
      <w:r>
        <w:rPr>
          <w:rFonts w:ascii="Arial" w:eastAsia="Calibri" w:hAnsi="Arial" w:cs="Arial"/>
          <w:w w:val="95"/>
          <w:sz w:val="24"/>
          <w:szCs w:val="24"/>
          <w:lang w:val="hr-HR"/>
        </w:rPr>
        <w:t>dstava. Sve sudije i većina zap</w:t>
      </w:r>
      <w:r w:rsidR="00610C8C">
        <w:rPr>
          <w:rFonts w:ascii="Arial" w:eastAsia="Calibri" w:hAnsi="Arial" w:cs="Arial"/>
          <w:w w:val="95"/>
          <w:sz w:val="24"/>
          <w:szCs w:val="24"/>
          <w:lang w:val="hr-HR"/>
        </w:rPr>
        <w:t>oslenika nisu bili odsutni u dužem vremenskom periodu tako da su svoje poslove blagovremeno i efikasno obavili. Efikasnost suda se mjeri brojem riješenih predmet</w:t>
      </w:r>
      <w:r>
        <w:rPr>
          <w:rFonts w:ascii="Arial" w:eastAsia="Calibri" w:hAnsi="Arial" w:cs="Arial"/>
          <w:w w:val="95"/>
          <w:sz w:val="24"/>
          <w:szCs w:val="24"/>
          <w:lang w:val="hr-HR"/>
        </w:rPr>
        <w:t>a i kvalitetom donesenih odluka pa je sud u  2021. godini riješio sve predmete, a  plan je da se i u 2022. godini riješe svi zaprimljeni predmeti uz povećanje kvaliteta donesenih odluka.</w:t>
      </w:r>
    </w:p>
    <w:p w14:paraId="2968B0D0" w14:textId="20B7B210" w:rsidR="00850FF6" w:rsidRDefault="00850FF6" w:rsidP="009701D8">
      <w:pPr>
        <w:spacing w:before="40" w:line="276" w:lineRule="auto"/>
        <w:ind w:left="0"/>
        <w:jc w:val="both"/>
        <w:rPr>
          <w:rFonts w:ascii="Arial" w:hAnsi="Arial" w:cs="Arial"/>
          <w:w w:val="95"/>
          <w:sz w:val="24"/>
          <w:szCs w:val="24"/>
          <w:lang w:val="hr-HR"/>
        </w:rPr>
      </w:pPr>
    </w:p>
    <w:p w14:paraId="48DD726A" w14:textId="1724B6C3" w:rsidR="00C850D9" w:rsidRDefault="00C850D9" w:rsidP="00A05165">
      <w:pPr>
        <w:spacing w:before="40" w:line="276" w:lineRule="auto"/>
        <w:ind w:left="0"/>
        <w:jc w:val="both"/>
        <w:rPr>
          <w:rFonts w:ascii="Arial" w:hAnsi="Arial" w:cs="Arial"/>
          <w:w w:val="95"/>
          <w:sz w:val="14"/>
          <w:szCs w:val="14"/>
          <w:lang w:val="hr-HR"/>
        </w:rPr>
      </w:pPr>
    </w:p>
    <w:p w14:paraId="047D1C8D" w14:textId="01AFB14C" w:rsidR="00CB1E10" w:rsidRPr="00CB1E10" w:rsidRDefault="00CB1E10" w:rsidP="00CB1E10">
      <w:pPr>
        <w:rPr>
          <w:lang w:val="hr-HR"/>
        </w:rPr>
      </w:pPr>
    </w:p>
    <w:p w14:paraId="12962085" w14:textId="06AD3D14" w:rsidR="00C3321B" w:rsidRDefault="00C3321B" w:rsidP="00C3321B">
      <w:pPr>
        <w:rPr>
          <w:lang w:val="hr-HR"/>
        </w:rPr>
      </w:pPr>
    </w:p>
    <w:p w14:paraId="3F0CDB4B" w14:textId="5012A6A6" w:rsidR="00862414" w:rsidRPr="00A52F51" w:rsidRDefault="00A52F51" w:rsidP="00862414">
      <w:pPr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</w:p>
    <w:p w14:paraId="420E7C81" w14:textId="77777777" w:rsidR="00914207" w:rsidRDefault="00914207" w:rsidP="00914207">
      <w:pPr>
        <w:ind w:left="0"/>
        <w:jc w:val="both"/>
        <w:rPr>
          <w:rFonts w:ascii="Arial" w:hAnsi="Arial" w:cs="Arial"/>
          <w:sz w:val="24"/>
          <w:szCs w:val="24"/>
        </w:rPr>
      </w:pPr>
    </w:p>
    <w:p w14:paraId="039533DE" w14:textId="6DCF17F2" w:rsidR="009A011D" w:rsidRPr="00914207" w:rsidRDefault="009A011D" w:rsidP="00914207">
      <w:pPr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6841F38" w14:textId="77777777" w:rsidR="009A011D" w:rsidRPr="005D4799" w:rsidRDefault="009A011D" w:rsidP="00A05165">
      <w:pPr>
        <w:spacing w:before="40" w:line="276" w:lineRule="auto"/>
        <w:ind w:left="0"/>
        <w:jc w:val="both"/>
        <w:rPr>
          <w:rFonts w:ascii="Arial" w:eastAsia="Calibri" w:hAnsi="Arial" w:cs="Arial"/>
          <w:w w:val="95"/>
          <w:sz w:val="24"/>
          <w:szCs w:val="24"/>
          <w:lang w:val="hr-HR"/>
        </w:rPr>
      </w:pPr>
    </w:p>
    <w:sectPr w:rsidR="009A011D" w:rsidRPr="005D4799" w:rsidSect="003E7538">
      <w:headerReference w:type="default" r:id="rId8"/>
      <w:footerReference w:type="default" r:id="rId9"/>
      <w:pgSz w:w="11906" w:h="16838" w:code="9"/>
      <w:pgMar w:top="1417" w:right="1417" w:bottom="1417" w:left="1417" w:header="709" w:footer="425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0C132" w14:textId="77777777" w:rsidR="0043424E" w:rsidRDefault="0043424E" w:rsidP="00850FF6">
      <w:r>
        <w:separator/>
      </w:r>
    </w:p>
  </w:endnote>
  <w:endnote w:type="continuationSeparator" w:id="0">
    <w:p w14:paraId="543B32A0" w14:textId="77777777" w:rsidR="0043424E" w:rsidRDefault="0043424E" w:rsidP="00850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single" w:sz="12" w:space="0" w:color="0070C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17"/>
      <w:gridCol w:w="845"/>
    </w:tblGrid>
    <w:tr w:rsidR="00610C8C" w14:paraId="5143724E" w14:textId="77777777" w:rsidTr="003E7538">
      <w:tc>
        <w:tcPr>
          <w:tcW w:w="8217" w:type="dxa"/>
        </w:tcPr>
        <w:p w14:paraId="40C14D6E" w14:textId="77777777" w:rsidR="00610C8C" w:rsidRDefault="00610C8C" w:rsidP="003E7538">
          <w:pPr>
            <w:pStyle w:val="Footer"/>
          </w:pPr>
        </w:p>
      </w:tc>
      <w:tc>
        <w:tcPr>
          <w:tcW w:w="845" w:type="dxa"/>
          <w:shd w:val="clear" w:color="auto" w:fill="C00000"/>
          <w:vAlign w:val="center"/>
        </w:tcPr>
        <w:p w14:paraId="52C456D1" w14:textId="11E68E03" w:rsidR="00610C8C" w:rsidRPr="003E7538" w:rsidRDefault="00610C8C" w:rsidP="003E7538">
          <w:pPr>
            <w:pStyle w:val="Footer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3E7538">
            <w:rPr>
              <w:rFonts w:ascii="Arial" w:hAnsi="Arial" w:cs="Arial"/>
              <w:b/>
              <w:bCs/>
            </w:rPr>
            <w:fldChar w:fldCharType="begin"/>
          </w:r>
          <w:r w:rsidRPr="003E7538">
            <w:rPr>
              <w:rFonts w:ascii="Arial" w:hAnsi="Arial" w:cs="Arial"/>
              <w:b/>
              <w:bCs/>
              <w:sz w:val="22"/>
              <w:szCs w:val="22"/>
            </w:rPr>
            <w:instrText>PAGE   \* MERGEFORMAT</w:instrText>
          </w:r>
          <w:r w:rsidRPr="003E7538">
            <w:rPr>
              <w:rFonts w:ascii="Arial" w:hAnsi="Arial" w:cs="Arial"/>
              <w:b/>
              <w:bCs/>
            </w:rPr>
            <w:fldChar w:fldCharType="separate"/>
          </w:r>
          <w:r w:rsidR="00E112EB" w:rsidRPr="00E112EB">
            <w:rPr>
              <w:rFonts w:ascii="Arial" w:hAnsi="Arial" w:cs="Arial"/>
              <w:b/>
              <w:bCs/>
              <w:noProof/>
              <w:sz w:val="22"/>
              <w:szCs w:val="22"/>
              <w:lang w:val="hr-HR"/>
            </w:rPr>
            <w:t>3</w:t>
          </w:r>
          <w:r w:rsidRPr="003E7538">
            <w:rPr>
              <w:rFonts w:ascii="Arial" w:hAnsi="Arial" w:cs="Arial"/>
              <w:b/>
              <w:bCs/>
            </w:rPr>
            <w:fldChar w:fldCharType="end"/>
          </w:r>
        </w:p>
      </w:tc>
    </w:tr>
  </w:tbl>
  <w:p w14:paraId="7AB0D90B" w14:textId="4384996B" w:rsidR="00610C8C" w:rsidRDefault="00610C8C" w:rsidP="003E7538">
    <w:pPr>
      <w:pStyle w:val="Footer"/>
      <w:ind w:left="0"/>
    </w:pPr>
  </w:p>
  <w:p w14:paraId="139B5E86" w14:textId="77777777" w:rsidR="00610C8C" w:rsidRDefault="00610C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D38BD" w14:textId="77777777" w:rsidR="0043424E" w:rsidRDefault="0043424E" w:rsidP="00850FF6">
      <w:r>
        <w:separator/>
      </w:r>
    </w:p>
  </w:footnote>
  <w:footnote w:type="continuationSeparator" w:id="0">
    <w:p w14:paraId="388A1785" w14:textId="77777777" w:rsidR="0043424E" w:rsidRDefault="0043424E" w:rsidP="00850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9A566" w14:textId="77777777" w:rsidR="00610C8C" w:rsidRDefault="00610C8C" w:rsidP="008301DD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5106"/>
    <w:multiLevelType w:val="hybridMultilevel"/>
    <w:tmpl w:val="57C2382A"/>
    <w:lvl w:ilvl="0" w:tplc="5D46C40A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07684014"/>
    <w:multiLevelType w:val="hybridMultilevel"/>
    <w:tmpl w:val="5B4CC44A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50050"/>
    <w:multiLevelType w:val="hybridMultilevel"/>
    <w:tmpl w:val="49AE11FC"/>
    <w:lvl w:ilvl="0" w:tplc="181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8FA0E84"/>
    <w:multiLevelType w:val="hybridMultilevel"/>
    <w:tmpl w:val="2A72B57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00407A"/>
    <w:multiLevelType w:val="hybridMultilevel"/>
    <w:tmpl w:val="84228E76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CA254F0"/>
    <w:multiLevelType w:val="hybridMultilevel"/>
    <w:tmpl w:val="49E06F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4055E"/>
    <w:multiLevelType w:val="hybridMultilevel"/>
    <w:tmpl w:val="3648CD1C"/>
    <w:lvl w:ilvl="0" w:tplc="557E3AC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48" w:hanging="360"/>
      </w:pPr>
    </w:lvl>
    <w:lvl w:ilvl="2" w:tplc="101A001B" w:tentative="1">
      <w:start w:val="1"/>
      <w:numFmt w:val="lowerRoman"/>
      <w:lvlText w:val="%3."/>
      <w:lvlJc w:val="right"/>
      <w:pPr>
        <w:ind w:left="2868" w:hanging="180"/>
      </w:pPr>
    </w:lvl>
    <w:lvl w:ilvl="3" w:tplc="101A000F" w:tentative="1">
      <w:start w:val="1"/>
      <w:numFmt w:val="decimal"/>
      <w:lvlText w:val="%4."/>
      <w:lvlJc w:val="left"/>
      <w:pPr>
        <w:ind w:left="3588" w:hanging="360"/>
      </w:pPr>
    </w:lvl>
    <w:lvl w:ilvl="4" w:tplc="101A0019" w:tentative="1">
      <w:start w:val="1"/>
      <w:numFmt w:val="lowerLetter"/>
      <w:lvlText w:val="%5."/>
      <w:lvlJc w:val="left"/>
      <w:pPr>
        <w:ind w:left="4308" w:hanging="360"/>
      </w:pPr>
    </w:lvl>
    <w:lvl w:ilvl="5" w:tplc="101A001B" w:tentative="1">
      <w:start w:val="1"/>
      <w:numFmt w:val="lowerRoman"/>
      <w:lvlText w:val="%6."/>
      <w:lvlJc w:val="right"/>
      <w:pPr>
        <w:ind w:left="5028" w:hanging="180"/>
      </w:pPr>
    </w:lvl>
    <w:lvl w:ilvl="6" w:tplc="101A000F" w:tentative="1">
      <w:start w:val="1"/>
      <w:numFmt w:val="decimal"/>
      <w:lvlText w:val="%7."/>
      <w:lvlJc w:val="left"/>
      <w:pPr>
        <w:ind w:left="5748" w:hanging="360"/>
      </w:pPr>
    </w:lvl>
    <w:lvl w:ilvl="7" w:tplc="101A0019" w:tentative="1">
      <w:start w:val="1"/>
      <w:numFmt w:val="lowerLetter"/>
      <w:lvlText w:val="%8."/>
      <w:lvlJc w:val="left"/>
      <w:pPr>
        <w:ind w:left="6468" w:hanging="360"/>
      </w:pPr>
    </w:lvl>
    <w:lvl w:ilvl="8" w:tplc="10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33B7E4B"/>
    <w:multiLevelType w:val="hybridMultilevel"/>
    <w:tmpl w:val="B0682B66"/>
    <w:lvl w:ilvl="0" w:tplc="181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4F705F5"/>
    <w:multiLevelType w:val="hybridMultilevel"/>
    <w:tmpl w:val="747C552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8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F560E1"/>
    <w:multiLevelType w:val="hybridMultilevel"/>
    <w:tmpl w:val="0C44F008"/>
    <w:lvl w:ilvl="0" w:tplc="37C289EE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410B3"/>
    <w:multiLevelType w:val="hybridMultilevel"/>
    <w:tmpl w:val="BE6E0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41D61"/>
    <w:multiLevelType w:val="hybridMultilevel"/>
    <w:tmpl w:val="83F6007E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4EE71AE"/>
    <w:multiLevelType w:val="hybridMultilevel"/>
    <w:tmpl w:val="608C709E"/>
    <w:lvl w:ilvl="0" w:tplc="849CD3C0">
      <w:start w:val="1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25B71ADC"/>
    <w:multiLevelType w:val="hybridMultilevel"/>
    <w:tmpl w:val="587272E0"/>
    <w:lvl w:ilvl="0" w:tplc="8B1C1192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 w15:restartNumberingAfterBreak="0">
    <w:nsid w:val="26705D02"/>
    <w:multiLevelType w:val="hybridMultilevel"/>
    <w:tmpl w:val="2994623E"/>
    <w:lvl w:ilvl="0" w:tplc="35A8C7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6C17447"/>
    <w:multiLevelType w:val="hybridMultilevel"/>
    <w:tmpl w:val="7E5E612C"/>
    <w:lvl w:ilvl="0" w:tplc="101A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8" w:hanging="360"/>
      </w:pPr>
    </w:lvl>
    <w:lvl w:ilvl="2" w:tplc="101A001B" w:tentative="1">
      <w:start w:val="1"/>
      <w:numFmt w:val="lowerRoman"/>
      <w:lvlText w:val="%3."/>
      <w:lvlJc w:val="right"/>
      <w:pPr>
        <w:ind w:left="2508" w:hanging="180"/>
      </w:pPr>
    </w:lvl>
    <w:lvl w:ilvl="3" w:tplc="101A000F" w:tentative="1">
      <w:start w:val="1"/>
      <w:numFmt w:val="decimal"/>
      <w:lvlText w:val="%4."/>
      <w:lvlJc w:val="left"/>
      <w:pPr>
        <w:ind w:left="3228" w:hanging="360"/>
      </w:pPr>
    </w:lvl>
    <w:lvl w:ilvl="4" w:tplc="101A0019" w:tentative="1">
      <w:start w:val="1"/>
      <w:numFmt w:val="lowerLetter"/>
      <w:lvlText w:val="%5."/>
      <w:lvlJc w:val="left"/>
      <w:pPr>
        <w:ind w:left="3948" w:hanging="360"/>
      </w:pPr>
    </w:lvl>
    <w:lvl w:ilvl="5" w:tplc="101A001B" w:tentative="1">
      <w:start w:val="1"/>
      <w:numFmt w:val="lowerRoman"/>
      <w:lvlText w:val="%6."/>
      <w:lvlJc w:val="right"/>
      <w:pPr>
        <w:ind w:left="4668" w:hanging="180"/>
      </w:pPr>
    </w:lvl>
    <w:lvl w:ilvl="6" w:tplc="101A000F" w:tentative="1">
      <w:start w:val="1"/>
      <w:numFmt w:val="decimal"/>
      <w:lvlText w:val="%7."/>
      <w:lvlJc w:val="left"/>
      <w:pPr>
        <w:ind w:left="5388" w:hanging="360"/>
      </w:pPr>
    </w:lvl>
    <w:lvl w:ilvl="7" w:tplc="101A0019" w:tentative="1">
      <w:start w:val="1"/>
      <w:numFmt w:val="lowerLetter"/>
      <w:lvlText w:val="%8."/>
      <w:lvlJc w:val="left"/>
      <w:pPr>
        <w:ind w:left="6108" w:hanging="360"/>
      </w:pPr>
    </w:lvl>
    <w:lvl w:ilvl="8" w:tplc="10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77D1382"/>
    <w:multiLevelType w:val="hybridMultilevel"/>
    <w:tmpl w:val="B98EF9FA"/>
    <w:lvl w:ilvl="0" w:tplc="18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AE0C46"/>
    <w:multiLevelType w:val="hybridMultilevel"/>
    <w:tmpl w:val="F6B418D4"/>
    <w:lvl w:ilvl="0" w:tplc="181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D0F4843"/>
    <w:multiLevelType w:val="hybridMultilevel"/>
    <w:tmpl w:val="43928CAA"/>
    <w:lvl w:ilvl="0" w:tplc="2EACEC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523F46"/>
    <w:multiLevelType w:val="hybridMultilevel"/>
    <w:tmpl w:val="2ACE8632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72535CB"/>
    <w:multiLevelType w:val="hybridMultilevel"/>
    <w:tmpl w:val="E22C559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D90C3B"/>
    <w:multiLevelType w:val="hybridMultilevel"/>
    <w:tmpl w:val="5A280EF0"/>
    <w:lvl w:ilvl="0" w:tplc="18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4E73C2"/>
    <w:multiLevelType w:val="hybridMultilevel"/>
    <w:tmpl w:val="715AF16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4C032F"/>
    <w:multiLevelType w:val="hybridMultilevel"/>
    <w:tmpl w:val="C6CAD568"/>
    <w:lvl w:ilvl="0" w:tplc="181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C4E328A"/>
    <w:multiLevelType w:val="hybridMultilevel"/>
    <w:tmpl w:val="10887C4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442471"/>
    <w:multiLevelType w:val="hybridMultilevel"/>
    <w:tmpl w:val="54C804C4"/>
    <w:lvl w:ilvl="0" w:tplc="20ACDB0E">
      <w:start w:val="1"/>
      <w:numFmt w:val="decimal"/>
      <w:lvlText w:val="%1)"/>
      <w:lvlJc w:val="left"/>
      <w:pPr>
        <w:ind w:left="1095" w:hanging="735"/>
      </w:pPr>
      <w:rPr>
        <w:rFonts w:hint="default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251A05"/>
    <w:multiLevelType w:val="hybridMultilevel"/>
    <w:tmpl w:val="5B4CC44A"/>
    <w:lvl w:ilvl="0" w:tplc="101A0017">
      <w:start w:val="1"/>
      <w:numFmt w:val="lowerLetter"/>
      <w:lvlText w:val="%1)"/>
      <w:lvlJc w:val="left"/>
      <w:pPr>
        <w:ind w:left="1068" w:hanging="360"/>
      </w:pPr>
    </w:lvl>
    <w:lvl w:ilvl="1" w:tplc="101A0019" w:tentative="1">
      <w:start w:val="1"/>
      <w:numFmt w:val="lowerLetter"/>
      <w:lvlText w:val="%2."/>
      <w:lvlJc w:val="left"/>
      <w:pPr>
        <w:ind w:left="1788" w:hanging="360"/>
      </w:pPr>
    </w:lvl>
    <w:lvl w:ilvl="2" w:tplc="101A001B" w:tentative="1">
      <w:start w:val="1"/>
      <w:numFmt w:val="lowerRoman"/>
      <w:lvlText w:val="%3."/>
      <w:lvlJc w:val="right"/>
      <w:pPr>
        <w:ind w:left="2508" w:hanging="180"/>
      </w:pPr>
    </w:lvl>
    <w:lvl w:ilvl="3" w:tplc="101A000F" w:tentative="1">
      <w:start w:val="1"/>
      <w:numFmt w:val="decimal"/>
      <w:lvlText w:val="%4."/>
      <w:lvlJc w:val="left"/>
      <w:pPr>
        <w:ind w:left="3228" w:hanging="360"/>
      </w:pPr>
    </w:lvl>
    <w:lvl w:ilvl="4" w:tplc="101A0019" w:tentative="1">
      <w:start w:val="1"/>
      <w:numFmt w:val="lowerLetter"/>
      <w:lvlText w:val="%5."/>
      <w:lvlJc w:val="left"/>
      <w:pPr>
        <w:ind w:left="3948" w:hanging="360"/>
      </w:pPr>
    </w:lvl>
    <w:lvl w:ilvl="5" w:tplc="101A001B" w:tentative="1">
      <w:start w:val="1"/>
      <w:numFmt w:val="lowerRoman"/>
      <w:lvlText w:val="%6."/>
      <w:lvlJc w:val="right"/>
      <w:pPr>
        <w:ind w:left="4668" w:hanging="180"/>
      </w:pPr>
    </w:lvl>
    <w:lvl w:ilvl="6" w:tplc="101A000F" w:tentative="1">
      <w:start w:val="1"/>
      <w:numFmt w:val="decimal"/>
      <w:lvlText w:val="%7."/>
      <w:lvlJc w:val="left"/>
      <w:pPr>
        <w:ind w:left="5388" w:hanging="360"/>
      </w:pPr>
    </w:lvl>
    <w:lvl w:ilvl="7" w:tplc="101A0019" w:tentative="1">
      <w:start w:val="1"/>
      <w:numFmt w:val="lowerLetter"/>
      <w:lvlText w:val="%8."/>
      <w:lvlJc w:val="left"/>
      <w:pPr>
        <w:ind w:left="6108" w:hanging="360"/>
      </w:pPr>
    </w:lvl>
    <w:lvl w:ilvl="8" w:tplc="10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F983609"/>
    <w:multiLevelType w:val="hybridMultilevel"/>
    <w:tmpl w:val="5B4CC44A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3D2203"/>
    <w:multiLevelType w:val="hybridMultilevel"/>
    <w:tmpl w:val="F8B60DFE"/>
    <w:lvl w:ilvl="0" w:tplc="647ED3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5E5F2FE2"/>
    <w:multiLevelType w:val="hybridMultilevel"/>
    <w:tmpl w:val="69DCA9D4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E900D24"/>
    <w:multiLevelType w:val="hybridMultilevel"/>
    <w:tmpl w:val="4F027A9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8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07462E"/>
    <w:multiLevelType w:val="hybridMultilevel"/>
    <w:tmpl w:val="2196BE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F17BFD"/>
    <w:multiLevelType w:val="hybridMultilevel"/>
    <w:tmpl w:val="DF426262"/>
    <w:lvl w:ilvl="0" w:tplc="2264D532">
      <w:numFmt w:val="bullet"/>
      <w:lvlText w:val="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18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F1F4710"/>
    <w:multiLevelType w:val="hybridMultilevel"/>
    <w:tmpl w:val="D76E11E6"/>
    <w:lvl w:ilvl="0" w:tplc="730CF804">
      <w:numFmt w:val="bullet"/>
      <w:lvlText w:val="-"/>
      <w:lvlJc w:val="left"/>
      <w:pPr>
        <w:ind w:left="1080" w:hanging="720"/>
      </w:pPr>
      <w:rPr>
        <w:rFonts w:ascii="Times New Roman" w:eastAsia="Trebuchet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286E51"/>
    <w:multiLevelType w:val="hybridMultilevel"/>
    <w:tmpl w:val="F12A8DFC"/>
    <w:lvl w:ilvl="0" w:tplc="040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75160CD9"/>
    <w:multiLevelType w:val="hybridMultilevel"/>
    <w:tmpl w:val="37008676"/>
    <w:lvl w:ilvl="0" w:tplc="181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A450AEC"/>
    <w:multiLevelType w:val="hybridMultilevel"/>
    <w:tmpl w:val="09DE0C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21547B"/>
    <w:multiLevelType w:val="hybridMultilevel"/>
    <w:tmpl w:val="068ECAD6"/>
    <w:lvl w:ilvl="0" w:tplc="788E4CD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48" w:hanging="360"/>
      </w:pPr>
    </w:lvl>
    <w:lvl w:ilvl="2" w:tplc="101A001B" w:tentative="1">
      <w:start w:val="1"/>
      <w:numFmt w:val="lowerRoman"/>
      <w:lvlText w:val="%3."/>
      <w:lvlJc w:val="right"/>
      <w:pPr>
        <w:ind w:left="2868" w:hanging="180"/>
      </w:pPr>
    </w:lvl>
    <w:lvl w:ilvl="3" w:tplc="101A000F" w:tentative="1">
      <w:start w:val="1"/>
      <w:numFmt w:val="decimal"/>
      <w:lvlText w:val="%4."/>
      <w:lvlJc w:val="left"/>
      <w:pPr>
        <w:ind w:left="3588" w:hanging="360"/>
      </w:pPr>
    </w:lvl>
    <w:lvl w:ilvl="4" w:tplc="101A0019" w:tentative="1">
      <w:start w:val="1"/>
      <w:numFmt w:val="lowerLetter"/>
      <w:lvlText w:val="%5."/>
      <w:lvlJc w:val="left"/>
      <w:pPr>
        <w:ind w:left="4308" w:hanging="360"/>
      </w:pPr>
    </w:lvl>
    <w:lvl w:ilvl="5" w:tplc="101A001B" w:tentative="1">
      <w:start w:val="1"/>
      <w:numFmt w:val="lowerRoman"/>
      <w:lvlText w:val="%6."/>
      <w:lvlJc w:val="right"/>
      <w:pPr>
        <w:ind w:left="5028" w:hanging="180"/>
      </w:pPr>
    </w:lvl>
    <w:lvl w:ilvl="6" w:tplc="101A000F" w:tentative="1">
      <w:start w:val="1"/>
      <w:numFmt w:val="decimal"/>
      <w:lvlText w:val="%7."/>
      <w:lvlJc w:val="left"/>
      <w:pPr>
        <w:ind w:left="5748" w:hanging="360"/>
      </w:pPr>
    </w:lvl>
    <w:lvl w:ilvl="7" w:tplc="101A0019" w:tentative="1">
      <w:start w:val="1"/>
      <w:numFmt w:val="lowerLetter"/>
      <w:lvlText w:val="%8."/>
      <w:lvlJc w:val="left"/>
      <w:pPr>
        <w:ind w:left="6468" w:hanging="360"/>
      </w:pPr>
    </w:lvl>
    <w:lvl w:ilvl="8" w:tplc="10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7E821410"/>
    <w:multiLevelType w:val="hybridMultilevel"/>
    <w:tmpl w:val="11D21910"/>
    <w:lvl w:ilvl="0" w:tplc="AA34F7B8">
      <w:start w:val="1"/>
      <w:numFmt w:val="bullet"/>
      <w:lvlText w:val="-"/>
      <w:lvlJc w:val="left"/>
      <w:pPr>
        <w:ind w:left="145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1"/>
  </w:num>
  <w:num w:numId="3">
    <w:abstractNumId w:val="36"/>
  </w:num>
  <w:num w:numId="4">
    <w:abstractNumId w:val="25"/>
  </w:num>
  <w:num w:numId="5">
    <w:abstractNumId w:val="16"/>
  </w:num>
  <w:num w:numId="6">
    <w:abstractNumId w:val="32"/>
  </w:num>
  <w:num w:numId="7">
    <w:abstractNumId w:val="8"/>
  </w:num>
  <w:num w:numId="8">
    <w:abstractNumId w:val="30"/>
  </w:num>
  <w:num w:numId="9">
    <w:abstractNumId w:val="10"/>
  </w:num>
  <w:num w:numId="10">
    <w:abstractNumId w:val="5"/>
  </w:num>
  <w:num w:numId="11">
    <w:abstractNumId w:val="12"/>
  </w:num>
  <w:num w:numId="12">
    <w:abstractNumId w:val="34"/>
  </w:num>
  <w:num w:numId="13">
    <w:abstractNumId w:val="3"/>
  </w:num>
  <w:num w:numId="14">
    <w:abstractNumId w:val="27"/>
  </w:num>
  <w:num w:numId="15">
    <w:abstractNumId w:val="1"/>
  </w:num>
  <w:num w:numId="16">
    <w:abstractNumId w:val="26"/>
  </w:num>
  <w:num w:numId="17">
    <w:abstractNumId w:val="15"/>
  </w:num>
  <w:num w:numId="18">
    <w:abstractNumId w:val="14"/>
  </w:num>
  <w:num w:numId="19">
    <w:abstractNumId w:val="6"/>
  </w:num>
  <w:num w:numId="20">
    <w:abstractNumId w:val="37"/>
  </w:num>
  <w:num w:numId="21">
    <w:abstractNumId w:val="9"/>
  </w:num>
  <w:num w:numId="22">
    <w:abstractNumId w:val="19"/>
  </w:num>
  <w:num w:numId="23">
    <w:abstractNumId w:val="24"/>
  </w:num>
  <w:num w:numId="24">
    <w:abstractNumId w:val="4"/>
  </w:num>
  <w:num w:numId="25">
    <w:abstractNumId w:val="22"/>
  </w:num>
  <w:num w:numId="26">
    <w:abstractNumId w:val="29"/>
  </w:num>
  <w:num w:numId="27">
    <w:abstractNumId w:val="11"/>
  </w:num>
  <w:num w:numId="28">
    <w:abstractNumId w:val="20"/>
  </w:num>
  <w:num w:numId="29">
    <w:abstractNumId w:val="2"/>
  </w:num>
  <w:num w:numId="30">
    <w:abstractNumId w:val="23"/>
  </w:num>
  <w:num w:numId="31">
    <w:abstractNumId w:val="35"/>
  </w:num>
  <w:num w:numId="32">
    <w:abstractNumId w:val="17"/>
  </w:num>
  <w:num w:numId="33">
    <w:abstractNumId w:val="7"/>
  </w:num>
  <w:num w:numId="34">
    <w:abstractNumId w:val="21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28"/>
  </w:num>
  <w:num w:numId="38">
    <w:abstractNumId w:val="13"/>
  </w:num>
  <w:num w:numId="39">
    <w:abstractNumId w:val="0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FF6"/>
    <w:rsid w:val="000004FE"/>
    <w:rsid w:val="00012D44"/>
    <w:rsid w:val="00014AFF"/>
    <w:rsid w:val="00016F7B"/>
    <w:rsid w:val="00021D8C"/>
    <w:rsid w:val="00022D96"/>
    <w:rsid w:val="00023755"/>
    <w:rsid w:val="00031AAF"/>
    <w:rsid w:val="000421DF"/>
    <w:rsid w:val="00043804"/>
    <w:rsid w:val="000455E7"/>
    <w:rsid w:val="00053C22"/>
    <w:rsid w:val="00056269"/>
    <w:rsid w:val="000639A5"/>
    <w:rsid w:val="0006547C"/>
    <w:rsid w:val="00066D4C"/>
    <w:rsid w:val="0007048D"/>
    <w:rsid w:val="000760AA"/>
    <w:rsid w:val="00081178"/>
    <w:rsid w:val="00087D0C"/>
    <w:rsid w:val="00090743"/>
    <w:rsid w:val="000A3FF8"/>
    <w:rsid w:val="000A629F"/>
    <w:rsid w:val="000B1778"/>
    <w:rsid w:val="000D00BF"/>
    <w:rsid w:val="000D642E"/>
    <w:rsid w:val="000D7707"/>
    <w:rsid w:val="000E29B0"/>
    <w:rsid w:val="000E29D5"/>
    <w:rsid w:val="000E3172"/>
    <w:rsid w:val="000E5370"/>
    <w:rsid w:val="000F0A99"/>
    <w:rsid w:val="000F3554"/>
    <w:rsid w:val="000F4A1B"/>
    <w:rsid w:val="001063D7"/>
    <w:rsid w:val="00110DE5"/>
    <w:rsid w:val="001218A9"/>
    <w:rsid w:val="00147DD8"/>
    <w:rsid w:val="00151757"/>
    <w:rsid w:val="00156608"/>
    <w:rsid w:val="0015692F"/>
    <w:rsid w:val="00160105"/>
    <w:rsid w:val="00163650"/>
    <w:rsid w:val="0016733F"/>
    <w:rsid w:val="001764A9"/>
    <w:rsid w:val="001801B2"/>
    <w:rsid w:val="00182E93"/>
    <w:rsid w:val="00195380"/>
    <w:rsid w:val="001C546B"/>
    <w:rsid w:val="001D2342"/>
    <w:rsid w:val="001D2E5C"/>
    <w:rsid w:val="001D4021"/>
    <w:rsid w:val="001D64A2"/>
    <w:rsid w:val="001D673C"/>
    <w:rsid w:val="001E1067"/>
    <w:rsid w:val="001E5A46"/>
    <w:rsid w:val="001F11F4"/>
    <w:rsid w:val="001F2A5B"/>
    <w:rsid w:val="00203808"/>
    <w:rsid w:val="00217C1D"/>
    <w:rsid w:val="00227FBB"/>
    <w:rsid w:val="00231CA6"/>
    <w:rsid w:val="0024017B"/>
    <w:rsid w:val="002416BF"/>
    <w:rsid w:val="00253576"/>
    <w:rsid w:val="00264AFA"/>
    <w:rsid w:val="0027571B"/>
    <w:rsid w:val="002763A5"/>
    <w:rsid w:val="00280883"/>
    <w:rsid w:val="00284E71"/>
    <w:rsid w:val="00294EB3"/>
    <w:rsid w:val="002961C8"/>
    <w:rsid w:val="002A271D"/>
    <w:rsid w:val="002A77F0"/>
    <w:rsid w:val="002D58E7"/>
    <w:rsid w:val="002D77B8"/>
    <w:rsid w:val="002E0B58"/>
    <w:rsid w:val="002E15CA"/>
    <w:rsid w:val="002E306B"/>
    <w:rsid w:val="002F0A05"/>
    <w:rsid w:val="002F2D2F"/>
    <w:rsid w:val="002F3047"/>
    <w:rsid w:val="002F5A8A"/>
    <w:rsid w:val="002F6428"/>
    <w:rsid w:val="003031F1"/>
    <w:rsid w:val="0031411E"/>
    <w:rsid w:val="003374C4"/>
    <w:rsid w:val="00353491"/>
    <w:rsid w:val="00357F14"/>
    <w:rsid w:val="003638CB"/>
    <w:rsid w:val="0036688D"/>
    <w:rsid w:val="00373FDC"/>
    <w:rsid w:val="0038065D"/>
    <w:rsid w:val="0038209C"/>
    <w:rsid w:val="00385CE3"/>
    <w:rsid w:val="00386A46"/>
    <w:rsid w:val="00394092"/>
    <w:rsid w:val="00397C34"/>
    <w:rsid w:val="003A3785"/>
    <w:rsid w:val="003B3C6D"/>
    <w:rsid w:val="003B68EA"/>
    <w:rsid w:val="003B7433"/>
    <w:rsid w:val="003C07A1"/>
    <w:rsid w:val="003D6F16"/>
    <w:rsid w:val="003D74E2"/>
    <w:rsid w:val="003E1108"/>
    <w:rsid w:val="003E3123"/>
    <w:rsid w:val="003E7538"/>
    <w:rsid w:val="003F0278"/>
    <w:rsid w:val="003F0DD3"/>
    <w:rsid w:val="003F19AD"/>
    <w:rsid w:val="003F1EEF"/>
    <w:rsid w:val="003F5AAE"/>
    <w:rsid w:val="0040408B"/>
    <w:rsid w:val="00416B85"/>
    <w:rsid w:val="00426190"/>
    <w:rsid w:val="0043424E"/>
    <w:rsid w:val="004378E8"/>
    <w:rsid w:val="00440B35"/>
    <w:rsid w:val="00447CE5"/>
    <w:rsid w:val="004547B6"/>
    <w:rsid w:val="00454DC1"/>
    <w:rsid w:val="00460C16"/>
    <w:rsid w:val="004714FA"/>
    <w:rsid w:val="0047510E"/>
    <w:rsid w:val="004972CC"/>
    <w:rsid w:val="004A7611"/>
    <w:rsid w:val="004B4671"/>
    <w:rsid w:val="004B624D"/>
    <w:rsid w:val="004B6F87"/>
    <w:rsid w:val="004C19FE"/>
    <w:rsid w:val="004D384D"/>
    <w:rsid w:val="004D3BA4"/>
    <w:rsid w:val="004E3B2F"/>
    <w:rsid w:val="004E4105"/>
    <w:rsid w:val="004E4469"/>
    <w:rsid w:val="004F3788"/>
    <w:rsid w:val="004F7F81"/>
    <w:rsid w:val="005226B5"/>
    <w:rsid w:val="0053565B"/>
    <w:rsid w:val="005361C0"/>
    <w:rsid w:val="00544C9F"/>
    <w:rsid w:val="00553AD6"/>
    <w:rsid w:val="0055525D"/>
    <w:rsid w:val="00561422"/>
    <w:rsid w:val="0056296C"/>
    <w:rsid w:val="00576E92"/>
    <w:rsid w:val="00583996"/>
    <w:rsid w:val="00587762"/>
    <w:rsid w:val="00593496"/>
    <w:rsid w:val="00596D52"/>
    <w:rsid w:val="005B3F3D"/>
    <w:rsid w:val="005B6056"/>
    <w:rsid w:val="005C06EF"/>
    <w:rsid w:val="005C18F4"/>
    <w:rsid w:val="005C70A1"/>
    <w:rsid w:val="005D4799"/>
    <w:rsid w:val="005D4C86"/>
    <w:rsid w:val="005E1BEA"/>
    <w:rsid w:val="005E2C2B"/>
    <w:rsid w:val="005E367A"/>
    <w:rsid w:val="005F572A"/>
    <w:rsid w:val="00604276"/>
    <w:rsid w:val="00610BF5"/>
    <w:rsid w:val="00610C8C"/>
    <w:rsid w:val="00612565"/>
    <w:rsid w:val="00613877"/>
    <w:rsid w:val="00637BB8"/>
    <w:rsid w:val="00641792"/>
    <w:rsid w:val="00646483"/>
    <w:rsid w:val="00660532"/>
    <w:rsid w:val="00670470"/>
    <w:rsid w:val="00674F15"/>
    <w:rsid w:val="00677215"/>
    <w:rsid w:val="006834DC"/>
    <w:rsid w:val="00694B7E"/>
    <w:rsid w:val="006A1FD3"/>
    <w:rsid w:val="006A32B4"/>
    <w:rsid w:val="006A3995"/>
    <w:rsid w:val="006B4B3C"/>
    <w:rsid w:val="006D007D"/>
    <w:rsid w:val="006D2791"/>
    <w:rsid w:val="006D42C1"/>
    <w:rsid w:val="006D62C6"/>
    <w:rsid w:val="006D694D"/>
    <w:rsid w:val="006D7801"/>
    <w:rsid w:val="006E51F2"/>
    <w:rsid w:val="006E5FE3"/>
    <w:rsid w:val="006F430E"/>
    <w:rsid w:val="006F4F43"/>
    <w:rsid w:val="00705492"/>
    <w:rsid w:val="00707251"/>
    <w:rsid w:val="00715348"/>
    <w:rsid w:val="00716B96"/>
    <w:rsid w:val="00724BA5"/>
    <w:rsid w:val="00734D14"/>
    <w:rsid w:val="00741047"/>
    <w:rsid w:val="00741F1F"/>
    <w:rsid w:val="0075026B"/>
    <w:rsid w:val="00753453"/>
    <w:rsid w:val="00783E7B"/>
    <w:rsid w:val="00792BE0"/>
    <w:rsid w:val="00793C17"/>
    <w:rsid w:val="00793CDD"/>
    <w:rsid w:val="00796BE6"/>
    <w:rsid w:val="007A0EF3"/>
    <w:rsid w:val="007A3705"/>
    <w:rsid w:val="007A3FFE"/>
    <w:rsid w:val="007A5997"/>
    <w:rsid w:val="007B72CF"/>
    <w:rsid w:val="007C054A"/>
    <w:rsid w:val="007C4830"/>
    <w:rsid w:val="007C7603"/>
    <w:rsid w:val="007C76A5"/>
    <w:rsid w:val="007D28EB"/>
    <w:rsid w:val="007E1946"/>
    <w:rsid w:val="007E7EDB"/>
    <w:rsid w:val="007F76DA"/>
    <w:rsid w:val="00805F21"/>
    <w:rsid w:val="00805FB6"/>
    <w:rsid w:val="008146D1"/>
    <w:rsid w:val="008149B2"/>
    <w:rsid w:val="00822AE0"/>
    <w:rsid w:val="008254BE"/>
    <w:rsid w:val="00827D6D"/>
    <w:rsid w:val="008301DD"/>
    <w:rsid w:val="00846AF5"/>
    <w:rsid w:val="00850FF6"/>
    <w:rsid w:val="00860A75"/>
    <w:rsid w:val="00862414"/>
    <w:rsid w:val="00865270"/>
    <w:rsid w:val="00865832"/>
    <w:rsid w:val="00867E76"/>
    <w:rsid w:val="00872E6B"/>
    <w:rsid w:val="00880F2A"/>
    <w:rsid w:val="00882F22"/>
    <w:rsid w:val="0089270D"/>
    <w:rsid w:val="008D0B21"/>
    <w:rsid w:val="008E4C14"/>
    <w:rsid w:val="008F40F0"/>
    <w:rsid w:val="008F6CE4"/>
    <w:rsid w:val="009123AF"/>
    <w:rsid w:val="00912C30"/>
    <w:rsid w:val="00914207"/>
    <w:rsid w:val="00931B1B"/>
    <w:rsid w:val="009336F9"/>
    <w:rsid w:val="00933B92"/>
    <w:rsid w:val="009416D8"/>
    <w:rsid w:val="00950B35"/>
    <w:rsid w:val="009536C6"/>
    <w:rsid w:val="00956B11"/>
    <w:rsid w:val="0096075B"/>
    <w:rsid w:val="00960C27"/>
    <w:rsid w:val="0096166C"/>
    <w:rsid w:val="009701D8"/>
    <w:rsid w:val="00970D68"/>
    <w:rsid w:val="009722C7"/>
    <w:rsid w:val="00987BEC"/>
    <w:rsid w:val="00991A39"/>
    <w:rsid w:val="009A011D"/>
    <w:rsid w:val="009A18AA"/>
    <w:rsid w:val="009A2AFC"/>
    <w:rsid w:val="009A51A4"/>
    <w:rsid w:val="009B262B"/>
    <w:rsid w:val="009C2ECB"/>
    <w:rsid w:val="009C6502"/>
    <w:rsid w:val="009D1366"/>
    <w:rsid w:val="009D17E7"/>
    <w:rsid w:val="009D3C79"/>
    <w:rsid w:val="009D71CB"/>
    <w:rsid w:val="009E0371"/>
    <w:rsid w:val="009E2398"/>
    <w:rsid w:val="009F19D0"/>
    <w:rsid w:val="009F24CB"/>
    <w:rsid w:val="00A03C1B"/>
    <w:rsid w:val="00A05165"/>
    <w:rsid w:val="00A070E3"/>
    <w:rsid w:val="00A10CF5"/>
    <w:rsid w:val="00A15EC6"/>
    <w:rsid w:val="00A16D41"/>
    <w:rsid w:val="00A222AE"/>
    <w:rsid w:val="00A37947"/>
    <w:rsid w:val="00A42706"/>
    <w:rsid w:val="00A46E3D"/>
    <w:rsid w:val="00A52F51"/>
    <w:rsid w:val="00A546DA"/>
    <w:rsid w:val="00A7597D"/>
    <w:rsid w:val="00A81B68"/>
    <w:rsid w:val="00A84E3C"/>
    <w:rsid w:val="00A90E77"/>
    <w:rsid w:val="00A91FBD"/>
    <w:rsid w:val="00A96BB2"/>
    <w:rsid w:val="00A97E0C"/>
    <w:rsid w:val="00AA6475"/>
    <w:rsid w:val="00AA716E"/>
    <w:rsid w:val="00AB48BA"/>
    <w:rsid w:val="00AB5984"/>
    <w:rsid w:val="00AC5315"/>
    <w:rsid w:val="00AD0011"/>
    <w:rsid w:val="00AD0255"/>
    <w:rsid w:val="00AD0387"/>
    <w:rsid w:val="00AD2596"/>
    <w:rsid w:val="00AE547C"/>
    <w:rsid w:val="00AE5A66"/>
    <w:rsid w:val="00AF64F3"/>
    <w:rsid w:val="00B05F07"/>
    <w:rsid w:val="00B12259"/>
    <w:rsid w:val="00B20D3F"/>
    <w:rsid w:val="00B226E9"/>
    <w:rsid w:val="00B22B24"/>
    <w:rsid w:val="00B23D82"/>
    <w:rsid w:val="00B27EA0"/>
    <w:rsid w:val="00B36560"/>
    <w:rsid w:val="00B36A86"/>
    <w:rsid w:val="00B42DC1"/>
    <w:rsid w:val="00B47495"/>
    <w:rsid w:val="00B520F0"/>
    <w:rsid w:val="00B61CB1"/>
    <w:rsid w:val="00B6348E"/>
    <w:rsid w:val="00B65954"/>
    <w:rsid w:val="00B66B9A"/>
    <w:rsid w:val="00B75789"/>
    <w:rsid w:val="00B829AF"/>
    <w:rsid w:val="00B90432"/>
    <w:rsid w:val="00B954CC"/>
    <w:rsid w:val="00BA255D"/>
    <w:rsid w:val="00BA4C37"/>
    <w:rsid w:val="00BB1232"/>
    <w:rsid w:val="00BB3642"/>
    <w:rsid w:val="00BC5A41"/>
    <w:rsid w:val="00BC5F04"/>
    <w:rsid w:val="00BC6557"/>
    <w:rsid w:val="00BC69D7"/>
    <w:rsid w:val="00BE2329"/>
    <w:rsid w:val="00BE6EE1"/>
    <w:rsid w:val="00BF0E32"/>
    <w:rsid w:val="00BF3C83"/>
    <w:rsid w:val="00C01951"/>
    <w:rsid w:val="00C02F83"/>
    <w:rsid w:val="00C1372F"/>
    <w:rsid w:val="00C1750D"/>
    <w:rsid w:val="00C17DF7"/>
    <w:rsid w:val="00C22875"/>
    <w:rsid w:val="00C245F9"/>
    <w:rsid w:val="00C30FFC"/>
    <w:rsid w:val="00C31264"/>
    <w:rsid w:val="00C3321B"/>
    <w:rsid w:val="00C369EB"/>
    <w:rsid w:val="00C456C4"/>
    <w:rsid w:val="00C52760"/>
    <w:rsid w:val="00C61182"/>
    <w:rsid w:val="00C77478"/>
    <w:rsid w:val="00C80453"/>
    <w:rsid w:val="00C80EA6"/>
    <w:rsid w:val="00C850D9"/>
    <w:rsid w:val="00C97C96"/>
    <w:rsid w:val="00CA50D6"/>
    <w:rsid w:val="00CB1E10"/>
    <w:rsid w:val="00CB5607"/>
    <w:rsid w:val="00CC486D"/>
    <w:rsid w:val="00CE21AE"/>
    <w:rsid w:val="00D01B22"/>
    <w:rsid w:val="00D10625"/>
    <w:rsid w:val="00D1440E"/>
    <w:rsid w:val="00D16265"/>
    <w:rsid w:val="00D16CC6"/>
    <w:rsid w:val="00D175E8"/>
    <w:rsid w:val="00D247E2"/>
    <w:rsid w:val="00D271F5"/>
    <w:rsid w:val="00D30C71"/>
    <w:rsid w:val="00D32403"/>
    <w:rsid w:val="00D356AA"/>
    <w:rsid w:val="00D44CC2"/>
    <w:rsid w:val="00D51CE9"/>
    <w:rsid w:val="00D56587"/>
    <w:rsid w:val="00D62799"/>
    <w:rsid w:val="00D879E4"/>
    <w:rsid w:val="00DB25C0"/>
    <w:rsid w:val="00DC2D9E"/>
    <w:rsid w:val="00DC4902"/>
    <w:rsid w:val="00DC72F4"/>
    <w:rsid w:val="00DD2D03"/>
    <w:rsid w:val="00DD5CA8"/>
    <w:rsid w:val="00DE41CC"/>
    <w:rsid w:val="00DF1FBC"/>
    <w:rsid w:val="00DF3D61"/>
    <w:rsid w:val="00DF40FC"/>
    <w:rsid w:val="00DF721C"/>
    <w:rsid w:val="00E05AC6"/>
    <w:rsid w:val="00E112EB"/>
    <w:rsid w:val="00E11A01"/>
    <w:rsid w:val="00E12600"/>
    <w:rsid w:val="00E134BE"/>
    <w:rsid w:val="00E1419A"/>
    <w:rsid w:val="00E165D6"/>
    <w:rsid w:val="00E202FB"/>
    <w:rsid w:val="00E32502"/>
    <w:rsid w:val="00E3409F"/>
    <w:rsid w:val="00E434AD"/>
    <w:rsid w:val="00E5230A"/>
    <w:rsid w:val="00E53D09"/>
    <w:rsid w:val="00E603DD"/>
    <w:rsid w:val="00E65D01"/>
    <w:rsid w:val="00E7754D"/>
    <w:rsid w:val="00E80D86"/>
    <w:rsid w:val="00E830DE"/>
    <w:rsid w:val="00E837A4"/>
    <w:rsid w:val="00EC76DB"/>
    <w:rsid w:val="00ED2361"/>
    <w:rsid w:val="00ED67EE"/>
    <w:rsid w:val="00EE1870"/>
    <w:rsid w:val="00EF037D"/>
    <w:rsid w:val="00EF26BD"/>
    <w:rsid w:val="00EF336A"/>
    <w:rsid w:val="00F04805"/>
    <w:rsid w:val="00F04DD3"/>
    <w:rsid w:val="00F10A95"/>
    <w:rsid w:val="00F114C9"/>
    <w:rsid w:val="00F11BF2"/>
    <w:rsid w:val="00F143CE"/>
    <w:rsid w:val="00F17399"/>
    <w:rsid w:val="00F17AF0"/>
    <w:rsid w:val="00F201C7"/>
    <w:rsid w:val="00F26998"/>
    <w:rsid w:val="00F316CC"/>
    <w:rsid w:val="00F37C3F"/>
    <w:rsid w:val="00F41884"/>
    <w:rsid w:val="00F445C3"/>
    <w:rsid w:val="00F578C4"/>
    <w:rsid w:val="00F6014C"/>
    <w:rsid w:val="00F641D4"/>
    <w:rsid w:val="00F7202A"/>
    <w:rsid w:val="00F77148"/>
    <w:rsid w:val="00F77261"/>
    <w:rsid w:val="00F80F82"/>
    <w:rsid w:val="00F85E8F"/>
    <w:rsid w:val="00F90526"/>
    <w:rsid w:val="00F90B4B"/>
    <w:rsid w:val="00FA2310"/>
    <w:rsid w:val="00FA6DD7"/>
    <w:rsid w:val="00FB1E6B"/>
    <w:rsid w:val="00FC1980"/>
    <w:rsid w:val="00FD579F"/>
    <w:rsid w:val="00FE0909"/>
    <w:rsid w:val="00FF0F1F"/>
    <w:rsid w:val="00FF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5C7B4"/>
  <w15:chartTrackingRefBased/>
  <w15:docId w15:val="{FDD2481E-17B6-4834-A307-E9157415C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ind w:left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22AE"/>
    <w:pPr>
      <w:keepNext/>
      <w:keepLines/>
      <w:tabs>
        <w:tab w:val="left" w:pos="426"/>
      </w:tabs>
      <w:spacing w:before="240"/>
      <w:ind w:left="0"/>
      <w:outlineLvl w:val="0"/>
    </w:pPr>
    <w:rPr>
      <w:rFonts w:ascii="Arial" w:eastAsia="Times New Roman" w:hAnsi="Arial" w:cs="Arial"/>
      <w:b/>
      <w:bCs/>
      <w:color w:val="2E74B5" w:themeColor="accent1" w:themeShade="BF"/>
      <w:w w:val="95"/>
      <w:sz w:val="28"/>
      <w:szCs w:val="28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7AF0"/>
    <w:pPr>
      <w:keepNext/>
      <w:keepLines/>
      <w:tabs>
        <w:tab w:val="left" w:pos="426"/>
      </w:tabs>
      <w:spacing w:before="40"/>
      <w:ind w:left="0"/>
      <w:outlineLvl w:val="1"/>
    </w:pPr>
    <w:rPr>
      <w:rFonts w:ascii="Arial" w:eastAsia="Calibri" w:hAnsi="Arial" w:cs="Arial"/>
      <w:color w:val="2E74B5" w:themeColor="accent1" w:themeShade="BF"/>
      <w:w w:val="95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850FF6"/>
    <w:pPr>
      <w:ind w:left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50FF6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850FF6"/>
    <w:rPr>
      <w:vertAlign w:val="superscript"/>
    </w:rPr>
  </w:style>
  <w:style w:type="table" w:styleId="TableGrid">
    <w:name w:val="Table Grid"/>
    <w:basedOn w:val="TableNormal"/>
    <w:uiPriority w:val="39"/>
    <w:rsid w:val="00850FF6"/>
    <w:pPr>
      <w:ind w:left="0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0FF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222AE"/>
    <w:rPr>
      <w:rFonts w:ascii="Arial" w:eastAsia="Times New Roman" w:hAnsi="Arial" w:cs="Arial"/>
      <w:b/>
      <w:bCs/>
      <w:color w:val="2E74B5" w:themeColor="accent1" w:themeShade="BF"/>
      <w:w w:val="95"/>
      <w:sz w:val="28"/>
      <w:szCs w:val="28"/>
      <w:lang w:val="hr-HR"/>
    </w:rPr>
  </w:style>
  <w:style w:type="paragraph" w:styleId="TOCHeading">
    <w:name w:val="TOC Heading"/>
    <w:basedOn w:val="Heading1"/>
    <w:next w:val="Normal"/>
    <w:uiPriority w:val="39"/>
    <w:unhideWhenUsed/>
    <w:qFormat/>
    <w:rsid w:val="00850FF6"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850FF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50FF6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850FF6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17AF0"/>
    <w:rPr>
      <w:rFonts w:ascii="Arial" w:eastAsia="Calibri" w:hAnsi="Arial" w:cs="Arial"/>
      <w:color w:val="2E74B5" w:themeColor="accent1" w:themeShade="BF"/>
      <w:w w:val="95"/>
      <w:sz w:val="24"/>
      <w:szCs w:val="24"/>
      <w:lang w:val="hr-HR"/>
    </w:rPr>
  </w:style>
  <w:style w:type="character" w:customStyle="1" w:styleId="fontstyle01">
    <w:name w:val="fontstyle01"/>
    <w:basedOn w:val="DefaultParagraphFont"/>
    <w:rsid w:val="009D17E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9D17E7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2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2CC"/>
    <w:rPr>
      <w:rFonts w:ascii="Segoe UI" w:hAnsi="Segoe UI" w:cs="Segoe UI"/>
      <w:sz w:val="18"/>
      <w:szCs w:val="18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B36A86"/>
    <w:pPr>
      <w:tabs>
        <w:tab w:val="left" w:pos="426"/>
        <w:tab w:val="right" w:leader="dot" w:pos="9062"/>
      </w:tabs>
      <w:spacing w:after="100"/>
      <w:ind w:left="0"/>
    </w:pPr>
  </w:style>
  <w:style w:type="paragraph" w:styleId="NoSpacing">
    <w:name w:val="No Spacing"/>
    <w:uiPriority w:val="1"/>
    <w:qFormat/>
    <w:rsid w:val="007C054A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8301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1D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301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1DD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D00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0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011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0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011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7B084-C1D2-41BA-B963-89D54AC62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3423</Words>
  <Characters>19512</Characters>
  <Application>Microsoft Office Word</Application>
  <DocSecurity>0</DocSecurity>
  <Lines>162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STRATEŠKI PLAN KANTONALNOG SUDA U LIVNU</vt:lpstr>
      <vt:lpstr>STRATEŠKI PLAN KANTONALNOG SUDA U LIVNU</vt:lpstr>
    </vt:vector>
  </TitlesOfParts>
  <Company/>
  <LinksUpToDate>false</LinksUpToDate>
  <CharactersWithSpaces>22890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STRATEŠKI PLAN KANTONALNOG SUDA U LIVNU</dc:title>
  <dc:subject/>
  <dc:creator>Josip Lovrić</dc:creator>
  <cp:keywords/>
  <dc:description/>
  <cp:lastModifiedBy>Nermin Hadzimesic</cp:lastModifiedBy>
  <cp:revision>2</cp:revision>
  <cp:lastPrinted>2022-02-23T10:01:00Z</cp:lastPrinted>
  <dcterms:created xsi:type="dcterms:W3CDTF">2022-03-30T06:45:00Z</dcterms:created>
  <dcterms:modified xsi:type="dcterms:W3CDTF">2022-03-30T06:45:00Z</dcterms:modified>
</cp:coreProperties>
</file>