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>BOSNA I HERCEGOVINA</w:t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>FEDERACIJA BOSNE I HERCEGOVINE</w:t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>ŽUPANIJA ZAPADNOHERCEGOVAČKA</w:t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>ŽUPANIJSKI SUD ŠIROKI BRIJEG</w:t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 xml:space="preserve">Broj: </w:t>
      </w:r>
      <w:bookmarkStart w:id="0" w:name="__DdeLink__280_2585664429"/>
      <w:r>
        <w:rPr>
          <w:rFonts w:eastAsia="Calibri" w:cs="Times New Roman"/>
          <w:b/>
          <w:szCs w:val="24"/>
          <w:lang w:val="hr-BA"/>
        </w:rPr>
        <w:t>08 0 U 005970 20 U</w:t>
      </w:r>
      <w:bookmarkEnd w:id="0"/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  <w:t>Široki Brijeg, 12.07.2021. godine</w:t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</w:r>
    </w:p>
    <w:p>
      <w:pPr>
        <w:pStyle w:val="Normal"/>
        <w:rPr>
          <w:rFonts w:eastAsia="Calibri" w:cs="Times New Roman"/>
          <w:b/>
          <w:b/>
          <w:szCs w:val="24"/>
          <w:lang w:val="hr-BA"/>
        </w:rPr>
      </w:pPr>
      <w:r>
        <w:rPr>
          <w:rFonts w:eastAsia="Calibri" w:cs="Times New Roman"/>
          <w:b/>
          <w:szCs w:val="24"/>
          <w:lang w:val="hr-BA"/>
        </w:rPr>
      </w:r>
    </w:p>
    <w:p>
      <w:pPr>
        <w:pStyle w:val="Normal"/>
        <w:ind w:firstLine="720"/>
        <w:rPr/>
      </w:pPr>
      <w:r>
        <w:rPr>
          <w:rFonts w:eastAsia="Calibri" w:cs="Times New Roman"/>
          <w:szCs w:val="24"/>
          <w:lang w:val="hr-BA"/>
        </w:rPr>
        <w:t xml:space="preserve">Županijski sud Široki Brijeg, postupajući po sutkinji Katici Artuković kao sucu pojedincu, uz sudjelovanje Slađane Cvitanović kao zapisničarke, u upravnom sporu tužitelja Lj. J., ...., općina P., zastupan po punomoćniku Ivanu Kraljeviću, odvjetniku iz odvjetničkog društva Markotić &amp; partneri d.o.o. Mostar, i po punomoćnici, supruzi M. J., </w:t>
      </w:r>
      <w:r>
        <w:rPr>
          <w:rFonts w:eastAsia="Calibri" w:cs="Times New Roman"/>
          <w:lang w:val="hr-BA"/>
        </w:rPr>
        <w:t>protiv upravnog akta broj: UP-II-03-37-333/20 od 07.08.2020. godine, tuženog Federalnog Ministarstva za pitanja branitelja i invalida Domovinskog rata, ulica Hamdije Čemerlića broj 2/VIII, Sarajevo, u upravnoj stvari povećanja postotka vojnog invaliditeta, nakon usmene javne rasprave od dana 07.07.2021. godine, održane u prisutnosti oba punomoćnika tužitelja, donio</w:t>
      </w:r>
      <w:r>
        <w:rPr>
          <w:rFonts w:eastAsia="Calibri" w:cs="Times New Roman"/>
          <w:szCs w:val="24"/>
          <w:lang w:val="hr-BA"/>
        </w:rPr>
        <w:t xml:space="preserve"> je dana 12.07.2021. godine, </w:t>
      </w:r>
    </w:p>
    <w:p>
      <w:pPr>
        <w:pStyle w:val="Normal"/>
        <w:ind w:firstLine="720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rmal"/>
        <w:ind w:firstLine="720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rmal"/>
        <w:jc w:val="center"/>
        <w:rPr>
          <w:rFonts w:eastAsia="Calibri" w:cs="Times New Roman"/>
          <w:b/>
          <w:b/>
          <w:spacing w:val="162"/>
          <w:szCs w:val="24"/>
          <w:lang w:val="hr-BA"/>
        </w:rPr>
      </w:pPr>
      <w:r>
        <w:rPr>
          <w:rFonts w:eastAsia="Calibri" w:cs="Times New Roman"/>
          <w:b/>
          <w:spacing w:val="162"/>
          <w:szCs w:val="24"/>
          <w:lang w:val="hr-BA"/>
        </w:rPr>
        <w:t xml:space="preserve"> </w:t>
      </w:r>
      <w:r>
        <w:rPr>
          <w:rFonts w:eastAsia="Calibri" w:cs="Times New Roman"/>
          <w:b/>
          <w:spacing w:val="162"/>
          <w:szCs w:val="24"/>
          <w:lang w:val="hr-BA"/>
        </w:rPr>
        <w:t>PRESUDU</w:t>
      </w:r>
    </w:p>
    <w:p>
      <w:pPr>
        <w:pStyle w:val="Normal"/>
        <w:jc w:val="center"/>
        <w:rPr>
          <w:rFonts w:eastAsia="Calibri" w:cs="Times New Roman"/>
          <w:b/>
          <w:b/>
          <w:spacing w:val="162"/>
          <w:szCs w:val="24"/>
          <w:lang w:val="hr-BA"/>
        </w:rPr>
      </w:pPr>
      <w:r>
        <w:rPr>
          <w:rFonts w:eastAsia="Calibri" w:cs="Times New Roman"/>
          <w:b/>
          <w:spacing w:val="162"/>
          <w:szCs w:val="24"/>
          <w:lang w:val="hr-BA"/>
        </w:rPr>
      </w:r>
    </w:p>
    <w:p>
      <w:pPr>
        <w:pStyle w:val="Normal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rmal"/>
        <w:jc w:val="center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  <w:t>Tužba SE ODBIJA.</w:t>
      </w:r>
    </w:p>
    <w:p>
      <w:pPr>
        <w:pStyle w:val="Normal"/>
        <w:jc w:val="center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rmal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rmal"/>
        <w:rPr>
          <w:rFonts w:eastAsia="Calibri" w:cs="Times New Roman"/>
          <w:b/>
          <w:b/>
          <w:spacing w:val="162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  <w:tab/>
        <w:tab/>
        <w:tab/>
        <w:tab/>
        <w:t xml:space="preserve">  </w:t>
      </w:r>
      <w:r>
        <w:rPr>
          <w:rFonts w:eastAsia="Calibri" w:cs="Times New Roman"/>
          <w:b/>
          <w:spacing w:val="162"/>
          <w:szCs w:val="24"/>
          <w:lang w:val="hr-BA"/>
        </w:rPr>
        <w:t>Obrazloženje</w:t>
      </w:r>
    </w:p>
    <w:p>
      <w:pPr>
        <w:pStyle w:val="Normal"/>
        <w:rPr>
          <w:rFonts w:eastAsia="Calibri" w:cs="Times New Roman"/>
          <w:b/>
          <w:b/>
          <w:spacing w:val="162"/>
          <w:szCs w:val="24"/>
          <w:lang w:val="hr-BA"/>
        </w:rPr>
      </w:pPr>
      <w:r>
        <w:rPr>
          <w:rFonts w:eastAsia="Calibri" w:cs="Times New Roman"/>
          <w:b/>
          <w:spacing w:val="162"/>
          <w:szCs w:val="24"/>
          <w:lang w:val="hr-BA"/>
        </w:rPr>
      </w:r>
    </w:p>
    <w:p>
      <w:pPr>
        <w:pStyle w:val="Normal"/>
        <w:rPr>
          <w:rFonts w:eastAsia="Calibri" w:cs="Times New Roman"/>
          <w:szCs w:val="24"/>
          <w:lang w:val="hr-BA"/>
        </w:rPr>
      </w:pPr>
      <w:r>
        <w:rPr>
          <w:rFonts w:eastAsia="Calibri" w:cs="Times New Roman"/>
          <w:szCs w:val="24"/>
          <w:lang w:val="hr-BA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/>
        </w:rPr>
        <w:tab/>
      </w:r>
      <w:r>
        <w:rPr>
          <w:rFonts w:cs="Times New Roman" w:ascii="Times New Roman" w:hAnsi="Times New Roman"/>
          <w:sz w:val="24"/>
          <w:szCs w:val="24"/>
        </w:rPr>
        <w:t xml:space="preserve">U dijelu relevantnom za odluku u ovom upravnom sporu, činjenice iz upravnog spisa mogu se sažeti na sljedeći način: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/>
      </w:pPr>
      <w:r>
        <w:rPr>
          <w:rFonts w:eastAsia="Calibri" w:cs="Times New Roman"/>
          <w:lang w:val="hr-BA"/>
        </w:rPr>
        <w:t xml:space="preserve">Rješenjem Federalnog Ministarstva za pitanja branitelja i invalida Domovinskog rata (u daljnjem tekstu: tuženik) broj: UP-II-04/1-41-4777/05 od 30.01.2006. godine, odbijena je kao neosnovana žalba tužitelja Lj. J. (u daljnjem tekstu: tužitelj) te je u postupku revizije prvostupanjsko rješenje izmijenjeno utoliko što se tužiteljevo pravo priznaje </w:t>
      </w:r>
      <w:r>
        <w:rPr>
          <w:rFonts w:eastAsia="Calibri" w:cs="Times New Roman"/>
          <w:i/>
          <w:u w:val="single"/>
          <w:lang w:val="hr-BA"/>
        </w:rPr>
        <w:t xml:space="preserve">po osnovu oboljenja koje se pogoršalo </w:t>
      </w:r>
      <w:r>
        <w:rPr>
          <w:rFonts w:eastAsia="Calibri" w:cs="Times New Roman"/>
          <w:lang w:val="hr-BA"/>
        </w:rPr>
        <w:t xml:space="preserve">pod uvjetima vršenja vojne dužnosti u Oružanim snagama, a ne </w:t>
      </w:r>
      <w:r>
        <w:rPr>
          <w:rFonts w:eastAsia="Calibri" w:cs="Times New Roman"/>
          <w:i/>
          <w:u w:val="single"/>
          <w:lang w:val="hr-BA"/>
        </w:rPr>
        <w:t>po osnovu oboljenja</w:t>
      </w:r>
      <w:r>
        <w:rPr>
          <w:rFonts w:eastAsia="Calibri" w:cs="Times New Roman"/>
          <w:lang w:val="hr-BA"/>
        </w:rPr>
        <w:t xml:space="preserve"> zadobivenog kao pripadnik HVO-a, kako je to bilo odlučeno Rješenjem Službe za branitelje iz Domovinskog rata, Općina Posušje broj: 08-41-676/05. od 28.09.2005. godine, kojim je tužitelju priznato svojstvo ratnog vojnog invalida V grupe sa 70% vojnog invaliditeta – stalno.</w:t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>Obzirom da tužitelj nije pokretao upravni spor radi pobijanja citiranih upravnih akata, isti su postali konačni, pravomoćni i izvršni, a činjenice u njima utvrđene, ne mogu se više preispitivati, na način kako to traži tužitelj.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>Shodno prednjem, Rješenjem tuženika broj: UP-II-03-37-333/20 od 07.08.2020. godine, odbijena je kao neosnovana žalba tužitelja izjavljena protiv Zaključka Odsjeka za branitelje iz Domovinskog rata Općine Posušje, broj: 08-41-676/05 od 23.03.2020. godine (u daljnjem tekstu: Zaključak), kojim je odbačen kao neosnovan zahtjev tužitelja za ponovnim vještačenjem zdravstvenog stanja, odnosno povećanjem postotka vojnog invaliditeta.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Nezadovoljan ishodom upravnog postupka, tužitelj je pokrenuo upravni spor, od bitnog ističući da se njegovo zdravstveno stanje znatno pogoršalo, shodno čemu traži da mu sud, u sporu pune jurisdikcije, utvrdi veći postotak vojnog invaliditeta, uz sva pripadajuća prava.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>U odgovoru na tužbu, tuženik u cijelosti ostaje kod donesenih odluka u upravnom postupku, predlažući da se tužba odbije, a na zahtjev suda dostavljen je predmetni upravni spis.</w:t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>Na prijedlog tužitelja održana je usmena javna rasprava, na kojoj je tužitelj ostao kod tužbe i prijedloga da sud u sporu pune jurisdikcije riješi predmetnu upravnu stvar, uz naknadu troškova postupka i spora.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i/>
          <w:i/>
          <w:lang w:val="hr-BA"/>
        </w:rPr>
      </w:pPr>
      <w:r>
        <w:rPr>
          <w:rFonts w:eastAsia="Calibri" w:cs="Times New Roman"/>
          <w:i/>
          <w:lang w:val="hr-BA"/>
        </w:rPr>
        <w:tab/>
        <w:t>Tužba nije osnovana.</w:t>
      </w:r>
    </w:p>
    <w:p>
      <w:pPr>
        <w:pStyle w:val="Normal"/>
        <w:rPr>
          <w:rFonts w:eastAsia="Calibri" w:cs="Times New Roman"/>
          <w:i/>
          <w:i/>
          <w:lang w:val="hr-BA"/>
        </w:rPr>
      </w:pPr>
      <w:r>
        <w:rPr>
          <w:rFonts w:eastAsia="Calibri" w:cs="Times New Roman"/>
          <w:i/>
          <w:lang w:val="hr-BA"/>
        </w:rPr>
      </w:r>
    </w:p>
    <w:p>
      <w:pPr>
        <w:pStyle w:val="Normal"/>
        <w:rPr>
          <w:rFonts w:eastAsia="Calibri" w:cs="Times New Roman"/>
          <w:iCs/>
          <w:lang w:val="hr-BA"/>
        </w:rPr>
      </w:pPr>
      <w:r>
        <w:rPr>
          <w:rFonts w:eastAsia="Calibri" w:cs="Times New Roman"/>
          <w:lang w:val="hr-BA"/>
        </w:rPr>
        <w:tab/>
        <w:t>Detaljnije stavove tužitelja i tuženika sud će iznijeti u nastavku obrazloženja presude a obzirom da je intencija članka 6 Europske konvencije o ljudskim pravima i temeljnim slobodama</w:t>
      </w:r>
      <w:r>
        <w:rPr>
          <w:rStyle w:val="Sidrofusnote"/>
          <w:rFonts w:eastAsia="Times New Roman" w:cs="Times New Roman"/>
          <w:szCs w:val="24"/>
          <w:vertAlign w:val="superscript"/>
          <w:lang w:val="hr-BA"/>
        </w:rPr>
        <w:footnoteReference w:id="2"/>
      </w:r>
      <w:r>
        <w:rPr>
          <w:rFonts w:eastAsia="Times New Roman" w:cs="Times New Roman"/>
          <w:szCs w:val="24"/>
          <w:lang w:val="hr-BA"/>
        </w:rPr>
        <w:t>,</w:t>
      </w:r>
      <w:r>
        <w:rPr>
          <w:rFonts w:eastAsia="Calibri" w:cs="Times New Roman"/>
          <w:lang w:val="hr-BA"/>
        </w:rPr>
        <w:t>između ostalog i da se ispitaju samo oni izloženi argumenti koje sud smatra relevantnim, a ne svi argumenti koji su izloženi, to je ovaj sud uzeo u obzir sve argumente iz spisa ovog upravnog spora a razloge iznosio u odnosu na one argumente i činjenice koji su relevantni i od značaja za odluku u ovom upravnom sporu</w:t>
      </w:r>
      <w:r>
        <w:rPr>
          <w:rStyle w:val="Sidrofusnote"/>
          <w:rFonts w:eastAsia="Calibri" w:cs="Times New Roman"/>
          <w:iCs/>
          <w:vertAlign w:val="superscript"/>
          <w:lang w:val="hr-BA"/>
        </w:rPr>
        <w:footnoteReference w:id="3"/>
      </w:r>
      <w:r>
        <w:rPr>
          <w:rFonts w:eastAsia="Calibri" w:cs="Times New Roman"/>
          <w:iCs/>
          <w:lang w:val="hr-BA"/>
        </w:rPr>
        <w:t>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Sud je na osnovu članka 34 Zakona o upravnim sporovima Federacije Bosne i Hercegovine</w:t>
      </w:r>
      <w:r>
        <w:rPr>
          <w:rStyle w:val="Sidrofusnote"/>
          <w:rFonts w:eastAsia="Calibri" w:cs="Times New Roman"/>
          <w:vertAlign w:val="superscript"/>
          <w:lang w:val="hr-BA"/>
        </w:rPr>
        <w:footnoteReference w:id="4"/>
      </w:r>
      <w:r>
        <w:rPr>
          <w:rFonts w:eastAsia="Calibri" w:cs="Times New Roman"/>
          <w:lang w:val="hr-BA"/>
        </w:rPr>
        <w:t xml:space="preserve">  (u daljnjem tekstu: ZUS FBiH) ispitao zakonitost osporenih upravnih akata u granicama tužbenog zahtjeva iz tužbe, pri čemu je vezan razlozima tužbe, pa je odlučio kao u izreci presude iz slijedećih razloga: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Odredbom članka 11 stavak 2 Zakona o pravima branitelja i članova njihovih obitelji</w:t>
      </w:r>
      <w:r>
        <w:rPr>
          <w:rStyle w:val="Sidrofusnote"/>
          <w:rFonts w:eastAsia="Calibri" w:cs="Times New Roman"/>
          <w:vertAlign w:val="superscript"/>
          <w:lang w:val="hr-BA"/>
        </w:rPr>
        <w:footnoteReference w:id="5"/>
      </w:r>
      <w:r>
        <w:rPr>
          <w:rFonts w:eastAsia="Calibri" w:cs="Times New Roman"/>
          <w:lang w:val="hr-BA"/>
        </w:rPr>
        <w:t xml:space="preserve"> (u daljnjem tekstu: Zakon) jasno je propisano da postotak vojnog invaliditeta utvrđen konačnim rješenjem iz članka 11 stavka 1 Zakona, naknadno ne može biti povećan, bez obzira na daljnje pogoršanje oštećenja organizma.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Odredbom članka 11 stavak 1 Zakona (u relevantnom dijelu) propisana je mogućnost utvrđivanja postotka vojnog invaliditeta osobama kod kojih je, pod okolnostima iz članka 3 Zakona tj. u vršenju službe u oružanim snagama, nastupilo oštećenje organizma, na temelju oboljenja koje je pogoršano pod tim okolnostima, i to na način da se uzima odgovarajući postotak od cjelokupnog oštećenja organizma.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 xml:space="preserve">S tim u vezi, u upravnom spisu se nalazi Rješenje tuženika broj: UP-II-04/1-41-4777/05 od 30.01.2006. godine, na koje je od strane tuženika, u postupku revizije dana suglasnost broj: UP-I-03-41-ZKZ-5639/16 od 29.10.2018. godine, a kojim rješenjem je tužitelju priznato svojstvo ratnog vojnog invalida V grupe sa 70% vojnog invaliditeta – stalno, </w:t>
      </w:r>
      <w:r>
        <w:rPr>
          <w:rFonts w:eastAsia="Calibri" w:cs="Times New Roman"/>
          <w:i/>
          <w:u w:val="single"/>
          <w:lang w:val="hr-BA"/>
        </w:rPr>
        <w:t xml:space="preserve">po osnovu oboljenja koje se pogoršalo </w:t>
      </w:r>
      <w:r>
        <w:rPr>
          <w:rFonts w:eastAsia="Calibri" w:cs="Times New Roman"/>
          <w:lang w:val="hr-BA"/>
        </w:rPr>
        <w:t>pod uvjetima vršenja vojne dužnosti u Oružanim snagama.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Konkretno, riječ je o potpunom operativnom odstranjenju (nefrektomiji) desnog bubrega, uz srednje teško oštećenje preostalog lijevog bubrega, koje oboljenje je, u skladu sa točkom 280 točka c) Pravilnika o utvrđivanju postotka vojnog invaliditeta</w:t>
      </w:r>
      <w:r>
        <w:rPr>
          <w:rStyle w:val="Sidrofusnote"/>
          <w:rFonts w:eastAsia="Calibri" w:cs="Times New Roman"/>
          <w:lang w:val="hr-BA"/>
        </w:rPr>
        <w:footnoteReference w:id="6"/>
      </w:r>
      <w:r>
        <w:rPr>
          <w:rFonts w:eastAsia="Calibri" w:cs="Times New Roman"/>
          <w:lang w:val="hr-BA"/>
        </w:rPr>
        <w:t xml:space="preserve"> cijenjeno u visini od 80%, ali obzirom da se radi o oboljenju na čije je pogoršanje utjecala služba u oružanim snagama, primjenom odredbe članka 10 citiranog Pravilnika i članka 11 Zakona, vojni invaliditet tužitelja cijeni se u visini od 70% stalno. 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 xml:space="preserve"> </w:t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>Shodno prednjem, uz dodatnu činjenicu da, citirano rješenje tuženika, tužitelj nije pravodobno pobijao u upravnom sporu, sud zaključuje da isto predstavlja konačno rješenje iz članka 11 stavak 2 u vezi sa stavkom 1 Zakona, pa tužiteljev utvrđeni postotak vojnog invaliditeta od 70%,</w:t>
      </w:r>
      <w:bookmarkStart w:id="1" w:name="_GoBack"/>
      <w:bookmarkEnd w:id="1"/>
      <w:r>
        <w:rPr>
          <w:rFonts w:eastAsia="Calibri" w:cs="Times New Roman"/>
          <w:lang w:val="hr-BA"/>
        </w:rPr>
        <w:t xml:space="preserve"> ne može naknadno biti povećan, bez obzira na daljnje pogoršanje oštećenja organizma, iz čega proizlazi da su odluke upravnih tijela pravilne i zakonite.</w:t>
      </w:r>
    </w:p>
    <w:p>
      <w:pPr>
        <w:pStyle w:val="Normal"/>
        <w:ind w:firstLine="708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  <w:tab/>
        <w:t>Naime, u konkretnom slučaju mora se primijeniti prinudna norma članka 11 stavak 2 Zakona, što tužiteljev zahtjev za ponovnom procjenom njegovog zdravstvenog stanja s ciljem povećanja postotka vojnog invaliditeta, čini neosnovanim, posljedično čemu ni ostali prigovori tužitelja ne mogu dovesti do drugačije odluke u ovoj upravnoj stvari.</w:t>
      </w:r>
    </w:p>
    <w:p>
      <w:pPr>
        <w:pStyle w:val="Normal"/>
        <w:rPr>
          <w:rFonts w:eastAsia="Calibri" w:cs="Times New Roman"/>
          <w:lang w:val="hr-BA"/>
        </w:rPr>
      </w:pPr>
      <w:r>
        <w:rPr>
          <w:rFonts w:eastAsia="Calibri" w:cs="Times New Roman"/>
          <w:lang w:val="hr-BA"/>
        </w:rPr>
      </w:r>
    </w:p>
    <w:p>
      <w:pPr>
        <w:pStyle w:val="Normal"/>
        <w:ind w:firstLine="720"/>
        <w:rPr>
          <w:rFonts w:eastAsia="Calibri"/>
          <w:szCs w:val="24"/>
          <w:lang w:val="hr-BA"/>
        </w:rPr>
      </w:pPr>
      <w:r>
        <w:rPr>
          <w:rFonts w:eastAsia="Calibri"/>
          <w:szCs w:val="24"/>
          <w:lang w:val="hr-BA"/>
        </w:rPr>
        <w:t>Slijedom navedenog, valjalo je odlučiti kao u izreci i tužbu odbiti, pozivom na odredbu članka 36 stavak 2 ZUS FBiH.</w:t>
      </w:r>
    </w:p>
    <w:p>
      <w:pPr>
        <w:pStyle w:val="Normal"/>
        <w:rPr>
          <w:rFonts w:eastAsia="Calibri"/>
          <w:szCs w:val="24"/>
          <w:lang w:val="hr-BA"/>
        </w:rPr>
      </w:pPr>
      <w:r>
        <w:rPr>
          <w:rFonts w:eastAsia="Calibri"/>
          <w:szCs w:val="24"/>
          <w:lang w:val="hr-BA"/>
        </w:rPr>
      </w:r>
    </w:p>
    <w:p>
      <w:pPr>
        <w:pStyle w:val="Normal"/>
        <w:rPr>
          <w:rFonts w:eastAsia="Calibri" w:cs="Times New Roman"/>
          <w:b/>
          <w:b/>
          <w:lang w:val="hr-BA"/>
        </w:rPr>
      </w:pPr>
      <w:r>
        <w:rPr>
          <w:rFonts w:eastAsia="Calibri" w:cs="Times New Roman"/>
          <w:b/>
          <w:lang w:val="hr-BA"/>
        </w:rPr>
      </w:r>
    </w:p>
    <w:p>
      <w:pPr>
        <w:pStyle w:val="Normal"/>
        <w:rPr>
          <w:rFonts w:eastAsia="Calibri" w:cs="Times New Roman"/>
          <w:b/>
          <w:b/>
          <w:lang w:val="hr-BA"/>
        </w:rPr>
      </w:pPr>
      <w:r>
        <w:rPr>
          <w:rFonts w:eastAsia="Calibri" w:cs="Times New Roman"/>
          <w:b/>
          <w:lang w:val="hr-BA"/>
        </w:rPr>
      </w:r>
    </w:p>
    <w:p>
      <w:pPr>
        <w:pStyle w:val="Normal"/>
        <w:rPr>
          <w:rFonts w:eastAsia="Calibri" w:cs="Times New Roman"/>
          <w:b/>
          <w:b/>
          <w:lang w:val="hr-BA"/>
        </w:rPr>
      </w:pPr>
      <w:r>
        <w:rPr>
          <w:rFonts w:eastAsia="Calibri" w:cs="Times New Roman"/>
          <w:b/>
          <w:lang w:val="hr-BA"/>
        </w:rPr>
        <w:t xml:space="preserve">   </w:t>
      </w:r>
      <w:r>
        <w:rPr>
          <w:rFonts w:eastAsia="Calibri" w:cs="Times New Roman"/>
          <w:b/>
          <w:lang w:val="hr-BA"/>
        </w:rPr>
        <w:tab/>
        <w:tab/>
        <w:tab/>
        <w:tab/>
        <w:tab/>
        <w:tab/>
        <w:tab/>
        <w:tab/>
        <w:tab/>
        <w:t xml:space="preserve">              Sutkinja</w:t>
      </w:r>
    </w:p>
    <w:p>
      <w:pPr>
        <w:pStyle w:val="Normal"/>
        <w:rPr>
          <w:rFonts w:eastAsia="Calibri" w:cs="Times New Roman"/>
          <w:b/>
          <w:b/>
          <w:lang w:val="hr-BA"/>
        </w:rPr>
      </w:pPr>
      <w:r>
        <w:rPr>
          <w:rFonts w:eastAsia="Calibri" w:cs="Times New Roman"/>
          <w:b/>
          <w:lang w:val="hr-BA"/>
        </w:rPr>
      </w:r>
    </w:p>
    <w:p>
      <w:pPr>
        <w:pStyle w:val="Normal"/>
        <w:rPr/>
      </w:pPr>
      <w:r>
        <w:rPr>
          <w:rFonts w:eastAsia="Calibri" w:cs="Times New Roman"/>
          <w:b/>
          <w:lang w:val="hr-BA"/>
        </w:rPr>
        <w:tab/>
        <w:tab/>
        <w:tab/>
        <w:tab/>
        <w:tab/>
        <w:tab/>
        <w:t xml:space="preserve">                  </w:t>
        <w:tab/>
        <w:tab/>
        <w:t xml:space="preserve">       Katica Artuković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690" cy="193675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7000" cy="19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343675957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3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65pt;margin-top:-0.7pt;width:44.6pt;height:15.15pt;flip:x;rotation:180;mso-position-horizontal:center;mso-position-horizontal-relative:page;mso-position-vertical:center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2111242100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3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3">
    <w:p>
      <w:pPr>
        <w:pStyle w:val="Normal"/>
        <w:rPr/>
      </w:pPr>
      <w:r>
        <w:rPr>
          <w:rStyle w:val="Znakovifusnota"/>
        </w:rPr>
        <w:footnoteRef/>
      </w:r>
      <w:r>
        <w:rPr/>
        <w:t xml:space="preserve"> </w:t>
      </w:r>
      <w:r>
        <w:rPr>
          <w:sz w:val="20"/>
        </w:rPr>
        <w:t>Tako i Odluka o dopustivosti i meritumu, Ustavni sud Bosne i Hercegovine, broj: AP 2752/16 od 17.01.2018. godine.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/>
        <w:t xml:space="preserve"> </w:t>
      </w:r>
      <w:r>
        <w:rPr>
          <w:lang w:val="hr-BA"/>
        </w:rPr>
        <w:t>Službene novine Federacije BiH broj: 9/05.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/>
        <w:t xml:space="preserve"> </w:t>
      </w:r>
      <w:r>
        <w:rPr>
          <w:lang w:val="hr-BA"/>
        </w:rPr>
        <w:t>Službene novine Federacije BiH broj: 33/04, 56/05, 70/07, 9/10 i 90/17.</w:t>
      </w:r>
    </w:p>
  </w:footnote>
  <w:footnote w:id="6">
    <w:p>
      <w:pPr>
        <w:pStyle w:val="Fusnota"/>
        <w:rPr/>
      </w:pPr>
      <w:r>
        <w:rPr>
          <w:rStyle w:val="Znakovifusnota"/>
        </w:rPr>
        <w:footnoteRef/>
      </w:r>
      <w:r>
        <w:rPr/>
        <w:t xml:space="preserve"> </w:t>
      </w:r>
      <w:r>
        <w:rPr>
          <w:lang w:val="hr-BA"/>
        </w:rPr>
        <w:t>Službene novine Federacije BiH broj: 41/04, 17/13 i 34/18.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B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b7203"/>
    <w:pPr>
      <w:widowControl/>
      <w:bidi w:val="0"/>
      <w:spacing w:lineRule="auto" w:line="240" w:before="0" w:after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semiHidden/>
    <w:qFormat/>
    <w:rsid w:val="000b7203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b7203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b7203"/>
    <w:rPr>
      <w:rFonts w:ascii="Times New Roman" w:hAnsi="Times New Roman"/>
      <w:sz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b7203"/>
    <w:rPr>
      <w:rFonts w:ascii="Times New Roman" w:hAnsi="Times New Roman"/>
      <w:sz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b458d5"/>
    <w:rPr>
      <w:rFonts w:ascii="Segoe UI" w:hAnsi="Segoe UI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semiHidden/>
    <w:unhideWhenUsed/>
    <w:rsid w:val="000b7203"/>
    <w:pPr/>
    <w:rPr>
      <w:rFonts w:eastAsia="Calibri" w:cs="Times New Roman"/>
      <w:sz w:val="20"/>
      <w:szCs w:val="20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b7203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b7203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NoSpacing">
    <w:name w:val="No Spacing"/>
    <w:uiPriority w:val="1"/>
    <w:qFormat/>
    <w:rsid w:val="000b720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hr-BA" w:eastAsia="en-US" w:bidi="ar-SA"/>
    </w:rPr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b458d5"/>
    <w:pPr/>
    <w:rPr>
      <w:rFonts w:ascii="Segoe UI" w:hAnsi="Segoe UI" w:cs="Segoe UI"/>
      <w:sz w:val="18"/>
      <w:szCs w:val="18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500EE-8EBE-4839-89EB-05D460D83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Application>LibreOffice/6.3.4.2$Windows_X86_64 LibreOffice_project/60da17e045e08f1793c57c00ba83cdfce946d0aa</Application>
  <Pages>3</Pages>
  <Words>992</Words>
  <Characters>5833</Characters>
  <CharactersWithSpaces>6878</CharactersWithSpaces>
  <Paragraphs>36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2021-07-13T08:23:00Z</dcterms:created>
  <dc:creator>Katica Artukovic</dc:creator>
  <dc:description/>
  <dc:language>bs-BA</dc:language>
  <cp:lastModifiedBy/>
  <cp:lastPrinted>2021-07-13T12:45:00Z</cp:lastPrinted>
  <dcterms:modified xsi:type="dcterms:W3CDTF">2022-04-07T08:46:36Z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