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126AD3">
        <w:rPr>
          <w:rFonts w:ascii="Arial" w:eastAsia="CIDFont+F1" w:hAnsi="Arial" w:cs="Arial"/>
          <w:b/>
          <w:i/>
          <w:color w:val="000000"/>
          <w:sz w:val="24"/>
          <w:szCs w:val="24"/>
        </w:rPr>
        <w:t>KANTONALNO TUŽILAŠTVO BOSANSKO PODRINSJKOG KANTONA GORAŽDE</w:t>
      </w:r>
    </w:p>
    <w:p w:rsidR="00EA649E" w:rsidRDefault="00EA649E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EA649E" w:rsidRPr="00126AD3" w:rsidRDefault="00EA649E" w:rsidP="00EA649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noProof/>
          <w:lang w:val="bs-Latn-BA" w:eastAsia="bs-Latn-BA"/>
        </w:rPr>
        <w:drawing>
          <wp:inline distT="0" distB="0" distL="0" distR="0">
            <wp:extent cx="1581150" cy="1962150"/>
            <wp:effectExtent l="0" t="0" r="0" b="0"/>
            <wp:docPr id="1" name="Picture 1" descr="New Doc 2019-08-22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Doc 2019-08-22 1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790" w:rsidRPr="00126AD3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i/>
          <w:color w:val="000000"/>
          <w:sz w:val="24"/>
          <w:szCs w:val="24"/>
        </w:rPr>
        <w:t>Na temelju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6. stav (3) Pravilnika o orijentacionim mjerilima za rad tužilaca u tužilaštvima u Bosni i Hercegovini („Službeni gla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snik BiH“, broj: 64/16, 96/16,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93/17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, 71/18 i 33/19),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6. Uputstva za izradu planova rješavanja starih predmeta u tužilaštvima u BiH, broj: 13-02-3963-1/1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4 od 19.12.2014. godine,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1. Uputstva o dopuni Uputstva za izradu planova rješavanja starih predmeta u tužilaštvima u BiH, broj: 13-02-3820-1/201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5 od 24.12.2015. godine,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1. Uputstva o izmjenama i dopuni Uputstva za izradu planova rješavanja starih predmeta u tužilaštvima u BiH, broj: 13-02-3-1272-1/201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6 od 18.04.2016. godine,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1. Uputstva o izmjenama i dopunama Uputstva za izradu planova rješavanja starih predmeta u tužilaštvima u BiH,broj: 13-02-3-3492-1/2017 od 10.11.2017. g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odine, 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 xml:space="preserve">v.d. 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glavn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og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kantonaln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og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tuži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oca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Bosansko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-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podrinjskog kantona Goražde, donosi sljedeći: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P L A N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RJEŠAVANJA STARIH PREDMETA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ZA 2022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. GODINU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1.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(Predmet)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Planom rješavanja starih predmeta Kantonalnog tužil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aštva Bosansko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-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podrinjskog kantona Goražde za 2022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 godinu (u daljem tekstu: Plan rješavanja starih predmeta) utvrđuje se broj i struktura starih predmeta u Kantonalnom tužilaštvu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Bosansko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-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podrinjskog kantona Goražde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(u daljem tekstu: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Tužilaštv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o) i određuj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u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mjere, nosioci i rokovi za njihovo rješavanje.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2.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(Cilj)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012755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>(1) U skladu s Planom rada Tužilaštva za 2022. godinu Planom rješavanja starih predmeta utvrđuje se obaveza postupajućim tužiocima da tokom planskog perioda završe sve stare predmete (6 predmeta).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>(2) Izuzetno od stava (1) ukoliko nije moguće završiti stare predmete tužioci su dužni dovesti ih u stanje da se jedino objektivne okolnosti mogu uzeti kao razlog neokončanja predmeta.</w:t>
      </w:r>
    </w:p>
    <w:p w:rsidR="005B2EB8" w:rsidRDefault="005B2EB8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3.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(Stari predmeti)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(1) Plan rješavanja starih predmeta obuhvaća nezavršene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KT i KTA predmete otvorene 20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20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godine i ranije u kojima je tokom planskog perioda objektivno moguće donijeti tužilačku odluku.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(2) Suglasno članku 4. Uputstva za izradu planova rješavanja starih predmeta u tužilaštvima u BiH, broj: 13-02-3963-1/2014 od 19.12.2014 godine (u daljem tekstu: Uputstvo za izradu planova) iz Plana rješavanja starih predmeta isključene su sljedeće vrste predmeta: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a) stari predmeti u kojima su raspisane potjernice;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b) predmeti ratnih zločina, koji se rješavaju u skladu s posebnim planovima i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c) predmeti za krivična djela za koje je propisana kazna zatvora do tri godine, u kojima se ne može izdati potjernica, a osumnjičeni je nedostupan.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(3) S</w:t>
      </w:r>
      <w:r w:rsidR="00012755">
        <w:rPr>
          <w:rFonts w:ascii="Arial" w:eastAsia="CIDFont+F1" w:hAnsi="Arial" w:cs="Arial"/>
          <w:i/>
          <w:color w:val="000000"/>
          <w:sz w:val="24"/>
          <w:szCs w:val="24"/>
        </w:rPr>
        <w:t>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glasno Uputstvu za izradu planova, Plan rješavanja starih predmet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a obuhvaća i predmete koje ovo U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putstvo ne predviđa za isključenje, mada njihovo okončanje nije moguće zbog objektivnih razloga, dakle razloga koji ne stoje na strani Tužilaštva.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(4) Predmeti iz stava (2) točke a) i c) i stavka (3) ovog članaka riješit će tokom planskog perioda, ukoliko objektivne okolnosti koje sprječavaju njihovo okončanje prestanu postojati.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(5) Plan rješavanja starih predmeta iskazuje se tabelarnim prikazom ukupnog broja starih KT i KTA predmeta sa njihovim oznakama, zakonskim nazivom krivičnog djela i navođenjem odredbe Krivičnog zakona F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BIH, postupajućim tužiocima i ostalim parametrima iz članaka 6. Uputstva za izradu planova.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(6) Tabelarni prikaz iz stava (5) ovog članaka automatski se generira u Sistemu za upravljanje predmetima u tužilaštvima (u daljem tekstu: TCMS) i kao takav predstavlja sastavni dio ovog plana.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4.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(Predmeti koji će postati stari)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Zadužuju se tužioci da usporedno s rješavanjem starih predmeta iz članaka 3. stav (6) ovog plana rješavaju i predmete koji će tokom planskog perioda steći status starog predmeta.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5.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(Aktivnosti na rješavanju starih predmeta)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(1) Tužioci su dužni u starim predmetima uspostaviti i održavati odgovarajuću dinamiku kako bi do kraja godine svi oni bili riješeni.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(2) Optimalnu dinamiku u predmetima tužioci su dužni održavati redovnim i blagovremenim poduzimanjem tužilačkih radnji i mjera iz svoje nadležnosti, pravilnim određivanjem i praćenjem optimalnih rokova evidencije u spisima i drugim efektivnim mjerama na koje su ovlašteni tako da period neaktivnosti u predmetu (u daljem tekstu: period neaktivnosti) bude sveden na najmanju moguću mjeru.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(3) Period neaktivnosti, koji se računa od dana poduzimanja posljednje tužilačke radnje u spisu, iz objektivnih razloga ne može trajati duže od </w:t>
      </w:r>
      <w:r w:rsidR="00126AD3">
        <w:rPr>
          <w:rFonts w:ascii="Arial" w:eastAsia="CIDFont+F1" w:hAnsi="Arial" w:cs="Arial"/>
          <w:i/>
          <w:color w:val="000000"/>
          <w:sz w:val="24"/>
          <w:szCs w:val="24"/>
        </w:rPr>
        <w:t xml:space="preserve">dva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mjeseca.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(4) Ukoliko je period neaktivnosti jednom ili više puta prekoračen tužioci su dužni za svako takvo prekoračenje u službenoj zabilješci navesti detaljne razloge i objašnjenja.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lastRenderedPageBreak/>
        <w:t>(5) Tužioci su dužni prioritet u rješavanju dati starim predmetima koju su ranije otvoreni, te na kraju izvještajnog perioda (polugodišnjeg i godišnjeg planskog okvira) dati obrazloženje razloga za nerješavanje predmeta, koji su prema starosti inicijalnog akta stariji od onih koji su riješeni u izvještajnom periodu.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5B2EB8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6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(Pomoćne evidencije)</w:t>
      </w:r>
    </w:p>
    <w:p w:rsidR="005B2EB8" w:rsidRPr="00D72741" w:rsidRDefault="005B2EB8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 cilju praćenja izvršenja Plana rješavanja starih predmeta Tužilaštvo ć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e u skladu s Planom rada za 2022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godinu uspostaviti i voditi odgovarajuće evidencije.</w:t>
      </w:r>
    </w:p>
    <w:p w:rsidR="005B2EB8" w:rsidRDefault="005B2EB8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5B2EB8" w:rsidRDefault="005B2EB8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7.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(Aktivnosti glavnog tužioca)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(1) Glavni tužilac će vršiti nadzor nad izvršenjem Plana rješavanja starih predmeta uvidom u evidencije o starim predmetima i poduzimanjem drugih mjera iz svoje nadležnosti.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(2) O stupnju izvršenja Plana rješavanja starih predmeta tužioci su dužni izvještavati glavnog tužioca dostavljanjem obavještenja relevantnih za poduzimanje mjera iz njegove nadležnosti.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(3) Glavni tužilac će kontinuirano pratiti realizaciju Plana rješavanja starih predmeta i istekom svaka dva mjeseca putem Kolegija Tužilaštva i na drugi prigodan način upoznavati tužioce o ostvarenim rezultatima, te mjerama koje se u tom pravcu imaju poduzeti.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(4) Nakon pregleda predmeta i razgovora s postupajućim tužiocima glavni tužilac će odlučiti o eventualnim mjerama prema odgovornim tužiocima, ukoliko ne nađe da su razlozi neizvršavanja njegovih naloga izdanih u cilju rješavanja starih predmeta opravdani.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(5) Glavni tužilac će istekom svakog kvartala planskog perioda izvršiti reviziju Plana rješavanja starih predmeta i evaluaciju ukupno ostvarenih rezultata, te odlučiti o potrebi eventualne korekcije ovog planskog dokumenta.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(6) Glavni tužilac dostavlja polugodišnju i godišnju informaciju o realiziranju Plana rješavanja starih predmeta Visokom sudskom i tužilačkom vijeću Bosne i Hercegovine (u daljem tekstu: Vijeće).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(7) Polugodišnja informacija d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ostavlja se Vijeću do 31.07.2022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godine, a godišnja do 31.01.2023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.godine.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 8</w:t>
      </w:r>
    </w:p>
    <w:p w:rsidR="00993790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(Stupanje na snagu)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Plan rješavanja starih predmeta stupa na snagu danom donošenja i objavljuje se na web stranici Tužilaštva.</w:t>
      </w: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993790" w:rsidRPr="00D72741" w:rsidRDefault="00993790" w:rsidP="0099379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Broj: 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A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-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247/21</w:t>
      </w:r>
    </w:p>
    <w:p w:rsidR="005B2EB8" w:rsidRDefault="00993790" w:rsidP="005B2EB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Goražde 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2</w:t>
      </w:r>
      <w:r w:rsidR="00467402">
        <w:rPr>
          <w:rFonts w:ascii="Arial" w:eastAsia="CIDFont+F1" w:hAnsi="Arial" w:cs="Arial"/>
          <w:i/>
          <w:color w:val="000000"/>
          <w:sz w:val="24"/>
          <w:szCs w:val="24"/>
        </w:rPr>
        <w:t>8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.06.2022</w:t>
      </w:r>
      <w:r w:rsidR="005B2EB8">
        <w:rPr>
          <w:rFonts w:ascii="Arial" w:eastAsia="CIDFont+F1" w:hAnsi="Arial" w:cs="Arial"/>
          <w:i/>
          <w:color w:val="000000"/>
          <w:sz w:val="24"/>
          <w:szCs w:val="24"/>
        </w:rPr>
        <w:t>. godine</w:t>
      </w:r>
    </w:p>
    <w:p w:rsidR="005B2EB8" w:rsidRDefault="005B2EB8" w:rsidP="005B2EB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EA649E" w:rsidRDefault="005B2EB8" w:rsidP="005B2EB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  <w:t xml:space="preserve">          </w:t>
      </w:r>
    </w:p>
    <w:p w:rsidR="00EA649E" w:rsidRDefault="00EA649E" w:rsidP="005B2EB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5B2EB8" w:rsidRDefault="005B2EB8" w:rsidP="00EA649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sz w:val="24"/>
          <w:szCs w:val="24"/>
          <w:lang w:val="hr-HR"/>
        </w:rPr>
      </w:pPr>
      <w:bookmarkStart w:id="0" w:name="_GoBack"/>
      <w:bookmarkEnd w:id="0"/>
      <w:r>
        <w:rPr>
          <w:rFonts w:ascii="Arial" w:hAnsi="Arial" w:cs="Arial"/>
          <w:b/>
          <w:i/>
          <w:sz w:val="24"/>
          <w:szCs w:val="24"/>
          <w:lang w:val="hr-HR"/>
        </w:rPr>
        <w:lastRenderedPageBreak/>
        <w:t>V.D.</w:t>
      </w:r>
      <w:r w:rsidR="00993790" w:rsidRPr="00D72741">
        <w:rPr>
          <w:rFonts w:ascii="Arial" w:hAnsi="Arial" w:cs="Arial"/>
          <w:b/>
          <w:i/>
          <w:sz w:val="24"/>
          <w:szCs w:val="24"/>
          <w:lang w:val="hr-HR"/>
        </w:rPr>
        <w:t xml:space="preserve"> GLAVN</w:t>
      </w:r>
      <w:r>
        <w:rPr>
          <w:rFonts w:ascii="Arial" w:hAnsi="Arial" w:cs="Arial"/>
          <w:b/>
          <w:i/>
          <w:sz w:val="24"/>
          <w:szCs w:val="24"/>
          <w:lang w:val="hr-HR"/>
        </w:rPr>
        <w:t xml:space="preserve">OG KANTONALNOG </w:t>
      </w:r>
      <w:r w:rsidR="00993790" w:rsidRPr="00D72741">
        <w:rPr>
          <w:rFonts w:ascii="Arial" w:hAnsi="Arial" w:cs="Arial"/>
          <w:b/>
          <w:i/>
          <w:sz w:val="24"/>
          <w:szCs w:val="24"/>
          <w:lang w:val="hr-HR"/>
        </w:rPr>
        <w:t>TUŽI</w:t>
      </w:r>
      <w:r>
        <w:rPr>
          <w:rFonts w:ascii="Arial" w:hAnsi="Arial" w:cs="Arial"/>
          <w:b/>
          <w:i/>
          <w:sz w:val="24"/>
          <w:szCs w:val="24"/>
          <w:lang w:val="hr-HR"/>
        </w:rPr>
        <w:t>O</w:t>
      </w:r>
      <w:r w:rsidR="00993790" w:rsidRPr="00D72741">
        <w:rPr>
          <w:rFonts w:ascii="Arial" w:hAnsi="Arial" w:cs="Arial"/>
          <w:b/>
          <w:i/>
          <w:sz w:val="24"/>
          <w:szCs w:val="24"/>
          <w:lang w:val="hr-HR"/>
        </w:rPr>
        <w:t>C</w:t>
      </w:r>
      <w:r>
        <w:rPr>
          <w:rFonts w:ascii="Arial" w:hAnsi="Arial" w:cs="Arial"/>
          <w:b/>
          <w:i/>
          <w:sz w:val="24"/>
          <w:szCs w:val="24"/>
          <w:lang w:val="hr-HR"/>
        </w:rPr>
        <w:t>A</w:t>
      </w:r>
    </w:p>
    <w:p w:rsidR="005B2EB8" w:rsidRDefault="005B2EB8" w:rsidP="005B2E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hr-HR"/>
        </w:rPr>
      </w:pPr>
    </w:p>
    <w:p w:rsidR="00993790" w:rsidRPr="00D72741" w:rsidRDefault="005B2EB8" w:rsidP="005B2E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hr-HR"/>
        </w:rPr>
      </w:pP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 w:rsidR="00993790">
        <w:rPr>
          <w:rFonts w:ascii="Arial" w:hAnsi="Arial" w:cs="Arial"/>
          <w:b/>
          <w:i/>
          <w:sz w:val="24"/>
          <w:szCs w:val="24"/>
          <w:lang w:val="hr-HR"/>
        </w:rPr>
        <w:t>Predrag Golubović</w:t>
      </w:r>
    </w:p>
    <w:p w:rsidR="00993790" w:rsidRPr="00D72741" w:rsidRDefault="00993790" w:rsidP="00993790">
      <w:pPr>
        <w:spacing w:after="0" w:line="240" w:lineRule="auto"/>
        <w:rPr>
          <w:rFonts w:ascii="Cambria" w:hAnsi="Cambria"/>
          <w:sz w:val="24"/>
          <w:szCs w:val="24"/>
          <w:lang w:val="hr-HR"/>
        </w:rPr>
      </w:pPr>
    </w:p>
    <w:p w:rsidR="00993790" w:rsidRPr="00F60A17" w:rsidRDefault="00993790" w:rsidP="00993790">
      <w:pPr>
        <w:pStyle w:val="NoSpacing"/>
        <w:rPr>
          <w:rFonts w:ascii="Cambria" w:hAnsi="Cambria"/>
          <w:sz w:val="24"/>
          <w:szCs w:val="24"/>
          <w:lang w:val="hr-HR"/>
        </w:rPr>
      </w:pPr>
    </w:p>
    <w:p w:rsidR="00993790" w:rsidRDefault="00993790"/>
    <w:sectPr w:rsidR="00993790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790"/>
    <w:rsid w:val="00012755"/>
    <w:rsid w:val="00126AD3"/>
    <w:rsid w:val="002E396C"/>
    <w:rsid w:val="00467402"/>
    <w:rsid w:val="005B2EB8"/>
    <w:rsid w:val="00656F36"/>
    <w:rsid w:val="006C3227"/>
    <w:rsid w:val="00820AD6"/>
    <w:rsid w:val="0087758A"/>
    <w:rsid w:val="009448F1"/>
    <w:rsid w:val="00993790"/>
    <w:rsid w:val="00C41295"/>
    <w:rsid w:val="00EA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4D445"/>
  <w15:chartTrackingRefBased/>
  <w15:docId w15:val="{4143E6F1-DC53-4BF3-A741-1A823B3D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790"/>
    <w:pPr>
      <w:spacing w:after="160" w:line="259" w:lineRule="auto"/>
      <w:jc w:val="left"/>
    </w:pPr>
    <w:rPr>
      <w:rFonts w:asciiTheme="minorHAnsi" w:hAnsiTheme="minorHAnsi"/>
      <w:sz w:val="22"/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3790"/>
    <w:pPr>
      <w:jc w:val="left"/>
    </w:pPr>
    <w:rPr>
      <w:rFonts w:asciiTheme="minorHAnsi" w:hAnsiTheme="minorHAnsi"/>
      <w:sz w:val="22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88F9A.AA40AB1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Obuca</dc:creator>
  <cp:keywords/>
  <dc:description/>
  <cp:lastModifiedBy>Aida Obuca</cp:lastModifiedBy>
  <cp:revision>3</cp:revision>
  <dcterms:created xsi:type="dcterms:W3CDTF">2022-07-04T09:31:00Z</dcterms:created>
  <dcterms:modified xsi:type="dcterms:W3CDTF">2022-07-04T09:41:00Z</dcterms:modified>
</cp:coreProperties>
</file>