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CD038" w14:textId="77777777" w:rsidR="00B05952" w:rsidRPr="001A0537" w:rsidRDefault="006377FE">
      <w:pPr>
        <w:rPr>
          <w:rFonts w:ascii="Arial" w:hAnsi="Arial" w:cs="Arial"/>
        </w:rPr>
      </w:pPr>
      <w:bookmarkStart w:id="0" w:name="_GoBack"/>
      <w:bookmarkEnd w:id="0"/>
      <w:r>
        <w:rPr>
          <w:rFonts w:ascii="Arial" w:hAnsi="Arial"/>
        </w:rPr>
        <w:t xml:space="preserve"> </w:t>
      </w:r>
    </w:p>
    <w:sdt>
      <w:sdtPr>
        <w:rPr>
          <w:rFonts w:ascii="Arial" w:hAnsi="Arial" w:cs="Arial"/>
          <w:sz w:val="22"/>
        </w:rPr>
        <w:id w:val="-1626068938"/>
        <w:docPartObj>
          <w:docPartGallery w:val="Cover Pages"/>
          <w:docPartUnique/>
        </w:docPartObj>
      </w:sdtPr>
      <w:sdtEndPr/>
      <w:sdtContent>
        <w:p w14:paraId="535CD680" w14:textId="77777777" w:rsidR="009F28D6" w:rsidRPr="001A0537" w:rsidRDefault="009F28D6">
          <w:pPr>
            <w:rPr>
              <w:rFonts w:ascii="Arial" w:hAnsi="Arial" w:cs="Arial"/>
              <w:lang w:val="hr-BA"/>
            </w:rPr>
          </w:pPr>
        </w:p>
        <w:p w14:paraId="2B9DC464" w14:textId="77777777" w:rsidR="009F28D6" w:rsidRPr="001A0537" w:rsidRDefault="009F28D6" w:rsidP="009F28D6">
          <w:pPr>
            <w:spacing w:before="80"/>
            <w:jc w:val="center"/>
            <w:rPr>
              <w:rFonts w:ascii="Arial" w:hAnsi="Arial" w:cs="Arial"/>
            </w:rPr>
          </w:pPr>
          <w:r>
            <w:rPr>
              <w:rFonts w:ascii="Arial" w:hAnsi="Arial"/>
              <w:noProof/>
              <w:lang w:val="bs-Latn-BA" w:eastAsia="bs-Latn-BA"/>
            </w:rPr>
            <w:drawing>
              <wp:inline distT="0" distB="0" distL="0" distR="0" wp14:anchorId="282C2659" wp14:editId="40C7E4B2">
                <wp:extent cx="4695825" cy="723900"/>
                <wp:effectExtent l="0" t="0" r="9525" b="0"/>
                <wp:docPr id="1" name="Picture 1"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825" cy="723900"/>
                        </a:xfrm>
                        <a:prstGeom prst="rect">
                          <a:avLst/>
                        </a:prstGeom>
                        <a:noFill/>
                        <a:ln>
                          <a:noFill/>
                        </a:ln>
                      </pic:spPr>
                    </pic:pic>
                  </a:graphicData>
                </a:graphic>
              </wp:inline>
            </w:drawing>
          </w:r>
        </w:p>
        <w:p w14:paraId="5E840CA3" w14:textId="77777777" w:rsidR="009F28D6" w:rsidRPr="001A0537" w:rsidRDefault="009F28D6" w:rsidP="009F28D6">
          <w:pPr>
            <w:spacing w:before="80"/>
            <w:rPr>
              <w:rFonts w:ascii="Arial" w:hAnsi="Arial" w:cs="Arial"/>
              <w:lang w:val="hr-BA"/>
            </w:rPr>
          </w:pPr>
        </w:p>
        <w:p w14:paraId="0AE5C107" w14:textId="77777777" w:rsidR="009F28D6" w:rsidRPr="001A0537" w:rsidRDefault="009F28D6" w:rsidP="009F28D6">
          <w:pPr>
            <w:spacing w:before="80"/>
            <w:jc w:val="center"/>
            <w:rPr>
              <w:rFonts w:ascii="Arial" w:hAnsi="Arial" w:cs="Arial"/>
              <w:b/>
              <w:sz w:val="32"/>
              <w:szCs w:val="32"/>
              <w:lang w:val="hr-BA"/>
            </w:rPr>
          </w:pPr>
        </w:p>
        <w:p w14:paraId="2B2AEE07" w14:textId="77777777" w:rsidR="009F28D6" w:rsidRPr="001A0537" w:rsidRDefault="009F28D6" w:rsidP="009F28D6">
          <w:pPr>
            <w:spacing w:before="80"/>
            <w:jc w:val="center"/>
            <w:rPr>
              <w:rFonts w:ascii="Arial" w:hAnsi="Arial" w:cs="Arial"/>
              <w:b/>
              <w:sz w:val="32"/>
              <w:szCs w:val="32"/>
              <w:lang w:val="hr-BA"/>
            </w:rPr>
          </w:pPr>
        </w:p>
        <w:p w14:paraId="28FA5D22" w14:textId="77777777" w:rsidR="009F28D6" w:rsidRPr="001A0537" w:rsidRDefault="009F28D6" w:rsidP="009F28D6">
          <w:pPr>
            <w:spacing w:before="80"/>
            <w:jc w:val="center"/>
            <w:rPr>
              <w:rFonts w:ascii="Arial" w:hAnsi="Arial" w:cs="Arial"/>
              <w:b/>
              <w:sz w:val="32"/>
              <w:szCs w:val="32"/>
              <w:lang w:val="hr-BA"/>
            </w:rPr>
          </w:pPr>
        </w:p>
        <w:p w14:paraId="27D3ABFB" w14:textId="77777777" w:rsidR="009F28D6" w:rsidRPr="001A0537" w:rsidRDefault="009F28D6" w:rsidP="009F28D6">
          <w:pPr>
            <w:spacing w:before="80"/>
            <w:jc w:val="center"/>
            <w:rPr>
              <w:rFonts w:ascii="Arial" w:hAnsi="Arial" w:cs="Arial"/>
              <w:b/>
              <w:sz w:val="32"/>
              <w:szCs w:val="32"/>
              <w:lang w:val="hr-BA"/>
            </w:rPr>
          </w:pPr>
        </w:p>
        <w:p w14:paraId="7E7992B9" w14:textId="77777777" w:rsidR="009F28D6" w:rsidRPr="001A0537" w:rsidRDefault="009F28D6" w:rsidP="009F28D6">
          <w:pPr>
            <w:spacing w:before="80"/>
            <w:jc w:val="center"/>
            <w:rPr>
              <w:rFonts w:ascii="Arial" w:hAnsi="Arial" w:cs="Arial"/>
              <w:b/>
              <w:sz w:val="32"/>
              <w:szCs w:val="32"/>
              <w:lang w:val="hr-BA"/>
            </w:rPr>
          </w:pPr>
        </w:p>
        <w:p w14:paraId="18FEBB8B" w14:textId="77777777" w:rsidR="009F28D6" w:rsidRPr="001A0537" w:rsidRDefault="009F28D6" w:rsidP="009F28D6">
          <w:pPr>
            <w:spacing w:before="80"/>
            <w:jc w:val="center"/>
            <w:rPr>
              <w:rFonts w:ascii="Arial" w:hAnsi="Arial" w:cs="Arial"/>
              <w:b/>
              <w:sz w:val="32"/>
              <w:szCs w:val="32"/>
              <w:lang w:val="hr-BA"/>
            </w:rPr>
          </w:pPr>
        </w:p>
        <w:p w14:paraId="7F6D928B" w14:textId="77777777" w:rsidR="009F28D6" w:rsidRPr="001A0537" w:rsidRDefault="009F28D6" w:rsidP="009F28D6">
          <w:pPr>
            <w:spacing w:before="80"/>
            <w:jc w:val="center"/>
            <w:rPr>
              <w:rFonts w:ascii="Arial" w:hAnsi="Arial" w:cs="Arial"/>
              <w:b/>
              <w:sz w:val="32"/>
              <w:szCs w:val="32"/>
              <w:lang w:val="hr-BA"/>
            </w:rPr>
          </w:pPr>
        </w:p>
        <w:p w14:paraId="299BD08A" w14:textId="77777777" w:rsidR="009F28D6" w:rsidRPr="001A0537" w:rsidRDefault="009F28D6" w:rsidP="009F28D6">
          <w:pPr>
            <w:spacing w:before="80"/>
            <w:jc w:val="center"/>
            <w:rPr>
              <w:rFonts w:ascii="Arial" w:hAnsi="Arial" w:cs="Arial"/>
              <w:b/>
              <w:sz w:val="32"/>
              <w:szCs w:val="32"/>
            </w:rPr>
          </w:pPr>
          <w:r>
            <w:rPr>
              <w:rFonts w:ascii="Arial" w:hAnsi="Arial"/>
              <w:b/>
              <w:sz w:val="32"/>
              <w:szCs w:val="32"/>
            </w:rPr>
            <w:t xml:space="preserve">HIGH JUDICIAL &amp; PROSECUTORIAL COUNCIL </w:t>
          </w:r>
        </w:p>
        <w:p w14:paraId="599C034A" w14:textId="77777777" w:rsidR="009F28D6" w:rsidRPr="001A0537" w:rsidRDefault="009F28D6" w:rsidP="009F28D6">
          <w:pPr>
            <w:spacing w:before="80"/>
            <w:jc w:val="center"/>
            <w:rPr>
              <w:rFonts w:ascii="Arial" w:hAnsi="Arial" w:cs="Arial"/>
              <w:b/>
              <w:sz w:val="32"/>
              <w:szCs w:val="32"/>
            </w:rPr>
          </w:pPr>
          <w:r>
            <w:rPr>
              <w:rFonts w:ascii="Arial" w:hAnsi="Arial"/>
              <w:b/>
              <w:sz w:val="32"/>
              <w:szCs w:val="32"/>
            </w:rPr>
            <w:t>OF BOSNIA AND HERZEGOVINA</w:t>
          </w:r>
        </w:p>
        <w:p w14:paraId="513720D2" w14:textId="77777777" w:rsidR="009F28D6" w:rsidRPr="001A0537" w:rsidRDefault="009F28D6" w:rsidP="009F28D6">
          <w:pPr>
            <w:spacing w:before="80"/>
            <w:jc w:val="center"/>
            <w:rPr>
              <w:rFonts w:ascii="Arial" w:hAnsi="Arial" w:cs="Arial"/>
              <w:b/>
              <w:sz w:val="32"/>
              <w:szCs w:val="32"/>
              <w:lang w:val="hr-BA"/>
            </w:rPr>
          </w:pPr>
        </w:p>
        <w:p w14:paraId="4AF30A8E" w14:textId="77777777" w:rsidR="009F28D6" w:rsidRPr="001A0537" w:rsidRDefault="003372E0" w:rsidP="009F28D6">
          <w:pPr>
            <w:spacing w:before="80"/>
            <w:jc w:val="center"/>
            <w:rPr>
              <w:rFonts w:ascii="Arial" w:hAnsi="Arial" w:cs="Arial"/>
              <w:b/>
              <w:sz w:val="32"/>
              <w:szCs w:val="32"/>
            </w:rPr>
          </w:pPr>
          <w:r>
            <w:rPr>
              <w:rFonts w:ascii="Arial" w:hAnsi="Arial"/>
              <w:b/>
              <w:sz w:val="32"/>
              <w:szCs w:val="32"/>
            </w:rPr>
            <w:t>2021 ANNUAL REPORT</w:t>
          </w:r>
        </w:p>
        <w:p w14:paraId="68E8C37F" w14:textId="77777777" w:rsidR="009F28D6" w:rsidRPr="001A0537" w:rsidRDefault="009F28D6" w:rsidP="009F28D6">
          <w:pPr>
            <w:pStyle w:val="ListParagraph"/>
            <w:spacing w:before="80"/>
            <w:rPr>
              <w:rFonts w:ascii="Arial" w:hAnsi="Arial" w:cs="Arial"/>
            </w:rPr>
          </w:pPr>
          <w:r>
            <w:rPr>
              <w:rFonts w:ascii="Arial" w:hAnsi="Arial"/>
            </w:rPr>
            <w:t xml:space="preserve"> </w:t>
          </w:r>
        </w:p>
        <w:p w14:paraId="44A0DE24" w14:textId="77777777" w:rsidR="009F28D6" w:rsidRPr="001A0537" w:rsidRDefault="009F28D6" w:rsidP="009F28D6">
          <w:pPr>
            <w:spacing w:before="80"/>
            <w:rPr>
              <w:rFonts w:ascii="Arial" w:hAnsi="Arial" w:cs="Arial"/>
              <w:lang w:val="hr-BA"/>
            </w:rPr>
          </w:pPr>
        </w:p>
        <w:p w14:paraId="6A76E058" w14:textId="77777777" w:rsidR="009F28D6" w:rsidRPr="001A0537" w:rsidRDefault="009F28D6" w:rsidP="009F28D6">
          <w:pPr>
            <w:spacing w:before="80"/>
            <w:rPr>
              <w:rFonts w:ascii="Arial" w:hAnsi="Arial" w:cs="Arial"/>
              <w:lang w:val="hr-BA"/>
            </w:rPr>
          </w:pPr>
        </w:p>
        <w:p w14:paraId="6D8984EE" w14:textId="77777777" w:rsidR="009F28D6" w:rsidRPr="001A0537" w:rsidRDefault="009F28D6" w:rsidP="009F28D6">
          <w:pPr>
            <w:spacing w:before="80"/>
            <w:rPr>
              <w:rFonts w:ascii="Arial" w:hAnsi="Arial" w:cs="Arial"/>
              <w:lang w:val="hr-BA"/>
            </w:rPr>
          </w:pPr>
        </w:p>
        <w:p w14:paraId="4FBD8D0E" w14:textId="77777777" w:rsidR="009F28D6" w:rsidRPr="001A0537" w:rsidRDefault="009F28D6" w:rsidP="009F28D6">
          <w:pPr>
            <w:spacing w:before="80"/>
            <w:rPr>
              <w:rFonts w:ascii="Arial" w:hAnsi="Arial" w:cs="Arial"/>
              <w:lang w:val="hr-BA"/>
            </w:rPr>
          </w:pPr>
        </w:p>
        <w:p w14:paraId="35D92FD2" w14:textId="77777777" w:rsidR="009F28D6" w:rsidRPr="001A0537" w:rsidRDefault="009F28D6" w:rsidP="009F28D6">
          <w:pPr>
            <w:spacing w:before="80"/>
            <w:rPr>
              <w:rFonts w:ascii="Arial" w:hAnsi="Arial" w:cs="Arial"/>
              <w:lang w:val="hr-BA"/>
            </w:rPr>
          </w:pPr>
        </w:p>
        <w:p w14:paraId="680C6E0B" w14:textId="77777777" w:rsidR="009F28D6" w:rsidRPr="001A0537" w:rsidRDefault="009F28D6" w:rsidP="009F28D6">
          <w:pPr>
            <w:spacing w:before="80"/>
            <w:rPr>
              <w:rFonts w:ascii="Arial" w:hAnsi="Arial" w:cs="Arial"/>
              <w:lang w:val="hr-BA"/>
            </w:rPr>
          </w:pPr>
        </w:p>
        <w:p w14:paraId="3FE68545" w14:textId="77777777" w:rsidR="009F28D6" w:rsidRPr="001A0537" w:rsidRDefault="009F28D6" w:rsidP="009F28D6">
          <w:pPr>
            <w:spacing w:before="80"/>
            <w:rPr>
              <w:rFonts w:ascii="Arial" w:hAnsi="Arial" w:cs="Arial"/>
              <w:lang w:val="hr-BA"/>
            </w:rPr>
          </w:pPr>
        </w:p>
        <w:p w14:paraId="099389C7" w14:textId="77777777" w:rsidR="009F28D6" w:rsidRPr="001A0537" w:rsidRDefault="009F28D6" w:rsidP="009F28D6">
          <w:pPr>
            <w:spacing w:before="80"/>
            <w:rPr>
              <w:rFonts w:ascii="Arial" w:hAnsi="Arial" w:cs="Arial"/>
              <w:lang w:val="hr-BA"/>
            </w:rPr>
          </w:pPr>
        </w:p>
        <w:p w14:paraId="7C19455F" w14:textId="77777777" w:rsidR="009F28D6" w:rsidRPr="001A0537" w:rsidRDefault="009F28D6" w:rsidP="009F28D6">
          <w:pPr>
            <w:spacing w:before="80"/>
            <w:rPr>
              <w:rFonts w:ascii="Arial" w:hAnsi="Arial" w:cs="Arial"/>
              <w:lang w:val="hr-BA"/>
            </w:rPr>
          </w:pPr>
        </w:p>
        <w:p w14:paraId="7087428C" w14:textId="77777777" w:rsidR="009F28D6" w:rsidRPr="001A0537" w:rsidRDefault="009F28D6" w:rsidP="009F28D6">
          <w:pPr>
            <w:spacing w:before="80"/>
            <w:rPr>
              <w:rFonts w:ascii="Arial" w:hAnsi="Arial" w:cs="Arial"/>
              <w:lang w:val="hr-BA"/>
            </w:rPr>
          </w:pPr>
        </w:p>
        <w:p w14:paraId="1010EA93" w14:textId="77777777" w:rsidR="009F28D6" w:rsidRPr="001A0537" w:rsidRDefault="009F28D6" w:rsidP="009F28D6">
          <w:pPr>
            <w:spacing w:before="80"/>
            <w:rPr>
              <w:rFonts w:ascii="Arial" w:hAnsi="Arial" w:cs="Arial"/>
              <w:lang w:val="hr-BA"/>
            </w:rPr>
          </w:pPr>
        </w:p>
        <w:p w14:paraId="7403CAA9" w14:textId="77777777" w:rsidR="009F28D6" w:rsidRPr="001A0537" w:rsidRDefault="009F28D6" w:rsidP="009F28D6">
          <w:pPr>
            <w:spacing w:before="80"/>
            <w:rPr>
              <w:rFonts w:ascii="Arial" w:hAnsi="Arial" w:cs="Arial"/>
              <w:lang w:val="hr-BA"/>
            </w:rPr>
          </w:pPr>
        </w:p>
        <w:p w14:paraId="5082BD9D" w14:textId="77777777" w:rsidR="009F28D6" w:rsidRPr="001A0537" w:rsidRDefault="009F28D6" w:rsidP="009F28D6">
          <w:pPr>
            <w:spacing w:before="80"/>
            <w:rPr>
              <w:rFonts w:ascii="Arial" w:hAnsi="Arial" w:cs="Arial"/>
              <w:lang w:val="hr-BA"/>
            </w:rPr>
          </w:pPr>
        </w:p>
        <w:p w14:paraId="42B11291" w14:textId="77777777" w:rsidR="009F28D6" w:rsidRPr="001A0537" w:rsidRDefault="009F28D6" w:rsidP="009F28D6">
          <w:pPr>
            <w:spacing w:before="80"/>
            <w:rPr>
              <w:rFonts w:ascii="Arial" w:hAnsi="Arial" w:cs="Arial"/>
              <w:lang w:val="hr-BA"/>
            </w:rPr>
          </w:pPr>
        </w:p>
        <w:p w14:paraId="1E22190C" w14:textId="77777777" w:rsidR="009F28D6" w:rsidRPr="001A0537" w:rsidRDefault="009F28D6" w:rsidP="009F28D6">
          <w:pPr>
            <w:spacing w:before="80"/>
            <w:rPr>
              <w:rFonts w:ascii="Arial" w:hAnsi="Arial" w:cs="Arial"/>
              <w:lang w:val="hr-BA"/>
            </w:rPr>
          </w:pPr>
        </w:p>
        <w:p w14:paraId="1D27A911" w14:textId="77777777" w:rsidR="009F28D6" w:rsidRPr="001A0537" w:rsidRDefault="009F28D6" w:rsidP="009F28D6">
          <w:pPr>
            <w:spacing w:before="80"/>
            <w:rPr>
              <w:rFonts w:ascii="Arial" w:hAnsi="Arial" w:cs="Arial"/>
              <w:lang w:val="hr-BA"/>
            </w:rPr>
          </w:pPr>
        </w:p>
        <w:p w14:paraId="158DC480" w14:textId="77777777" w:rsidR="009F28D6" w:rsidRPr="001A0537" w:rsidRDefault="009F28D6" w:rsidP="009F28D6">
          <w:pPr>
            <w:spacing w:before="80"/>
            <w:rPr>
              <w:rFonts w:ascii="Arial" w:hAnsi="Arial" w:cs="Arial"/>
              <w:lang w:val="hr-BA"/>
            </w:rPr>
          </w:pPr>
        </w:p>
        <w:p w14:paraId="7AB81560" w14:textId="3457EA66" w:rsidR="009F28D6" w:rsidRPr="001A0537" w:rsidRDefault="009F28D6" w:rsidP="009F28D6">
          <w:pPr>
            <w:spacing w:before="80"/>
            <w:jc w:val="center"/>
            <w:rPr>
              <w:rFonts w:ascii="Arial" w:hAnsi="Arial" w:cs="Arial"/>
              <w:sz w:val="22"/>
              <w:szCs w:val="22"/>
            </w:rPr>
          </w:pPr>
          <w:r>
            <w:rPr>
              <w:rFonts w:ascii="Arial" w:hAnsi="Arial"/>
              <w:sz w:val="22"/>
              <w:szCs w:val="22"/>
            </w:rPr>
            <w:t>The Council prints its annual reports in one of the official languages of Bosnia and Herzegovina, alternating the order as follows – Bosnian, Serbian and Croatian.</w:t>
          </w:r>
        </w:p>
        <w:p w14:paraId="0318EA88" w14:textId="77777777" w:rsidR="009F28D6" w:rsidRPr="001A0537" w:rsidRDefault="009F28D6">
          <w:pPr>
            <w:rPr>
              <w:rFonts w:ascii="Arial" w:hAnsi="Arial" w:cs="Arial"/>
              <w:lang w:val="hr-BA"/>
            </w:rPr>
          </w:pPr>
        </w:p>
        <w:p w14:paraId="6DEA112F" w14:textId="77777777" w:rsidR="00007964" w:rsidRPr="001A0537" w:rsidRDefault="00007964" w:rsidP="00052193">
          <w:pPr>
            <w:spacing w:before="240" w:after="60"/>
            <w:rPr>
              <w:rFonts w:ascii="Arial" w:hAnsi="Arial" w:cs="Arial"/>
              <w:b/>
              <w:sz w:val="32"/>
              <w:szCs w:val="32"/>
              <w:lang w:val="hr-BA"/>
            </w:rPr>
          </w:pPr>
        </w:p>
        <w:p w14:paraId="47A2379B" w14:textId="77777777" w:rsidR="00007964" w:rsidRPr="001A0537" w:rsidRDefault="00007964">
          <w:pPr>
            <w:rPr>
              <w:rFonts w:ascii="Arial" w:hAnsi="Arial" w:cs="Arial"/>
              <w:b/>
              <w:sz w:val="32"/>
              <w:szCs w:val="32"/>
            </w:rPr>
          </w:pPr>
          <w:r>
            <w:br w:type="page"/>
          </w:r>
        </w:p>
        <w:p w14:paraId="353C05B5" w14:textId="77777777" w:rsidR="00914A54" w:rsidRPr="001A0537" w:rsidRDefault="00052193" w:rsidP="00052193">
          <w:pPr>
            <w:spacing w:before="240" w:after="60"/>
            <w:rPr>
              <w:rFonts w:ascii="Arial" w:hAnsi="Arial" w:cs="Arial"/>
              <w:b/>
              <w:sz w:val="32"/>
              <w:szCs w:val="32"/>
            </w:rPr>
          </w:pPr>
          <w:r>
            <w:rPr>
              <w:rFonts w:ascii="Arial" w:hAnsi="Arial"/>
              <w:b/>
              <w:sz w:val="32"/>
              <w:szCs w:val="32"/>
            </w:rPr>
            <w:lastRenderedPageBreak/>
            <w:t>CONTENTS</w:t>
          </w:r>
        </w:p>
        <w:p w14:paraId="5AB3C6C5" w14:textId="77777777" w:rsidR="00914A54" w:rsidRPr="001A0537" w:rsidRDefault="00914A54" w:rsidP="00D11FCC">
          <w:pPr>
            <w:pStyle w:val="TOC2"/>
            <w:rPr>
              <w:lang w:val="hr-BA"/>
            </w:rPr>
          </w:pPr>
        </w:p>
        <w:p w14:paraId="54F7314E" w14:textId="33E7DD73" w:rsidR="009627A8" w:rsidRDefault="001A6A17">
          <w:pPr>
            <w:pStyle w:val="TOC1"/>
            <w:rPr>
              <w:rFonts w:asciiTheme="minorHAnsi" w:eastAsiaTheme="minorEastAsia" w:hAnsiTheme="minorHAnsi" w:cstheme="minorBidi"/>
              <w:b w:val="0"/>
              <w:bCs w:val="0"/>
              <w:caps w:val="0"/>
              <w:kern w:val="0"/>
              <w:sz w:val="22"/>
              <w:szCs w:val="22"/>
              <w:lang w:val="bs-Latn-BA" w:eastAsia="bs-Latn-BA"/>
            </w:rPr>
          </w:pPr>
          <w:r>
            <w:rPr>
              <w:b w:val="0"/>
              <w:sz w:val="32"/>
              <w:szCs w:val="32"/>
            </w:rPr>
            <w:fldChar w:fldCharType="begin"/>
          </w:r>
          <w:r>
            <w:rPr>
              <w:b w:val="0"/>
              <w:sz w:val="32"/>
              <w:szCs w:val="32"/>
            </w:rPr>
            <w:instrText xml:space="preserve"> TOC \o "1-4" \h \z \t "PRVI NASLOV;1;DRUGI NASLOV;2;TREĆI NASLOV;3;Četvrti naslov;4" </w:instrText>
          </w:r>
          <w:r>
            <w:rPr>
              <w:b w:val="0"/>
              <w:sz w:val="32"/>
              <w:szCs w:val="32"/>
            </w:rPr>
            <w:fldChar w:fldCharType="separate"/>
          </w:r>
          <w:hyperlink w:anchor="_Toc112852402" w:history="1">
            <w:r w:rsidR="009627A8" w:rsidRPr="002053FC">
              <w:rPr>
                <w:rStyle w:val="Hyperlink"/>
              </w:rPr>
              <w:t>FOREWORD FROM THE HJPC PRESIDENT</w:t>
            </w:r>
            <w:r w:rsidR="009627A8">
              <w:rPr>
                <w:webHidden/>
              </w:rPr>
              <w:tab/>
            </w:r>
            <w:r w:rsidR="009627A8">
              <w:rPr>
                <w:webHidden/>
              </w:rPr>
              <w:fldChar w:fldCharType="begin"/>
            </w:r>
            <w:r w:rsidR="009627A8">
              <w:rPr>
                <w:webHidden/>
              </w:rPr>
              <w:instrText xml:space="preserve"> PAGEREF _Toc112852402 \h </w:instrText>
            </w:r>
            <w:r w:rsidR="009627A8">
              <w:rPr>
                <w:webHidden/>
              </w:rPr>
            </w:r>
            <w:r w:rsidR="009627A8">
              <w:rPr>
                <w:webHidden/>
              </w:rPr>
              <w:fldChar w:fldCharType="separate"/>
            </w:r>
            <w:r w:rsidR="009627A8">
              <w:rPr>
                <w:webHidden/>
              </w:rPr>
              <w:t>7</w:t>
            </w:r>
            <w:r w:rsidR="009627A8">
              <w:rPr>
                <w:webHidden/>
              </w:rPr>
              <w:fldChar w:fldCharType="end"/>
            </w:r>
          </w:hyperlink>
        </w:p>
        <w:p w14:paraId="2A2B56E0" w14:textId="1676AE45" w:rsidR="009627A8" w:rsidRDefault="006D1459">
          <w:pPr>
            <w:pStyle w:val="TOC1"/>
            <w:rPr>
              <w:rFonts w:asciiTheme="minorHAnsi" w:eastAsiaTheme="minorEastAsia" w:hAnsiTheme="minorHAnsi" w:cstheme="minorBidi"/>
              <w:b w:val="0"/>
              <w:bCs w:val="0"/>
              <w:caps w:val="0"/>
              <w:kern w:val="0"/>
              <w:sz w:val="22"/>
              <w:szCs w:val="22"/>
              <w:lang w:val="bs-Latn-BA" w:eastAsia="bs-Latn-BA"/>
            </w:rPr>
          </w:pPr>
          <w:hyperlink w:anchor="_Toc112852403" w:history="1">
            <w:r w:rsidR="009627A8" w:rsidRPr="002053FC">
              <w:rPr>
                <w:rStyle w:val="Hyperlink"/>
              </w:rPr>
              <w:t>MEMBERS OF THE HJPC BiH</w:t>
            </w:r>
            <w:r w:rsidR="009627A8">
              <w:rPr>
                <w:webHidden/>
              </w:rPr>
              <w:tab/>
            </w:r>
            <w:r w:rsidR="009627A8">
              <w:rPr>
                <w:webHidden/>
              </w:rPr>
              <w:fldChar w:fldCharType="begin"/>
            </w:r>
            <w:r w:rsidR="009627A8">
              <w:rPr>
                <w:webHidden/>
              </w:rPr>
              <w:instrText xml:space="preserve"> PAGEREF _Toc112852403 \h </w:instrText>
            </w:r>
            <w:r w:rsidR="009627A8">
              <w:rPr>
                <w:webHidden/>
              </w:rPr>
            </w:r>
            <w:r w:rsidR="009627A8">
              <w:rPr>
                <w:webHidden/>
              </w:rPr>
              <w:fldChar w:fldCharType="separate"/>
            </w:r>
            <w:r w:rsidR="009627A8">
              <w:rPr>
                <w:webHidden/>
              </w:rPr>
              <w:t>11</w:t>
            </w:r>
            <w:r w:rsidR="009627A8">
              <w:rPr>
                <w:webHidden/>
              </w:rPr>
              <w:fldChar w:fldCharType="end"/>
            </w:r>
          </w:hyperlink>
        </w:p>
        <w:p w14:paraId="5BB0AB89" w14:textId="72F3E6F4" w:rsidR="009627A8" w:rsidRDefault="006D1459">
          <w:pPr>
            <w:pStyle w:val="TOC2"/>
            <w:rPr>
              <w:rFonts w:asciiTheme="minorHAnsi" w:eastAsiaTheme="minorEastAsia" w:hAnsiTheme="minorHAnsi" w:cstheme="minorBidi"/>
              <w:b w:val="0"/>
              <w:sz w:val="22"/>
              <w:szCs w:val="22"/>
              <w:lang w:val="bs-Latn-BA" w:eastAsia="bs-Latn-BA"/>
            </w:rPr>
          </w:pPr>
          <w:hyperlink w:anchor="_Toc112852404" w:history="1">
            <w:r w:rsidR="009627A8" w:rsidRPr="002053FC">
              <w:rPr>
                <w:rStyle w:val="Hyperlink"/>
              </w:rPr>
              <w:t>HJPC BiH Organisational Chart</w:t>
            </w:r>
            <w:r w:rsidR="009627A8">
              <w:rPr>
                <w:webHidden/>
              </w:rPr>
              <w:tab/>
            </w:r>
            <w:r w:rsidR="009627A8">
              <w:rPr>
                <w:webHidden/>
              </w:rPr>
              <w:fldChar w:fldCharType="begin"/>
            </w:r>
            <w:r w:rsidR="009627A8">
              <w:rPr>
                <w:webHidden/>
              </w:rPr>
              <w:instrText xml:space="preserve"> PAGEREF _Toc112852404 \h </w:instrText>
            </w:r>
            <w:r w:rsidR="009627A8">
              <w:rPr>
                <w:webHidden/>
              </w:rPr>
            </w:r>
            <w:r w:rsidR="009627A8">
              <w:rPr>
                <w:webHidden/>
              </w:rPr>
              <w:fldChar w:fldCharType="separate"/>
            </w:r>
            <w:r w:rsidR="009627A8">
              <w:rPr>
                <w:webHidden/>
              </w:rPr>
              <w:t>14</w:t>
            </w:r>
            <w:r w:rsidR="009627A8">
              <w:rPr>
                <w:webHidden/>
              </w:rPr>
              <w:fldChar w:fldCharType="end"/>
            </w:r>
          </w:hyperlink>
        </w:p>
        <w:p w14:paraId="23B190A5" w14:textId="402DA10D" w:rsidR="009627A8" w:rsidRDefault="006D1459">
          <w:pPr>
            <w:pStyle w:val="TOC1"/>
            <w:rPr>
              <w:rFonts w:asciiTheme="minorHAnsi" w:eastAsiaTheme="minorEastAsia" w:hAnsiTheme="minorHAnsi" w:cstheme="minorBidi"/>
              <w:b w:val="0"/>
              <w:bCs w:val="0"/>
              <w:caps w:val="0"/>
              <w:kern w:val="0"/>
              <w:sz w:val="22"/>
              <w:szCs w:val="22"/>
              <w:lang w:val="bs-Latn-BA" w:eastAsia="bs-Latn-BA"/>
            </w:rPr>
          </w:pPr>
          <w:hyperlink w:anchor="_Toc112852405" w:history="1">
            <w:r w:rsidR="009627A8" w:rsidRPr="002053FC">
              <w:rPr>
                <w:rStyle w:val="Hyperlink"/>
              </w:rPr>
              <w:t>HJPC BiH FINANCIAL OPERATIONS</w:t>
            </w:r>
            <w:r w:rsidR="009627A8">
              <w:rPr>
                <w:webHidden/>
              </w:rPr>
              <w:tab/>
            </w:r>
            <w:r w:rsidR="009627A8">
              <w:rPr>
                <w:webHidden/>
              </w:rPr>
              <w:fldChar w:fldCharType="begin"/>
            </w:r>
            <w:r w:rsidR="009627A8">
              <w:rPr>
                <w:webHidden/>
              </w:rPr>
              <w:instrText xml:space="preserve"> PAGEREF _Toc112852405 \h </w:instrText>
            </w:r>
            <w:r w:rsidR="009627A8">
              <w:rPr>
                <w:webHidden/>
              </w:rPr>
            </w:r>
            <w:r w:rsidR="009627A8">
              <w:rPr>
                <w:webHidden/>
              </w:rPr>
              <w:fldChar w:fldCharType="separate"/>
            </w:r>
            <w:r w:rsidR="009627A8">
              <w:rPr>
                <w:webHidden/>
              </w:rPr>
              <w:t>15</w:t>
            </w:r>
            <w:r w:rsidR="009627A8">
              <w:rPr>
                <w:webHidden/>
              </w:rPr>
              <w:fldChar w:fldCharType="end"/>
            </w:r>
          </w:hyperlink>
        </w:p>
        <w:p w14:paraId="6E06D6AA" w14:textId="23CC1928" w:rsidR="009627A8" w:rsidRDefault="006D1459">
          <w:pPr>
            <w:pStyle w:val="TOC2"/>
            <w:rPr>
              <w:rFonts w:asciiTheme="minorHAnsi" w:eastAsiaTheme="minorEastAsia" w:hAnsiTheme="minorHAnsi" w:cstheme="minorBidi"/>
              <w:b w:val="0"/>
              <w:sz w:val="22"/>
              <w:szCs w:val="22"/>
              <w:lang w:val="bs-Latn-BA" w:eastAsia="bs-Latn-BA"/>
            </w:rPr>
          </w:pPr>
          <w:hyperlink w:anchor="_Toc112852406" w:history="1">
            <w:r w:rsidR="009627A8" w:rsidRPr="002053FC">
              <w:rPr>
                <w:rStyle w:val="Hyperlink"/>
              </w:rPr>
              <w:t>Funding HJPC BiH activities</w:t>
            </w:r>
            <w:r w:rsidR="009627A8">
              <w:rPr>
                <w:webHidden/>
              </w:rPr>
              <w:tab/>
            </w:r>
            <w:r w:rsidR="009627A8">
              <w:rPr>
                <w:webHidden/>
              </w:rPr>
              <w:fldChar w:fldCharType="begin"/>
            </w:r>
            <w:r w:rsidR="009627A8">
              <w:rPr>
                <w:webHidden/>
              </w:rPr>
              <w:instrText xml:space="preserve"> PAGEREF _Toc112852406 \h </w:instrText>
            </w:r>
            <w:r w:rsidR="009627A8">
              <w:rPr>
                <w:webHidden/>
              </w:rPr>
            </w:r>
            <w:r w:rsidR="009627A8">
              <w:rPr>
                <w:webHidden/>
              </w:rPr>
              <w:fldChar w:fldCharType="separate"/>
            </w:r>
            <w:r w:rsidR="009627A8">
              <w:rPr>
                <w:webHidden/>
              </w:rPr>
              <w:t>15</w:t>
            </w:r>
            <w:r w:rsidR="009627A8">
              <w:rPr>
                <w:webHidden/>
              </w:rPr>
              <w:fldChar w:fldCharType="end"/>
            </w:r>
          </w:hyperlink>
        </w:p>
        <w:p w14:paraId="176637F7" w14:textId="7482B776" w:rsidR="009627A8" w:rsidRDefault="006D1459">
          <w:pPr>
            <w:pStyle w:val="TOC2"/>
            <w:rPr>
              <w:rFonts w:asciiTheme="minorHAnsi" w:eastAsiaTheme="minorEastAsia" w:hAnsiTheme="minorHAnsi" w:cstheme="minorBidi"/>
              <w:b w:val="0"/>
              <w:sz w:val="22"/>
              <w:szCs w:val="22"/>
              <w:lang w:val="bs-Latn-BA" w:eastAsia="bs-Latn-BA"/>
            </w:rPr>
          </w:pPr>
          <w:hyperlink w:anchor="_Toc112852407" w:history="1">
            <w:r w:rsidR="009627A8" w:rsidRPr="002053FC">
              <w:rPr>
                <w:rStyle w:val="Hyperlink"/>
              </w:rPr>
              <w:t>Financing project activities focused on judicial reform with donor funds</w:t>
            </w:r>
            <w:r w:rsidR="009627A8">
              <w:rPr>
                <w:webHidden/>
              </w:rPr>
              <w:tab/>
            </w:r>
            <w:r w:rsidR="009627A8">
              <w:rPr>
                <w:webHidden/>
              </w:rPr>
              <w:fldChar w:fldCharType="begin"/>
            </w:r>
            <w:r w:rsidR="009627A8">
              <w:rPr>
                <w:webHidden/>
              </w:rPr>
              <w:instrText xml:space="preserve"> PAGEREF _Toc112852407 \h </w:instrText>
            </w:r>
            <w:r w:rsidR="009627A8">
              <w:rPr>
                <w:webHidden/>
              </w:rPr>
            </w:r>
            <w:r w:rsidR="009627A8">
              <w:rPr>
                <w:webHidden/>
              </w:rPr>
              <w:fldChar w:fldCharType="separate"/>
            </w:r>
            <w:r w:rsidR="009627A8">
              <w:rPr>
                <w:webHidden/>
              </w:rPr>
              <w:t>15</w:t>
            </w:r>
            <w:r w:rsidR="009627A8">
              <w:rPr>
                <w:webHidden/>
              </w:rPr>
              <w:fldChar w:fldCharType="end"/>
            </w:r>
          </w:hyperlink>
        </w:p>
        <w:p w14:paraId="477DAA1D" w14:textId="00947A28" w:rsidR="009627A8" w:rsidRDefault="006D1459">
          <w:pPr>
            <w:pStyle w:val="TOC2"/>
            <w:rPr>
              <w:rFonts w:asciiTheme="minorHAnsi" w:eastAsiaTheme="minorEastAsia" w:hAnsiTheme="minorHAnsi" w:cstheme="minorBidi"/>
              <w:b w:val="0"/>
              <w:sz w:val="22"/>
              <w:szCs w:val="22"/>
              <w:lang w:val="bs-Latn-BA" w:eastAsia="bs-Latn-BA"/>
            </w:rPr>
          </w:pPr>
          <w:hyperlink w:anchor="_Toc112852408" w:history="1">
            <w:r w:rsidR="009627A8" w:rsidRPr="002053FC">
              <w:rPr>
                <w:rStyle w:val="Hyperlink"/>
              </w:rPr>
              <w:t>Investments in the Judiciary of Bosnia and Herzegovina</w:t>
            </w:r>
            <w:r w:rsidR="009627A8">
              <w:rPr>
                <w:webHidden/>
              </w:rPr>
              <w:tab/>
            </w:r>
            <w:r w:rsidR="009627A8">
              <w:rPr>
                <w:webHidden/>
              </w:rPr>
              <w:fldChar w:fldCharType="begin"/>
            </w:r>
            <w:r w:rsidR="009627A8">
              <w:rPr>
                <w:webHidden/>
              </w:rPr>
              <w:instrText xml:space="preserve"> PAGEREF _Toc112852408 \h </w:instrText>
            </w:r>
            <w:r w:rsidR="009627A8">
              <w:rPr>
                <w:webHidden/>
              </w:rPr>
            </w:r>
            <w:r w:rsidR="009627A8">
              <w:rPr>
                <w:webHidden/>
              </w:rPr>
              <w:fldChar w:fldCharType="separate"/>
            </w:r>
            <w:r w:rsidR="009627A8">
              <w:rPr>
                <w:webHidden/>
              </w:rPr>
              <w:t>17</w:t>
            </w:r>
            <w:r w:rsidR="009627A8">
              <w:rPr>
                <w:webHidden/>
              </w:rPr>
              <w:fldChar w:fldCharType="end"/>
            </w:r>
          </w:hyperlink>
        </w:p>
        <w:p w14:paraId="3AF3FAE5" w14:textId="338A65E3" w:rsidR="009627A8" w:rsidRDefault="006D1459">
          <w:pPr>
            <w:pStyle w:val="TOC2"/>
            <w:rPr>
              <w:rFonts w:asciiTheme="minorHAnsi" w:eastAsiaTheme="minorEastAsia" w:hAnsiTheme="minorHAnsi" w:cstheme="minorBidi"/>
              <w:b w:val="0"/>
              <w:sz w:val="22"/>
              <w:szCs w:val="22"/>
              <w:lang w:val="bs-Latn-BA" w:eastAsia="bs-Latn-BA"/>
            </w:rPr>
          </w:pPr>
          <w:hyperlink w:anchor="_Toc112852409" w:history="1">
            <w:r w:rsidR="009627A8" w:rsidRPr="002053FC">
              <w:rPr>
                <w:rStyle w:val="Hyperlink"/>
              </w:rPr>
              <w:t>Audits</w:t>
            </w:r>
            <w:r w:rsidR="009627A8">
              <w:rPr>
                <w:webHidden/>
              </w:rPr>
              <w:tab/>
            </w:r>
            <w:r w:rsidR="009627A8">
              <w:rPr>
                <w:webHidden/>
              </w:rPr>
              <w:tab/>
            </w:r>
            <w:r w:rsidR="009627A8">
              <w:rPr>
                <w:webHidden/>
              </w:rPr>
              <w:fldChar w:fldCharType="begin"/>
            </w:r>
            <w:r w:rsidR="009627A8">
              <w:rPr>
                <w:webHidden/>
              </w:rPr>
              <w:instrText xml:space="preserve"> PAGEREF _Toc112852409 \h </w:instrText>
            </w:r>
            <w:r w:rsidR="009627A8">
              <w:rPr>
                <w:webHidden/>
              </w:rPr>
            </w:r>
            <w:r w:rsidR="009627A8">
              <w:rPr>
                <w:webHidden/>
              </w:rPr>
              <w:fldChar w:fldCharType="separate"/>
            </w:r>
            <w:r w:rsidR="009627A8">
              <w:rPr>
                <w:webHidden/>
              </w:rPr>
              <w:t>17</w:t>
            </w:r>
            <w:r w:rsidR="009627A8">
              <w:rPr>
                <w:webHidden/>
              </w:rPr>
              <w:fldChar w:fldCharType="end"/>
            </w:r>
          </w:hyperlink>
        </w:p>
        <w:p w14:paraId="3CECED4C" w14:textId="1D6255F0" w:rsidR="009627A8" w:rsidRDefault="006D1459">
          <w:pPr>
            <w:pStyle w:val="TOC1"/>
            <w:rPr>
              <w:rFonts w:asciiTheme="minorHAnsi" w:eastAsiaTheme="minorEastAsia" w:hAnsiTheme="minorHAnsi" w:cstheme="minorBidi"/>
              <w:b w:val="0"/>
              <w:bCs w:val="0"/>
              <w:caps w:val="0"/>
              <w:kern w:val="0"/>
              <w:sz w:val="22"/>
              <w:szCs w:val="22"/>
              <w:lang w:val="bs-Latn-BA" w:eastAsia="bs-Latn-BA"/>
            </w:rPr>
          </w:pPr>
          <w:hyperlink w:anchor="_Toc112852410" w:history="1">
            <w:r w:rsidR="009627A8" w:rsidRPr="002053FC">
              <w:rPr>
                <w:rStyle w:val="Hyperlink"/>
              </w:rPr>
              <w:t>APPOINTMENT TO JUDICIAL OFFICE</w:t>
            </w:r>
            <w:r w:rsidR="009627A8">
              <w:rPr>
                <w:webHidden/>
              </w:rPr>
              <w:tab/>
            </w:r>
            <w:r w:rsidR="009627A8">
              <w:rPr>
                <w:webHidden/>
              </w:rPr>
              <w:fldChar w:fldCharType="begin"/>
            </w:r>
            <w:r w:rsidR="009627A8">
              <w:rPr>
                <w:webHidden/>
              </w:rPr>
              <w:instrText xml:space="preserve"> PAGEREF _Toc112852410 \h </w:instrText>
            </w:r>
            <w:r w:rsidR="009627A8">
              <w:rPr>
                <w:webHidden/>
              </w:rPr>
            </w:r>
            <w:r w:rsidR="009627A8">
              <w:rPr>
                <w:webHidden/>
              </w:rPr>
              <w:fldChar w:fldCharType="separate"/>
            </w:r>
            <w:r w:rsidR="009627A8">
              <w:rPr>
                <w:webHidden/>
              </w:rPr>
              <w:t>18</w:t>
            </w:r>
            <w:r w:rsidR="009627A8">
              <w:rPr>
                <w:webHidden/>
              </w:rPr>
              <w:fldChar w:fldCharType="end"/>
            </w:r>
          </w:hyperlink>
        </w:p>
        <w:p w14:paraId="685848BC" w14:textId="06AD9B51"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11" w:history="1">
            <w:r w:rsidR="009627A8" w:rsidRPr="002053FC">
              <w:rPr>
                <w:rStyle w:val="Hyperlink"/>
              </w:rPr>
              <w:t>The database with questions for entrance exams has been expanded to include 600 new exam questions</w:t>
            </w:r>
            <w:r w:rsidR="009627A8">
              <w:rPr>
                <w:webHidden/>
              </w:rPr>
              <w:tab/>
            </w:r>
            <w:r w:rsidR="009627A8">
              <w:rPr>
                <w:webHidden/>
              </w:rPr>
              <w:fldChar w:fldCharType="begin"/>
            </w:r>
            <w:r w:rsidR="009627A8">
              <w:rPr>
                <w:webHidden/>
              </w:rPr>
              <w:instrText xml:space="preserve"> PAGEREF _Toc112852411 \h </w:instrText>
            </w:r>
            <w:r w:rsidR="009627A8">
              <w:rPr>
                <w:webHidden/>
              </w:rPr>
            </w:r>
            <w:r w:rsidR="009627A8">
              <w:rPr>
                <w:webHidden/>
              </w:rPr>
              <w:fldChar w:fldCharType="separate"/>
            </w:r>
            <w:r w:rsidR="009627A8">
              <w:rPr>
                <w:webHidden/>
              </w:rPr>
              <w:t>21</w:t>
            </w:r>
            <w:r w:rsidR="009627A8">
              <w:rPr>
                <w:webHidden/>
              </w:rPr>
              <w:fldChar w:fldCharType="end"/>
            </w:r>
          </w:hyperlink>
        </w:p>
        <w:p w14:paraId="1DEB431E" w14:textId="28CFD4CD" w:rsidR="009627A8" w:rsidRDefault="006D1459">
          <w:pPr>
            <w:pStyle w:val="TOC1"/>
            <w:rPr>
              <w:rFonts w:asciiTheme="minorHAnsi" w:eastAsiaTheme="minorEastAsia" w:hAnsiTheme="minorHAnsi" w:cstheme="minorBidi"/>
              <w:b w:val="0"/>
              <w:bCs w:val="0"/>
              <w:caps w:val="0"/>
              <w:kern w:val="0"/>
              <w:sz w:val="22"/>
              <w:szCs w:val="22"/>
              <w:lang w:val="bs-Latn-BA" w:eastAsia="bs-Latn-BA"/>
            </w:rPr>
          </w:pPr>
          <w:hyperlink w:anchor="_Toc112852412" w:history="1">
            <w:r w:rsidR="009627A8" w:rsidRPr="002053FC">
              <w:rPr>
                <w:rStyle w:val="Hyperlink"/>
              </w:rPr>
              <w:t>DISCIPLINARY LIABILITY OF JUDICIAL OFFICE HOLDERS</w:t>
            </w:r>
            <w:r w:rsidR="009627A8">
              <w:rPr>
                <w:webHidden/>
              </w:rPr>
              <w:tab/>
            </w:r>
            <w:r w:rsidR="009627A8">
              <w:rPr>
                <w:webHidden/>
              </w:rPr>
              <w:fldChar w:fldCharType="begin"/>
            </w:r>
            <w:r w:rsidR="009627A8">
              <w:rPr>
                <w:webHidden/>
              </w:rPr>
              <w:instrText xml:space="preserve"> PAGEREF _Toc112852412 \h </w:instrText>
            </w:r>
            <w:r w:rsidR="009627A8">
              <w:rPr>
                <w:webHidden/>
              </w:rPr>
            </w:r>
            <w:r w:rsidR="009627A8">
              <w:rPr>
                <w:webHidden/>
              </w:rPr>
              <w:fldChar w:fldCharType="separate"/>
            </w:r>
            <w:r w:rsidR="009627A8">
              <w:rPr>
                <w:webHidden/>
              </w:rPr>
              <w:t>22</w:t>
            </w:r>
            <w:r w:rsidR="009627A8">
              <w:rPr>
                <w:webHidden/>
              </w:rPr>
              <w:fldChar w:fldCharType="end"/>
            </w:r>
          </w:hyperlink>
        </w:p>
        <w:p w14:paraId="657AA22C" w14:textId="4D491472" w:rsidR="009627A8" w:rsidRDefault="006D1459">
          <w:pPr>
            <w:pStyle w:val="TOC2"/>
            <w:rPr>
              <w:rFonts w:asciiTheme="minorHAnsi" w:eastAsiaTheme="minorEastAsia" w:hAnsiTheme="minorHAnsi" w:cstheme="minorBidi"/>
              <w:b w:val="0"/>
              <w:sz w:val="22"/>
              <w:szCs w:val="22"/>
              <w:lang w:val="bs-Latn-BA" w:eastAsia="bs-Latn-BA"/>
            </w:rPr>
          </w:pPr>
          <w:hyperlink w:anchor="_Toc112852413" w:history="1">
            <w:r w:rsidR="009627A8" w:rsidRPr="002053FC">
              <w:rPr>
                <w:rStyle w:val="Hyperlink"/>
              </w:rPr>
              <w:t>Improving disciplinary procedures</w:t>
            </w:r>
            <w:r w:rsidR="009627A8">
              <w:rPr>
                <w:webHidden/>
              </w:rPr>
              <w:tab/>
            </w:r>
            <w:r w:rsidR="009627A8">
              <w:rPr>
                <w:webHidden/>
              </w:rPr>
              <w:fldChar w:fldCharType="begin"/>
            </w:r>
            <w:r w:rsidR="009627A8">
              <w:rPr>
                <w:webHidden/>
              </w:rPr>
              <w:instrText xml:space="preserve"> PAGEREF _Toc112852413 \h </w:instrText>
            </w:r>
            <w:r w:rsidR="009627A8">
              <w:rPr>
                <w:webHidden/>
              </w:rPr>
            </w:r>
            <w:r w:rsidR="009627A8">
              <w:rPr>
                <w:webHidden/>
              </w:rPr>
              <w:fldChar w:fldCharType="separate"/>
            </w:r>
            <w:r w:rsidR="009627A8">
              <w:rPr>
                <w:webHidden/>
              </w:rPr>
              <w:t>22</w:t>
            </w:r>
            <w:r w:rsidR="009627A8">
              <w:rPr>
                <w:webHidden/>
              </w:rPr>
              <w:fldChar w:fldCharType="end"/>
            </w:r>
          </w:hyperlink>
        </w:p>
        <w:p w14:paraId="2CAC6EBE" w14:textId="5E165E90" w:rsidR="009627A8" w:rsidRDefault="006D1459">
          <w:pPr>
            <w:pStyle w:val="TOC2"/>
            <w:rPr>
              <w:rFonts w:asciiTheme="minorHAnsi" w:eastAsiaTheme="minorEastAsia" w:hAnsiTheme="minorHAnsi" w:cstheme="minorBidi"/>
              <w:b w:val="0"/>
              <w:sz w:val="22"/>
              <w:szCs w:val="22"/>
              <w:lang w:val="bs-Latn-BA" w:eastAsia="bs-Latn-BA"/>
            </w:rPr>
          </w:pPr>
          <w:hyperlink w:anchor="_Toc112852414" w:history="1">
            <w:r w:rsidR="009627A8" w:rsidRPr="002053FC">
              <w:rPr>
                <w:rStyle w:val="Hyperlink"/>
              </w:rPr>
              <w:t>Disciplinary proceedings</w:t>
            </w:r>
            <w:r w:rsidR="009627A8">
              <w:rPr>
                <w:webHidden/>
              </w:rPr>
              <w:tab/>
            </w:r>
            <w:r w:rsidR="009627A8">
              <w:rPr>
                <w:webHidden/>
              </w:rPr>
              <w:fldChar w:fldCharType="begin"/>
            </w:r>
            <w:r w:rsidR="009627A8">
              <w:rPr>
                <w:webHidden/>
              </w:rPr>
              <w:instrText xml:space="preserve"> PAGEREF _Toc112852414 \h </w:instrText>
            </w:r>
            <w:r w:rsidR="009627A8">
              <w:rPr>
                <w:webHidden/>
              </w:rPr>
            </w:r>
            <w:r w:rsidR="009627A8">
              <w:rPr>
                <w:webHidden/>
              </w:rPr>
              <w:fldChar w:fldCharType="separate"/>
            </w:r>
            <w:r w:rsidR="009627A8">
              <w:rPr>
                <w:webHidden/>
              </w:rPr>
              <w:t>22</w:t>
            </w:r>
            <w:r w:rsidR="009627A8">
              <w:rPr>
                <w:webHidden/>
              </w:rPr>
              <w:fldChar w:fldCharType="end"/>
            </w:r>
          </w:hyperlink>
        </w:p>
        <w:p w14:paraId="6E21330E" w14:textId="746121E2"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15" w:history="1">
            <w:r w:rsidR="009627A8" w:rsidRPr="002053FC">
              <w:rPr>
                <w:rStyle w:val="Hyperlink"/>
              </w:rPr>
              <w:t>Complaints against judicial office holders alleging breach of duty</w:t>
            </w:r>
            <w:r w:rsidR="009627A8">
              <w:rPr>
                <w:webHidden/>
              </w:rPr>
              <w:tab/>
            </w:r>
            <w:r w:rsidR="009627A8">
              <w:rPr>
                <w:webHidden/>
              </w:rPr>
              <w:fldChar w:fldCharType="begin"/>
            </w:r>
            <w:r w:rsidR="009627A8">
              <w:rPr>
                <w:webHidden/>
              </w:rPr>
              <w:instrText xml:space="preserve"> PAGEREF _Toc112852415 \h </w:instrText>
            </w:r>
            <w:r w:rsidR="009627A8">
              <w:rPr>
                <w:webHidden/>
              </w:rPr>
            </w:r>
            <w:r w:rsidR="009627A8">
              <w:rPr>
                <w:webHidden/>
              </w:rPr>
              <w:fldChar w:fldCharType="separate"/>
            </w:r>
            <w:r w:rsidR="009627A8">
              <w:rPr>
                <w:webHidden/>
              </w:rPr>
              <w:t>22</w:t>
            </w:r>
            <w:r w:rsidR="009627A8">
              <w:rPr>
                <w:webHidden/>
              </w:rPr>
              <w:fldChar w:fldCharType="end"/>
            </w:r>
          </w:hyperlink>
        </w:p>
        <w:p w14:paraId="0AB09D98" w14:textId="056C6813"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16" w:history="1">
            <w:r w:rsidR="009627A8" w:rsidRPr="002053FC">
              <w:rPr>
                <w:rStyle w:val="Hyperlink"/>
              </w:rPr>
              <w:t>Initiated disciplinary proceedings</w:t>
            </w:r>
            <w:r w:rsidR="009627A8">
              <w:rPr>
                <w:webHidden/>
              </w:rPr>
              <w:tab/>
            </w:r>
            <w:r w:rsidR="009627A8">
              <w:rPr>
                <w:webHidden/>
              </w:rPr>
              <w:fldChar w:fldCharType="begin"/>
            </w:r>
            <w:r w:rsidR="009627A8">
              <w:rPr>
                <w:webHidden/>
              </w:rPr>
              <w:instrText xml:space="preserve"> PAGEREF _Toc112852416 \h </w:instrText>
            </w:r>
            <w:r w:rsidR="009627A8">
              <w:rPr>
                <w:webHidden/>
              </w:rPr>
            </w:r>
            <w:r w:rsidR="009627A8">
              <w:rPr>
                <w:webHidden/>
              </w:rPr>
              <w:fldChar w:fldCharType="separate"/>
            </w:r>
            <w:r w:rsidR="009627A8">
              <w:rPr>
                <w:webHidden/>
              </w:rPr>
              <w:t>23</w:t>
            </w:r>
            <w:r w:rsidR="009627A8">
              <w:rPr>
                <w:webHidden/>
              </w:rPr>
              <w:fldChar w:fldCharType="end"/>
            </w:r>
          </w:hyperlink>
        </w:p>
        <w:p w14:paraId="349A8D49" w14:textId="4F7189A8"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17" w:history="1">
            <w:r w:rsidR="009627A8" w:rsidRPr="002053FC">
              <w:rPr>
                <w:rStyle w:val="Hyperlink"/>
              </w:rPr>
              <w:t>Completed disciplinary proceedings</w:t>
            </w:r>
            <w:r w:rsidR="009627A8">
              <w:rPr>
                <w:webHidden/>
              </w:rPr>
              <w:tab/>
            </w:r>
            <w:r w:rsidR="009627A8">
              <w:rPr>
                <w:webHidden/>
              </w:rPr>
              <w:fldChar w:fldCharType="begin"/>
            </w:r>
            <w:r w:rsidR="009627A8">
              <w:rPr>
                <w:webHidden/>
              </w:rPr>
              <w:instrText xml:space="preserve"> PAGEREF _Toc112852417 \h </w:instrText>
            </w:r>
            <w:r w:rsidR="009627A8">
              <w:rPr>
                <w:webHidden/>
              </w:rPr>
            </w:r>
            <w:r w:rsidR="009627A8">
              <w:rPr>
                <w:webHidden/>
              </w:rPr>
              <w:fldChar w:fldCharType="separate"/>
            </w:r>
            <w:r w:rsidR="009627A8">
              <w:rPr>
                <w:webHidden/>
              </w:rPr>
              <w:t>25</w:t>
            </w:r>
            <w:r w:rsidR="009627A8">
              <w:rPr>
                <w:webHidden/>
              </w:rPr>
              <w:fldChar w:fldCharType="end"/>
            </w:r>
          </w:hyperlink>
        </w:p>
        <w:p w14:paraId="282B04C9" w14:textId="7C42E32F"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18" w:history="1">
            <w:r w:rsidR="009627A8" w:rsidRPr="002053FC">
              <w:rPr>
                <w:rStyle w:val="Hyperlink"/>
              </w:rPr>
              <w:t>Suspension from office</w:t>
            </w:r>
            <w:r w:rsidR="009627A8">
              <w:rPr>
                <w:webHidden/>
              </w:rPr>
              <w:tab/>
            </w:r>
            <w:r w:rsidR="009627A8">
              <w:rPr>
                <w:webHidden/>
              </w:rPr>
              <w:fldChar w:fldCharType="begin"/>
            </w:r>
            <w:r w:rsidR="009627A8">
              <w:rPr>
                <w:webHidden/>
              </w:rPr>
              <w:instrText xml:space="preserve"> PAGEREF _Toc112852418 \h </w:instrText>
            </w:r>
            <w:r w:rsidR="009627A8">
              <w:rPr>
                <w:webHidden/>
              </w:rPr>
            </w:r>
            <w:r w:rsidR="009627A8">
              <w:rPr>
                <w:webHidden/>
              </w:rPr>
              <w:fldChar w:fldCharType="separate"/>
            </w:r>
            <w:r w:rsidR="009627A8">
              <w:rPr>
                <w:webHidden/>
              </w:rPr>
              <w:t>27</w:t>
            </w:r>
            <w:r w:rsidR="009627A8">
              <w:rPr>
                <w:webHidden/>
              </w:rPr>
              <w:fldChar w:fldCharType="end"/>
            </w:r>
          </w:hyperlink>
        </w:p>
        <w:p w14:paraId="15634FA4" w14:textId="409F3A1C"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19" w:history="1">
            <w:r w:rsidR="009627A8" w:rsidRPr="002053FC">
              <w:rPr>
                <w:rStyle w:val="Hyperlink"/>
              </w:rPr>
              <w:t>Enforcement of disciplinary measures</w:t>
            </w:r>
            <w:r w:rsidR="009627A8">
              <w:rPr>
                <w:webHidden/>
              </w:rPr>
              <w:tab/>
            </w:r>
            <w:r w:rsidR="009627A8">
              <w:rPr>
                <w:webHidden/>
              </w:rPr>
              <w:fldChar w:fldCharType="begin"/>
            </w:r>
            <w:r w:rsidR="009627A8">
              <w:rPr>
                <w:webHidden/>
              </w:rPr>
              <w:instrText xml:space="preserve"> PAGEREF _Toc112852419 \h </w:instrText>
            </w:r>
            <w:r w:rsidR="009627A8">
              <w:rPr>
                <w:webHidden/>
              </w:rPr>
            </w:r>
            <w:r w:rsidR="009627A8">
              <w:rPr>
                <w:webHidden/>
              </w:rPr>
              <w:fldChar w:fldCharType="separate"/>
            </w:r>
            <w:r w:rsidR="009627A8">
              <w:rPr>
                <w:webHidden/>
              </w:rPr>
              <w:t>28</w:t>
            </w:r>
            <w:r w:rsidR="009627A8">
              <w:rPr>
                <w:webHidden/>
              </w:rPr>
              <w:fldChar w:fldCharType="end"/>
            </w:r>
          </w:hyperlink>
        </w:p>
        <w:p w14:paraId="1DF2F809" w14:textId="04B4F432"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20" w:history="1">
            <w:r w:rsidR="009627A8" w:rsidRPr="002053FC">
              <w:rPr>
                <w:rStyle w:val="Hyperlink"/>
              </w:rPr>
              <w:t>Disclosure of disciplinary decisions</w:t>
            </w:r>
            <w:r w:rsidR="009627A8">
              <w:rPr>
                <w:webHidden/>
              </w:rPr>
              <w:tab/>
            </w:r>
            <w:r w:rsidR="009627A8">
              <w:rPr>
                <w:webHidden/>
              </w:rPr>
              <w:fldChar w:fldCharType="begin"/>
            </w:r>
            <w:r w:rsidR="009627A8">
              <w:rPr>
                <w:webHidden/>
              </w:rPr>
              <w:instrText xml:space="preserve"> PAGEREF _Toc112852420 \h </w:instrText>
            </w:r>
            <w:r w:rsidR="009627A8">
              <w:rPr>
                <w:webHidden/>
              </w:rPr>
            </w:r>
            <w:r w:rsidR="009627A8">
              <w:rPr>
                <w:webHidden/>
              </w:rPr>
              <w:fldChar w:fldCharType="separate"/>
            </w:r>
            <w:r w:rsidR="009627A8">
              <w:rPr>
                <w:webHidden/>
              </w:rPr>
              <w:t>28</w:t>
            </w:r>
            <w:r w:rsidR="009627A8">
              <w:rPr>
                <w:webHidden/>
              </w:rPr>
              <w:fldChar w:fldCharType="end"/>
            </w:r>
          </w:hyperlink>
        </w:p>
        <w:p w14:paraId="0D222041" w14:textId="70917845" w:rsidR="009627A8" w:rsidRDefault="006D1459">
          <w:pPr>
            <w:pStyle w:val="TOC1"/>
            <w:rPr>
              <w:rFonts w:asciiTheme="minorHAnsi" w:eastAsiaTheme="minorEastAsia" w:hAnsiTheme="minorHAnsi" w:cstheme="minorBidi"/>
              <w:b w:val="0"/>
              <w:bCs w:val="0"/>
              <w:caps w:val="0"/>
              <w:kern w:val="0"/>
              <w:sz w:val="22"/>
              <w:szCs w:val="22"/>
              <w:lang w:val="bs-Latn-BA" w:eastAsia="bs-Latn-BA"/>
            </w:rPr>
          </w:pPr>
          <w:hyperlink w:anchor="_Toc112852421" w:history="1">
            <w:r w:rsidR="009627A8" w:rsidRPr="002053FC">
              <w:rPr>
                <w:rStyle w:val="Hyperlink"/>
              </w:rPr>
              <w:t>SIGNIFICANT ACHIEVEMENTS OF THE HJPC BiH DURING 2021</w:t>
            </w:r>
            <w:r w:rsidR="009627A8">
              <w:rPr>
                <w:webHidden/>
              </w:rPr>
              <w:tab/>
            </w:r>
            <w:r w:rsidR="009627A8">
              <w:rPr>
                <w:webHidden/>
              </w:rPr>
              <w:fldChar w:fldCharType="begin"/>
            </w:r>
            <w:r w:rsidR="009627A8">
              <w:rPr>
                <w:webHidden/>
              </w:rPr>
              <w:instrText xml:space="preserve"> PAGEREF _Toc112852421 \h </w:instrText>
            </w:r>
            <w:r w:rsidR="009627A8">
              <w:rPr>
                <w:webHidden/>
              </w:rPr>
            </w:r>
            <w:r w:rsidR="009627A8">
              <w:rPr>
                <w:webHidden/>
              </w:rPr>
              <w:fldChar w:fldCharType="separate"/>
            </w:r>
            <w:r w:rsidR="009627A8">
              <w:rPr>
                <w:webHidden/>
              </w:rPr>
              <w:t>29</w:t>
            </w:r>
            <w:r w:rsidR="009627A8">
              <w:rPr>
                <w:webHidden/>
              </w:rPr>
              <w:fldChar w:fldCharType="end"/>
            </w:r>
          </w:hyperlink>
        </w:p>
        <w:p w14:paraId="713C0CD1" w14:textId="53C70DBE" w:rsidR="009627A8" w:rsidRDefault="006D1459">
          <w:pPr>
            <w:pStyle w:val="TOC2"/>
            <w:rPr>
              <w:rFonts w:asciiTheme="minorHAnsi" w:eastAsiaTheme="minorEastAsia" w:hAnsiTheme="minorHAnsi" w:cstheme="minorBidi"/>
              <w:b w:val="0"/>
              <w:sz w:val="22"/>
              <w:szCs w:val="22"/>
              <w:lang w:val="bs-Latn-BA" w:eastAsia="bs-Latn-BA"/>
            </w:rPr>
          </w:pPr>
          <w:hyperlink w:anchor="_Toc112852422" w:history="1">
            <w:r w:rsidR="009627A8" w:rsidRPr="002053FC">
              <w:rPr>
                <w:rStyle w:val="Hyperlink"/>
              </w:rPr>
              <w:t>Efficiency, quality and quantity of court performance</w:t>
            </w:r>
            <w:r w:rsidR="009627A8">
              <w:rPr>
                <w:webHidden/>
              </w:rPr>
              <w:tab/>
            </w:r>
            <w:r w:rsidR="009627A8">
              <w:rPr>
                <w:webHidden/>
              </w:rPr>
              <w:fldChar w:fldCharType="begin"/>
            </w:r>
            <w:r w:rsidR="009627A8">
              <w:rPr>
                <w:webHidden/>
              </w:rPr>
              <w:instrText xml:space="preserve"> PAGEREF _Toc112852422 \h </w:instrText>
            </w:r>
            <w:r w:rsidR="009627A8">
              <w:rPr>
                <w:webHidden/>
              </w:rPr>
            </w:r>
            <w:r w:rsidR="009627A8">
              <w:rPr>
                <w:webHidden/>
              </w:rPr>
              <w:fldChar w:fldCharType="separate"/>
            </w:r>
            <w:r w:rsidR="009627A8">
              <w:rPr>
                <w:webHidden/>
              </w:rPr>
              <w:t>29</w:t>
            </w:r>
            <w:r w:rsidR="009627A8">
              <w:rPr>
                <w:webHidden/>
              </w:rPr>
              <w:fldChar w:fldCharType="end"/>
            </w:r>
          </w:hyperlink>
        </w:p>
        <w:p w14:paraId="27C49867" w14:textId="10EEFA12"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23" w:history="1">
            <w:r w:rsidR="009627A8" w:rsidRPr="002053FC">
              <w:rPr>
                <w:rStyle w:val="Hyperlink"/>
              </w:rPr>
              <w:t>Strategic planning system introduced in all BiH courts</w:t>
            </w:r>
            <w:r w:rsidR="009627A8">
              <w:rPr>
                <w:webHidden/>
              </w:rPr>
              <w:tab/>
            </w:r>
            <w:r w:rsidR="009627A8">
              <w:rPr>
                <w:webHidden/>
              </w:rPr>
              <w:fldChar w:fldCharType="begin"/>
            </w:r>
            <w:r w:rsidR="009627A8">
              <w:rPr>
                <w:webHidden/>
              </w:rPr>
              <w:instrText xml:space="preserve"> PAGEREF _Toc112852423 \h </w:instrText>
            </w:r>
            <w:r w:rsidR="009627A8">
              <w:rPr>
                <w:webHidden/>
              </w:rPr>
            </w:r>
            <w:r w:rsidR="009627A8">
              <w:rPr>
                <w:webHidden/>
              </w:rPr>
              <w:fldChar w:fldCharType="separate"/>
            </w:r>
            <w:r w:rsidR="009627A8">
              <w:rPr>
                <w:webHidden/>
              </w:rPr>
              <w:t>29</w:t>
            </w:r>
            <w:r w:rsidR="009627A8">
              <w:rPr>
                <w:webHidden/>
              </w:rPr>
              <w:fldChar w:fldCharType="end"/>
            </w:r>
          </w:hyperlink>
        </w:p>
        <w:p w14:paraId="3C175F3D" w14:textId="11D5EB56" w:rsidR="009627A8" w:rsidRDefault="006D1459">
          <w:pPr>
            <w:pStyle w:val="TOC4"/>
            <w:rPr>
              <w:rFonts w:asciiTheme="minorHAnsi" w:eastAsiaTheme="minorEastAsia" w:hAnsiTheme="minorHAnsi" w:cstheme="minorBidi"/>
              <w:noProof/>
              <w:sz w:val="22"/>
              <w:szCs w:val="22"/>
              <w:lang w:val="bs-Latn-BA" w:eastAsia="bs-Latn-BA"/>
            </w:rPr>
          </w:pPr>
          <w:hyperlink w:anchor="_Toc112852424" w:history="1">
            <w:r w:rsidR="009627A8" w:rsidRPr="002053FC">
              <w:rPr>
                <w:rStyle w:val="Hyperlink"/>
                <w:noProof/>
              </w:rPr>
              <w:t>Introduction of the efficiency indicators</w:t>
            </w:r>
            <w:r w:rsidR="009627A8">
              <w:rPr>
                <w:noProof/>
                <w:webHidden/>
              </w:rPr>
              <w:tab/>
            </w:r>
            <w:r w:rsidR="009627A8">
              <w:rPr>
                <w:noProof/>
                <w:webHidden/>
              </w:rPr>
              <w:fldChar w:fldCharType="begin"/>
            </w:r>
            <w:r w:rsidR="009627A8">
              <w:rPr>
                <w:noProof/>
                <w:webHidden/>
              </w:rPr>
              <w:instrText xml:space="preserve"> PAGEREF _Toc112852424 \h </w:instrText>
            </w:r>
            <w:r w:rsidR="009627A8">
              <w:rPr>
                <w:noProof/>
                <w:webHidden/>
              </w:rPr>
            </w:r>
            <w:r w:rsidR="009627A8">
              <w:rPr>
                <w:noProof/>
                <w:webHidden/>
              </w:rPr>
              <w:fldChar w:fldCharType="separate"/>
            </w:r>
            <w:r w:rsidR="009627A8">
              <w:rPr>
                <w:noProof/>
                <w:webHidden/>
              </w:rPr>
              <w:t>30</w:t>
            </w:r>
            <w:r w:rsidR="009627A8">
              <w:rPr>
                <w:noProof/>
                <w:webHidden/>
              </w:rPr>
              <w:fldChar w:fldCharType="end"/>
            </w:r>
          </w:hyperlink>
        </w:p>
        <w:p w14:paraId="67AD8D5C" w14:textId="08533FB0" w:rsidR="009627A8" w:rsidRDefault="006D1459">
          <w:pPr>
            <w:pStyle w:val="TOC4"/>
            <w:rPr>
              <w:rFonts w:asciiTheme="minorHAnsi" w:eastAsiaTheme="minorEastAsia" w:hAnsiTheme="minorHAnsi" w:cstheme="minorBidi"/>
              <w:noProof/>
              <w:sz w:val="22"/>
              <w:szCs w:val="22"/>
              <w:lang w:val="bs-Latn-BA" w:eastAsia="bs-Latn-BA"/>
            </w:rPr>
          </w:pPr>
          <w:hyperlink w:anchor="_Toc112852425" w:history="1">
            <w:r w:rsidR="009627A8" w:rsidRPr="002053FC">
              <w:rPr>
                <w:rStyle w:val="Hyperlink"/>
                <w:noProof/>
              </w:rPr>
              <w:t>Backlog reduced with the backlog reduction plans in courts</w:t>
            </w:r>
            <w:r w:rsidR="009627A8">
              <w:rPr>
                <w:noProof/>
                <w:webHidden/>
              </w:rPr>
              <w:tab/>
            </w:r>
            <w:r w:rsidR="009627A8">
              <w:rPr>
                <w:noProof/>
                <w:webHidden/>
              </w:rPr>
              <w:fldChar w:fldCharType="begin"/>
            </w:r>
            <w:r w:rsidR="009627A8">
              <w:rPr>
                <w:noProof/>
                <w:webHidden/>
              </w:rPr>
              <w:instrText xml:space="preserve"> PAGEREF _Toc112852425 \h </w:instrText>
            </w:r>
            <w:r w:rsidR="009627A8">
              <w:rPr>
                <w:noProof/>
                <w:webHidden/>
              </w:rPr>
            </w:r>
            <w:r w:rsidR="009627A8">
              <w:rPr>
                <w:noProof/>
                <w:webHidden/>
              </w:rPr>
              <w:fldChar w:fldCharType="separate"/>
            </w:r>
            <w:r w:rsidR="009627A8">
              <w:rPr>
                <w:noProof/>
                <w:webHidden/>
              </w:rPr>
              <w:t>31</w:t>
            </w:r>
            <w:r w:rsidR="009627A8">
              <w:rPr>
                <w:noProof/>
                <w:webHidden/>
              </w:rPr>
              <w:fldChar w:fldCharType="end"/>
            </w:r>
          </w:hyperlink>
        </w:p>
        <w:p w14:paraId="0814F956" w14:textId="0597C782"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26" w:history="1">
            <w:r w:rsidR="009627A8" w:rsidRPr="002053FC">
              <w:rPr>
                <w:rStyle w:val="Hyperlink"/>
              </w:rPr>
              <w:t>More efficient processing of corruption and organised crime cases</w:t>
            </w:r>
            <w:r w:rsidR="009627A8">
              <w:rPr>
                <w:webHidden/>
              </w:rPr>
              <w:tab/>
            </w:r>
            <w:r w:rsidR="009627A8">
              <w:rPr>
                <w:webHidden/>
              </w:rPr>
              <w:fldChar w:fldCharType="begin"/>
            </w:r>
            <w:r w:rsidR="009627A8">
              <w:rPr>
                <w:webHidden/>
              </w:rPr>
              <w:instrText xml:space="preserve"> PAGEREF _Toc112852426 \h </w:instrText>
            </w:r>
            <w:r w:rsidR="009627A8">
              <w:rPr>
                <w:webHidden/>
              </w:rPr>
            </w:r>
            <w:r w:rsidR="009627A8">
              <w:rPr>
                <w:webHidden/>
              </w:rPr>
              <w:fldChar w:fldCharType="separate"/>
            </w:r>
            <w:r w:rsidR="009627A8">
              <w:rPr>
                <w:webHidden/>
              </w:rPr>
              <w:t>32</w:t>
            </w:r>
            <w:r w:rsidR="009627A8">
              <w:rPr>
                <w:webHidden/>
              </w:rPr>
              <w:fldChar w:fldCharType="end"/>
            </w:r>
          </w:hyperlink>
        </w:p>
        <w:p w14:paraId="27AE15D6" w14:textId="7483BCE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27" w:history="1">
            <w:r w:rsidR="009627A8" w:rsidRPr="002053FC">
              <w:rPr>
                <w:rStyle w:val="Hyperlink"/>
              </w:rPr>
              <w:t>Improving enforcement procedures in BiH</w:t>
            </w:r>
            <w:r w:rsidR="009627A8">
              <w:rPr>
                <w:webHidden/>
              </w:rPr>
              <w:tab/>
            </w:r>
            <w:r w:rsidR="009627A8">
              <w:rPr>
                <w:webHidden/>
              </w:rPr>
              <w:fldChar w:fldCharType="begin"/>
            </w:r>
            <w:r w:rsidR="009627A8">
              <w:rPr>
                <w:webHidden/>
              </w:rPr>
              <w:instrText xml:space="preserve"> PAGEREF _Toc112852427 \h </w:instrText>
            </w:r>
            <w:r w:rsidR="009627A8">
              <w:rPr>
                <w:webHidden/>
              </w:rPr>
            </w:r>
            <w:r w:rsidR="009627A8">
              <w:rPr>
                <w:webHidden/>
              </w:rPr>
              <w:fldChar w:fldCharType="separate"/>
            </w:r>
            <w:r w:rsidR="009627A8">
              <w:rPr>
                <w:webHidden/>
              </w:rPr>
              <w:t>33</w:t>
            </w:r>
            <w:r w:rsidR="009627A8">
              <w:rPr>
                <w:webHidden/>
              </w:rPr>
              <w:fldChar w:fldCharType="end"/>
            </w:r>
          </w:hyperlink>
        </w:p>
        <w:p w14:paraId="5C88720E" w14:textId="15AFABFB" w:rsidR="009627A8" w:rsidRDefault="006D1459" w:rsidP="009627A8">
          <w:pPr>
            <w:pStyle w:val="TOC4"/>
            <w:ind w:left="1418" w:firstLine="0"/>
            <w:rPr>
              <w:rFonts w:asciiTheme="minorHAnsi" w:eastAsiaTheme="minorEastAsia" w:hAnsiTheme="minorHAnsi" w:cstheme="minorBidi"/>
              <w:noProof/>
              <w:sz w:val="22"/>
              <w:szCs w:val="22"/>
              <w:lang w:val="bs-Latn-BA" w:eastAsia="bs-Latn-BA"/>
            </w:rPr>
          </w:pPr>
          <w:hyperlink w:anchor="_Toc112852428" w:history="1">
            <w:r w:rsidR="009627A8" w:rsidRPr="002053FC">
              <w:rPr>
                <w:rStyle w:val="Hyperlink"/>
                <w:noProof/>
              </w:rPr>
              <w:t>Activities of the HJPC BiH with the aim of improving the enforcement procedure in BiH</w:t>
            </w:r>
            <w:r w:rsidR="009627A8">
              <w:rPr>
                <w:noProof/>
                <w:webHidden/>
              </w:rPr>
              <w:tab/>
            </w:r>
            <w:r w:rsidR="009627A8">
              <w:rPr>
                <w:noProof/>
                <w:webHidden/>
              </w:rPr>
              <w:tab/>
            </w:r>
            <w:r w:rsidR="009627A8">
              <w:rPr>
                <w:noProof/>
                <w:webHidden/>
              </w:rPr>
              <w:fldChar w:fldCharType="begin"/>
            </w:r>
            <w:r w:rsidR="009627A8">
              <w:rPr>
                <w:noProof/>
                <w:webHidden/>
              </w:rPr>
              <w:instrText xml:space="preserve"> PAGEREF _Toc112852428 \h </w:instrText>
            </w:r>
            <w:r w:rsidR="009627A8">
              <w:rPr>
                <w:noProof/>
                <w:webHidden/>
              </w:rPr>
            </w:r>
            <w:r w:rsidR="009627A8">
              <w:rPr>
                <w:noProof/>
                <w:webHidden/>
              </w:rPr>
              <w:fldChar w:fldCharType="separate"/>
            </w:r>
            <w:r w:rsidR="009627A8">
              <w:rPr>
                <w:noProof/>
                <w:webHidden/>
              </w:rPr>
              <w:t>33</w:t>
            </w:r>
            <w:r w:rsidR="009627A8">
              <w:rPr>
                <w:noProof/>
                <w:webHidden/>
              </w:rPr>
              <w:fldChar w:fldCharType="end"/>
            </w:r>
          </w:hyperlink>
        </w:p>
        <w:p w14:paraId="798C6F94" w14:textId="3B7A179B"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29" w:history="1">
            <w:r w:rsidR="009627A8" w:rsidRPr="002053FC">
              <w:rPr>
                <w:rStyle w:val="Hyperlink"/>
              </w:rPr>
              <w:t>Application of the SOKOP-Mal system for more efficient processing of utility cases</w:t>
            </w:r>
            <w:r w:rsidR="009627A8">
              <w:rPr>
                <w:webHidden/>
              </w:rPr>
              <w:tab/>
            </w:r>
            <w:r w:rsidR="009627A8">
              <w:rPr>
                <w:webHidden/>
              </w:rPr>
              <w:fldChar w:fldCharType="begin"/>
            </w:r>
            <w:r w:rsidR="009627A8">
              <w:rPr>
                <w:webHidden/>
              </w:rPr>
              <w:instrText xml:space="preserve"> PAGEREF _Toc112852429 \h </w:instrText>
            </w:r>
            <w:r w:rsidR="009627A8">
              <w:rPr>
                <w:webHidden/>
              </w:rPr>
            </w:r>
            <w:r w:rsidR="009627A8">
              <w:rPr>
                <w:webHidden/>
              </w:rPr>
              <w:fldChar w:fldCharType="separate"/>
            </w:r>
            <w:r w:rsidR="009627A8">
              <w:rPr>
                <w:webHidden/>
              </w:rPr>
              <w:t>34</w:t>
            </w:r>
            <w:r w:rsidR="009627A8">
              <w:rPr>
                <w:webHidden/>
              </w:rPr>
              <w:fldChar w:fldCharType="end"/>
            </w:r>
          </w:hyperlink>
        </w:p>
        <w:p w14:paraId="1BA18192" w14:textId="00053E4C"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0" w:history="1">
            <w:r w:rsidR="009627A8" w:rsidRPr="002053FC">
              <w:rPr>
                <w:rStyle w:val="Hyperlink"/>
              </w:rPr>
              <w:t>Improving business processes in courts, through reorganisation of work and human resources in courts</w:t>
            </w:r>
            <w:r w:rsidR="009627A8">
              <w:rPr>
                <w:webHidden/>
              </w:rPr>
              <w:tab/>
            </w:r>
            <w:r w:rsidR="009627A8">
              <w:rPr>
                <w:webHidden/>
              </w:rPr>
              <w:fldChar w:fldCharType="begin"/>
            </w:r>
            <w:r w:rsidR="009627A8">
              <w:rPr>
                <w:webHidden/>
              </w:rPr>
              <w:instrText xml:space="preserve"> PAGEREF _Toc112852430 \h </w:instrText>
            </w:r>
            <w:r w:rsidR="009627A8">
              <w:rPr>
                <w:webHidden/>
              </w:rPr>
            </w:r>
            <w:r w:rsidR="009627A8">
              <w:rPr>
                <w:webHidden/>
              </w:rPr>
              <w:fldChar w:fldCharType="separate"/>
            </w:r>
            <w:r w:rsidR="009627A8">
              <w:rPr>
                <w:webHidden/>
              </w:rPr>
              <w:t>35</w:t>
            </w:r>
            <w:r w:rsidR="009627A8">
              <w:rPr>
                <w:webHidden/>
              </w:rPr>
              <w:fldChar w:fldCharType="end"/>
            </w:r>
          </w:hyperlink>
        </w:p>
        <w:p w14:paraId="1DF47ACF" w14:textId="3E521A4C"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1" w:history="1">
            <w:r w:rsidR="009627A8" w:rsidRPr="002053FC">
              <w:rPr>
                <w:rStyle w:val="Hyperlink"/>
              </w:rPr>
              <w:t>Improving the efficiency of bankruptcy proceedings</w:t>
            </w:r>
            <w:r w:rsidR="009627A8">
              <w:rPr>
                <w:webHidden/>
              </w:rPr>
              <w:tab/>
            </w:r>
            <w:r w:rsidR="009627A8">
              <w:rPr>
                <w:webHidden/>
              </w:rPr>
              <w:fldChar w:fldCharType="begin"/>
            </w:r>
            <w:r w:rsidR="009627A8">
              <w:rPr>
                <w:webHidden/>
              </w:rPr>
              <w:instrText xml:space="preserve"> PAGEREF _Toc112852431 \h </w:instrText>
            </w:r>
            <w:r w:rsidR="009627A8">
              <w:rPr>
                <w:webHidden/>
              </w:rPr>
            </w:r>
            <w:r w:rsidR="009627A8">
              <w:rPr>
                <w:webHidden/>
              </w:rPr>
              <w:fldChar w:fldCharType="separate"/>
            </w:r>
            <w:r w:rsidR="009627A8">
              <w:rPr>
                <w:webHidden/>
              </w:rPr>
              <w:t>36</w:t>
            </w:r>
            <w:r w:rsidR="009627A8">
              <w:rPr>
                <w:webHidden/>
              </w:rPr>
              <w:fldChar w:fldCharType="end"/>
            </w:r>
          </w:hyperlink>
        </w:p>
        <w:p w14:paraId="47181697" w14:textId="6991B178"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2" w:history="1">
            <w:r w:rsidR="009627A8" w:rsidRPr="002053FC">
              <w:rPr>
                <w:rStyle w:val="Hyperlink"/>
              </w:rPr>
              <w:t>Draft Strategy for Alternative Dispute Resolution developed - faster and more economic dispute resolution</w:t>
            </w:r>
            <w:r w:rsidR="009627A8">
              <w:rPr>
                <w:webHidden/>
              </w:rPr>
              <w:tab/>
            </w:r>
            <w:r w:rsidR="009627A8">
              <w:rPr>
                <w:webHidden/>
              </w:rPr>
              <w:fldChar w:fldCharType="begin"/>
            </w:r>
            <w:r w:rsidR="009627A8">
              <w:rPr>
                <w:webHidden/>
              </w:rPr>
              <w:instrText xml:space="preserve"> PAGEREF _Toc112852432 \h </w:instrText>
            </w:r>
            <w:r w:rsidR="009627A8">
              <w:rPr>
                <w:webHidden/>
              </w:rPr>
            </w:r>
            <w:r w:rsidR="009627A8">
              <w:rPr>
                <w:webHidden/>
              </w:rPr>
              <w:fldChar w:fldCharType="separate"/>
            </w:r>
            <w:r w:rsidR="009627A8">
              <w:rPr>
                <w:webHidden/>
              </w:rPr>
              <w:t>37</w:t>
            </w:r>
            <w:r w:rsidR="009627A8">
              <w:rPr>
                <w:webHidden/>
              </w:rPr>
              <w:fldChar w:fldCharType="end"/>
            </w:r>
          </w:hyperlink>
        </w:p>
        <w:p w14:paraId="02276BF6" w14:textId="3236F0E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3" w:history="1">
            <w:r w:rsidR="009627A8" w:rsidRPr="002053FC">
              <w:rPr>
                <w:rStyle w:val="Hyperlink"/>
              </w:rPr>
              <w:t>Improving efficiency and quality of civil procedure</w:t>
            </w:r>
            <w:r w:rsidR="009627A8">
              <w:rPr>
                <w:webHidden/>
              </w:rPr>
              <w:tab/>
            </w:r>
            <w:r w:rsidR="009627A8">
              <w:rPr>
                <w:webHidden/>
              </w:rPr>
              <w:fldChar w:fldCharType="begin"/>
            </w:r>
            <w:r w:rsidR="009627A8">
              <w:rPr>
                <w:webHidden/>
              </w:rPr>
              <w:instrText xml:space="preserve"> PAGEREF _Toc112852433 \h </w:instrText>
            </w:r>
            <w:r w:rsidR="009627A8">
              <w:rPr>
                <w:webHidden/>
              </w:rPr>
            </w:r>
            <w:r w:rsidR="009627A8">
              <w:rPr>
                <w:webHidden/>
              </w:rPr>
              <w:fldChar w:fldCharType="separate"/>
            </w:r>
            <w:r w:rsidR="009627A8">
              <w:rPr>
                <w:webHidden/>
              </w:rPr>
              <w:t>39</w:t>
            </w:r>
            <w:r w:rsidR="009627A8">
              <w:rPr>
                <w:webHidden/>
              </w:rPr>
              <w:fldChar w:fldCharType="end"/>
            </w:r>
          </w:hyperlink>
        </w:p>
        <w:p w14:paraId="3D656C52" w14:textId="6F4BC889" w:rsidR="009627A8" w:rsidRDefault="006D1459" w:rsidP="009627A8">
          <w:pPr>
            <w:pStyle w:val="TOC4"/>
            <w:ind w:left="1418" w:firstLine="0"/>
            <w:rPr>
              <w:rFonts w:asciiTheme="minorHAnsi" w:eastAsiaTheme="minorEastAsia" w:hAnsiTheme="minorHAnsi" w:cstheme="minorBidi"/>
              <w:noProof/>
              <w:sz w:val="22"/>
              <w:szCs w:val="22"/>
              <w:lang w:val="bs-Latn-BA" w:eastAsia="bs-Latn-BA"/>
            </w:rPr>
          </w:pPr>
          <w:hyperlink w:anchor="_Toc112852434" w:history="1">
            <w:r w:rsidR="009627A8" w:rsidRPr="002053FC">
              <w:rPr>
                <w:rStyle w:val="Hyperlink"/>
                <w:noProof/>
              </w:rPr>
              <w:t>Introducing quality standards in target courts and strengthening the capacity of civil  / litigation departments</w:t>
            </w:r>
            <w:r w:rsidR="009627A8">
              <w:rPr>
                <w:noProof/>
                <w:webHidden/>
              </w:rPr>
              <w:tab/>
            </w:r>
            <w:r w:rsidR="009627A8">
              <w:rPr>
                <w:noProof/>
                <w:webHidden/>
              </w:rPr>
              <w:fldChar w:fldCharType="begin"/>
            </w:r>
            <w:r w:rsidR="009627A8">
              <w:rPr>
                <w:noProof/>
                <w:webHidden/>
              </w:rPr>
              <w:instrText xml:space="preserve"> PAGEREF _Toc112852434 \h </w:instrText>
            </w:r>
            <w:r w:rsidR="009627A8">
              <w:rPr>
                <w:noProof/>
                <w:webHidden/>
              </w:rPr>
            </w:r>
            <w:r w:rsidR="009627A8">
              <w:rPr>
                <w:noProof/>
                <w:webHidden/>
              </w:rPr>
              <w:fldChar w:fldCharType="separate"/>
            </w:r>
            <w:r w:rsidR="009627A8">
              <w:rPr>
                <w:noProof/>
                <w:webHidden/>
              </w:rPr>
              <w:t>39</w:t>
            </w:r>
            <w:r w:rsidR="009627A8">
              <w:rPr>
                <w:noProof/>
                <w:webHidden/>
              </w:rPr>
              <w:fldChar w:fldCharType="end"/>
            </w:r>
          </w:hyperlink>
        </w:p>
        <w:p w14:paraId="76F96938" w14:textId="56522110"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5" w:history="1">
            <w:r w:rsidR="009627A8" w:rsidRPr="002053FC">
              <w:rPr>
                <w:rStyle w:val="Hyperlink"/>
              </w:rPr>
              <w:t>Implementation of the Strategy for Improving Gender Equality in the Judiciary in BiH</w:t>
            </w:r>
            <w:r w:rsidR="009627A8">
              <w:rPr>
                <w:webHidden/>
              </w:rPr>
              <w:tab/>
            </w:r>
            <w:r w:rsidR="009627A8">
              <w:rPr>
                <w:webHidden/>
              </w:rPr>
              <w:fldChar w:fldCharType="begin"/>
            </w:r>
            <w:r w:rsidR="009627A8">
              <w:rPr>
                <w:webHidden/>
              </w:rPr>
              <w:instrText xml:space="preserve"> PAGEREF _Toc112852435 \h </w:instrText>
            </w:r>
            <w:r w:rsidR="009627A8">
              <w:rPr>
                <w:webHidden/>
              </w:rPr>
            </w:r>
            <w:r w:rsidR="009627A8">
              <w:rPr>
                <w:webHidden/>
              </w:rPr>
              <w:fldChar w:fldCharType="separate"/>
            </w:r>
            <w:r w:rsidR="009627A8">
              <w:rPr>
                <w:webHidden/>
              </w:rPr>
              <w:t>40</w:t>
            </w:r>
            <w:r w:rsidR="009627A8">
              <w:rPr>
                <w:webHidden/>
              </w:rPr>
              <w:fldChar w:fldCharType="end"/>
            </w:r>
          </w:hyperlink>
        </w:p>
        <w:p w14:paraId="59467B9C" w14:textId="36320488"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6" w:history="1">
            <w:r w:rsidR="009627A8" w:rsidRPr="002053FC">
              <w:rPr>
                <w:rStyle w:val="Hyperlink"/>
              </w:rPr>
              <w:t>The judiciary and vulnerable groups</w:t>
            </w:r>
            <w:r w:rsidR="009627A8">
              <w:rPr>
                <w:webHidden/>
              </w:rPr>
              <w:tab/>
            </w:r>
            <w:r w:rsidR="009627A8">
              <w:rPr>
                <w:webHidden/>
              </w:rPr>
              <w:fldChar w:fldCharType="begin"/>
            </w:r>
            <w:r w:rsidR="009627A8">
              <w:rPr>
                <w:webHidden/>
              </w:rPr>
              <w:instrText xml:space="preserve"> PAGEREF _Toc112852436 \h </w:instrText>
            </w:r>
            <w:r w:rsidR="009627A8">
              <w:rPr>
                <w:webHidden/>
              </w:rPr>
            </w:r>
            <w:r w:rsidR="009627A8">
              <w:rPr>
                <w:webHidden/>
              </w:rPr>
              <w:fldChar w:fldCharType="separate"/>
            </w:r>
            <w:r w:rsidR="009627A8">
              <w:rPr>
                <w:webHidden/>
              </w:rPr>
              <w:t>42</w:t>
            </w:r>
            <w:r w:rsidR="009627A8">
              <w:rPr>
                <w:webHidden/>
              </w:rPr>
              <w:fldChar w:fldCharType="end"/>
            </w:r>
          </w:hyperlink>
        </w:p>
        <w:p w14:paraId="0000E9AA" w14:textId="35F9BE1F"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7" w:history="1">
            <w:r w:rsidR="009627A8" w:rsidRPr="002053FC">
              <w:rPr>
                <w:rStyle w:val="Hyperlink"/>
              </w:rPr>
              <w:t>Improving the quality of judgement in civil proceedings</w:t>
            </w:r>
            <w:r w:rsidR="009627A8">
              <w:rPr>
                <w:webHidden/>
              </w:rPr>
              <w:tab/>
            </w:r>
            <w:r w:rsidR="009627A8">
              <w:rPr>
                <w:webHidden/>
              </w:rPr>
              <w:fldChar w:fldCharType="begin"/>
            </w:r>
            <w:r w:rsidR="009627A8">
              <w:rPr>
                <w:webHidden/>
              </w:rPr>
              <w:instrText xml:space="preserve"> PAGEREF _Toc112852437 \h </w:instrText>
            </w:r>
            <w:r w:rsidR="009627A8">
              <w:rPr>
                <w:webHidden/>
              </w:rPr>
            </w:r>
            <w:r w:rsidR="009627A8">
              <w:rPr>
                <w:webHidden/>
              </w:rPr>
              <w:fldChar w:fldCharType="separate"/>
            </w:r>
            <w:r w:rsidR="009627A8">
              <w:rPr>
                <w:webHidden/>
              </w:rPr>
              <w:t>43</w:t>
            </w:r>
            <w:r w:rsidR="009627A8">
              <w:rPr>
                <w:webHidden/>
              </w:rPr>
              <w:fldChar w:fldCharType="end"/>
            </w:r>
          </w:hyperlink>
        </w:p>
        <w:p w14:paraId="3E10D801" w14:textId="157A2168"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8" w:history="1">
            <w:r w:rsidR="009627A8" w:rsidRPr="002053FC">
              <w:rPr>
                <w:rStyle w:val="Hyperlink"/>
              </w:rPr>
              <w:t>Initiating civil legislation reform</w:t>
            </w:r>
            <w:r w:rsidR="009627A8">
              <w:rPr>
                <w:webHidden/>
              </w:rPr>
              <w:tab/>
            </w:r>
            <w:r w:rsidR="009627A8">
              <w:rPr>
                <w:webHidden/>
              </w:rPr>
              <w:fldChar w:fldCharType="begin"/>
            </w:r>
            <w:r w:rsidR="009627A8">
              <w:rPr>
                <w:webHidden/>
              </w:rPr>
              <w:instrText xml:space="preserve"> PAGEREF _Toc112852438 \h </w:instrText>
            </w:r>
            <w:r w:rsidR="009627A8">
              <w:rPr>
                <w:webHidden/>
              </w:rPr>
            </w:r>
            <w:r w:rsidR="009627A8">
              <w:rPr>
                <w:webHidden/>
              </w:rPr>
              <w:fldChar w:fldCharType="separate"/>
            </w:r>
            <w:r w:rsidR="009627A8">
              <w:rPr>
                <w:webHidden/>
              </w:rPr>
              <w:t>45</w:t>
            </w:r>
            <w:r w:rsidR="009627A8">
              <w:rPr>
                <w:webHidden/>
              </w:rPr>
              <w:fldChar w:fldCharType="end"/>
            </w:r>
          </w:hyperlink>
        </w:p>
        <w:p w14:paraId="273B6F84" w14:textId="2AD7DC6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39" w:history="1">
            <w:r w:rsidR="009627A8" w:rsidRPr="002053FC">
              <w:rPr>
                <w:rStyle w:val="Hyperlink"/>
              </w:rPr>
              <w:t>Assessment of independence, accountability and quality of justice according to the ENCJ Indicators</w:t>
            </w:r>
            <w:r w:rsidR="009627A8">
              <w:rPr>
                <w:webHidden/>
              </w:rPr>
              <w:tab/>
            </w:r>
            <w:r w:rsidR="009627A8">
              <w:rPr>
                <w:webHidden/>
              </w:rPr>
              <w:fldChar w:fldCharType="begin"/>
            </w:r>
            <w:r w:rsidR="009627A8">
              <w:rPr>
                <w:webHidden/>
              </w:rPr>
              <w:instrText xml:space="preserve"> PAGEREF _Toc112852439 \h </w:instrText>
            </w:r>
            <w:r w:rsidR="009627A8">
              <w:rPr>
                <w:webHidden/>
              </w:rPr>
            </w:r>
            <w:r w:rsidR="009627A8">
              <w:rPr>
                <w:webHidden/>
              </w:rPr>
              <w:fldChar w:fldCharType="separate"/>
            </w:r>
            <w:r w:rsidR="009627A8">
              <w:rPr>
                <w:webHidden/>
              </w:rPr>
              <w:t>45</w:t>
            </w:r>
            <w:r w:rsidR="009627A8">
              <w:rPr>
                <w:webHidden/>
              </w:rPr>
              <w:fldChar w:fldCharType="end"/>
            </w:r>
          </w:hyperlink>
        </w:p>
        <w:p w14:paraId="2E31D15A" w14:textId="2C997DA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0" w:history="1">
            <w:r w:rsidR="009627A8" w:rsidRPr="002053FC">
              <w:rPr>
                <w:rStyle w:val="Hyperlink"/>
              </w:rPr>
              <w:t>Reconstruction and modernisation of selected judicial buildings</w:t>
            </w:r>
            <w:r w:rsidR="009627A8">
              <w:rPr>
                <w:webHidden/>
              </w:rPr>
              <w:tab/>
            </w:r>
            <w:r w:rsidR="009627A8">
              <w:rPr>
                <w:webHidden/>
              </w:rPr>
              <w:fldChar w:fldCharType="begin"/>
            </w:r>
            <w:r w:rsidR="009627A8">
              <w:rPr>
                <w:webHidden/>
              </w:rPr>
              <w:instrText xml:space="preserve"> PAGEREF _Toc112852440 \h </w:instrText>
            </w:r>
            <w:r w:rsidR="009627A8">
              <w:rPr>
                <w:webHidden/>
              </w:rPr>
            </w:r>
            <w:r w:rsidR="009627A8">
              <w:rPr>
                <w:webHidden/>
              </w:rPr>
              <w:fldChar w:fldCharType="separate"/>
            </w:r>
            <w:r w:rsidR="009627A8">
              <w:rPr>
                <w:webHidden/>
              </w:rPr>
              <w:t>46</w:t>
            </w:r>
            <w:r w:rsidR="009627A8">
              <w:rPr>
                <w:webHidden/>
              </w:rPr>
              <w:fldChar w:fldCharType="end"/>
            </w:r>
          </w:hyperlink>
        </w:p>
        <w:p w14:paraId="48393E97" w14:textId="6AE61E69" w:rsidR="009627A8" w:rsidRDefault="006D1459">
          <w:pPr>
            <w:pStyle w:val="TOC4"/>
            <w:rPr>
              <w:rFonts w:asciiTheme="minorHAnsi" w:eastAsiaTheme="minorEastAsia" w:hAnsiTheme="minorHAnsi" w:cstheme="minorBidi"/>
              <w:noProof/>
              <w:sz w:val="22"/>
              <w:szCs w:val="22"/>
              <w:lang w:val="bs-Latn-BA" w:eastAsia="bs-Latn-BA"/>
            </w:rPr>
          </w:pPr>
          <w:hyperlink w:anchor="_Toc112852441" w:history="1">
            <w:r w:rsidR="009627A8" w:rsidRPr="002053FC">
              <w:rPr>
                <w:rStyle w:val="Hyperlink"/>
                <w:noProof/>
              </w:rPr>
              <w:t>Conversion of the Miljacka Prison premises</w:t>
            </w:r>
            <w:r w:rsidR="009627A8">
              <w:rPr>
                <w:noProof/>
                <w:webHidden/>
              </w:rPr>
              <w:tab/>
            </w:r>
            <w:r w:rsidR="009627A8">
              <w:rPr>
                <w:noProof/>
                <w:webHidden/>
              </w:rPr>
              <w:fldChar w:fldCharType="begin"/>
            </w:r>
            <w:r w:rsidR="009627A8">
              <w:rPr>
                <w:noProof/>
                <w:webHidden/>
              </w:rPr>
              <w:instrText xml:space="preserve"> PAGEREF _Toc112852441 \h </w:instrText>
            </w:r>
            <w:r w:rsidR="009627A8">
              <w:rPr>
                <w:noProof/>
                <w:webHidden/>
              </w:rPr>
            </w:r>
            <w:r w:rsidR="009627A8">
              <w:rPr>
                <w:noProof/>
                <w:webHidden/>
              </w:rPr>
              <w:fldChar w:fldCharType="separate"/>
            </w:r>
            <w:r w:rsidR="009627A8">
              <w:rPr>
                <w:noProof/>
                <w:webHidden/>
              </w:rPr>
              <w:t>48</w:t>
            </w:r>
            <w:r w:rsidR="009627A8">
              <w:rPr>
                <w:noProof/>
                <w:webHidden/>
              </w:rPr>
              <w:fldChar w:fldCharType="end"/>
            </w:r>
          </w:hyperlink>
        </w:p>
        <w:p w14:paraId="5722F8FA" w14:textId="59C318DE"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2" w:history="1">
            <w:r w:rsidR="009627A8" w:rsidRPr="002053FC">
              <w:rPr>
                <w:rStyle w:val="Hyperlink"/>
              </w:rPr>
              <w:t>More proactive communication by the courts leads to greater transparency</w:t>
            </w:r>
            <w:r w:rsidR="009627A8">
              <w:rPr>
                <w:webHidden/>
              </w:rPr>
              <w:tab/>
            </w:r>
            <w:r w:rsidR="009627A8">
              <w:rPr>
                <w:webHidden/>
              </w:rPr>
              <w:fldChar w:fldCharType="begin"/>
            </w:r>
            <w:r w:rsidR="009627A8">
              <w:rPr>
                <w:webHidden/>
              </w:rPr>
              <w:instrText xml:space="preserve"> PAGEREF _Toc112852442 \h </w:instrText>
            </w:r>
            <w:r w:rsidR="009627A8">
              <w:rPr>
                <w:webHidden/>
              </w:rPr>
            </w:r>
            <w:r w:rsidR="009627A8">
              <w:rPr>
                <w:webHidden/>
              </w:rPr>
              <w:fldChar w:fldCharType="separate"/>
            </w:r>
            <w:r w:rsidR="009627A8">
              <w:rPr>
                <w:webHidden/>
              </w:rPr>
              <w:t>49</w:t>
            </w:r>
            <w:r w:rsidR="009627A8">
              <w:rPr>
                <w:webHidden/>
              </w:rPr>
              <w:fldChar w:fldCharType="end"/>
            </w:r>
          </w:hyperlink>
        </w:p>
        <w:p w14:paraId="73B66BA7" w14:textId="00F29559" w:rsidR="009627A8" w:rsidRDefault="006D1459">
          <w:pPr>
            <w:pStyle w:val="TOC4"/>
            <w:rPr>
              <w:rFonts w:asciiTheme="minorHAnsi" w:eastAsiaTheme="minorEastAsia" w:hAnsiTheme="minorHAnsi" w:cstheme="minorBidi"/>
              <w:noProof/>
              <w:sz w:val="22"/>
              <w:szCs w:val="22"/>
              <w:lang w:val="bs-Latn-BA" w:eastAsia="bs-Latn-BA"/>
            </w:rPr>
          </w:pPr>
          <w:hyperlink w:anchor="_Toc112852443" w:history="1">
            <w:r w:rsidR="009627A8" w:rsidRPr="002053FC">
              <w:rPr>
                <w:rStyle w:val="Hyperlink"/>
                <w:noProof/>
              </w:rPr>
              <w:t>New communication practices in judicial institutions in Bosnia and Herzegovina</w:t>
            </w:r>
            <w:r w:rsidR="009627A8">
              <w:rPr>
                <w:noProof/>
                <w:webHidden/>
              </w:rPr>
              <w:tab/>
            </w:r>
            <w:r w:rsidR="009627A8">
              <w:rPr>
                <w:noProof/>
                <w:webHidden/>
              </w:rPr>
              <w:fldChar w:fldCharType="begin"/>
            </w:r>
            <w:r w:rsidR="009627A8">
              <w:rPr>
                <w:noProof/>
                <w:webHidden/>
              </w:rPr>
              <w:instrText xml:space="preserve"> PAGEREF _Toc112852443 \h </w:instrText>
            </w:r>
            <w:r w:rsidR="009627A8">
              <w:rPr>
                <w:noProof/>
                <w:webHidden/>
              </w:rPr>
            </w:r>
            <w:r w:rsidR="009627A8">
              <w:rPr>
                <w:noProof/>
                <w:webHidden/>
              </w:rPr>
              <w:fldChar w:fldCharType="separate"/>
            </w:r>
            <w:r w:rsidR="009627A8">
              <w:rPr>
                <w:noProof/>
                <w:webHidden/>
              </w:rPr>
              <w:t>49</w:t>
            </w:r>
            <w:r w:rsidR="009627A8">
              <w:rPr>
                <w:noProof/>
                <w:webHidden/>
              </w:rPr>
              <w:fldChar w:fldCharType="end"/>
            </w:r>
          </w:hyperlink>
        </w:p>
        <w:p w14:paraId="384CE7E5" w14:textId="19F8969B" w:rsidR="009627A8" w:rsidRDefault="006D1459">
          <w:pPr>
            <w:pStyle w:val="TOC2"/>
            <w:rPr>
              <w:rFonts w:asciiTheme="minorHAnsi" w:eastAsiaTheme="minorEastAsia" w:hAnsiTheme="minorHAnsi" w:cstheme="minorBidi"/>
              <w:b w:val="0"/>
              <w:sz w:val="22"/>
              <w:szCs w:val="22"/>
              <w:lang w:val="bs-Latn-BA" w:eastAsia="bs-Latn-BA"/>
            </w:rPr>
          </w:pPr>
          <w:hyperlink w:anchor="_Toc112852444" w:history="1">
            <w:r w:rsidR="009627A8" w:rsidRPr="002053FC">
              <w:rPr>
                <w:rStyle w:val="Hyperlink"/>
              </w:rPr>
              <w:t>Performance, quality and transparency of prosecutor’s offices</w:t>
            </w:r>
            <w:r w:rsidR="009627A8">
              <w:rPr>
                <w:webHidden/>
              </w:rPr>
              <w:tab/>
            </w:r>
            <w:r w:rsidR="009627A8">
              <w:rPr>
                <w:webHidden/>
              </w:rPr>
              <w:fldChar w:fldCharType="begin"/>
            </w:r>
            <w:r w:rsidR="009627A8">
              <w:rPr>
                <w:webHidden/>
              </w:rPr>
              <w:instrText xml:space="preserve"> PAGEREF _Toc112852444 \h </w:instrText>
            </w:r>
            <w:r w:rsidR="009627A8">
              <w:rPr>
                <w:webHidden/>
              </w:rPr>
            </w:r>
            <w:r w:rsidR="009627A8">
              <w:rPr>
                <w:webHidden/>
              </w:rPr>
              <w:fldChar w:fldCharType="separate"/>
            </w:r>
            <w:r w:rsidR="009627A8">
              <w:rPr>
                <w:webHidden/>
              </w:rPr>
              <w:t>51</w:t>
            </w:r>
            <w:r w:rsidR="009627A8">
              <w:rPr>
                <w:webHidden/>
              </w:rPr>
              <w:fldChar w:fldCharType="end"/>
            </w:r>
          </w:hyperlink>
        </w:p>
        <w:p w14:paraId="79690A57" w14:textId="31E8FCE2"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5" w:history="1">
            <w:r w:rsidR="009627A8" w:rsidRPr="002053FC">
              <w:rPr>
                <w:rStyle w:val="Hyperlink"/>
              </w:rPr>
              <w:t>Prosecution of corruption</w:t>
            </w:r>
            <w:r w:rsidR="009627A8">
              <w:rPr>
                <w:webHidden/>
              </w:rPr>
              <w:tab/>
            </w:r>
            <w:r w:rsidR="009627A8">
              <w:rPr>
                <w:webHidden/>
              </w:rPr>
              <w:fldChar w:fldCharType="begin"/>
            </w:r>
            <w:r w:rsidR="009627A8">
              <w:rPr>
                <w:webHidden/>
              </w:rPr>
              <w:instrText xml:space="preserve"> PAGEREF _Toc112852445 \h </w:instrText>
            </w:r>
            <w:r w:rsidR="009627A8">
              <w:rPr>
                <w:webHidden/>
              </w:rPr>
            </w:r>
            <w:r w:rsidR="009627A8">
              <w:rPr>
                <w:webHidden/>
              </w:rPr>
              <w:fldChar w:fldCharType="separate"/>
            </w:r>
            <w:r w:rsidR="009627A8">
              <w:rPr>
                <w:webHidden/>
              </w:rPr>
              <w:t>52</w:t>
            </w:r>
            <w:r w:rsidR="009627A8">
              <w:rPr>
                <w:webHidden/>
              </w:rPr>
              <w:fldChar w:fldCharType="end"/>
            </w:r>
          </w:hyperlink>
        </w:p>
        <w:p w14:paraId="4DBE96C1" w14:textId="41B7C86F"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6" w:history="1">
            <w:r w:rsidR="009627A8" w:rsidRPr="002053FC">
              <w:rPr>
                <w:rStyle w:val="Hyperlink"/>
              </w:rPr>
              <w:t>Prosecution of organised crime</w:t>
            </w:r>
            <w:r w:rsidR="009627A8">
              <w:rPr>
                <w:webHidden/>
              </w:rPr>
              <w:tab/>
            </w:r>
            <w:r w:rsidR="009627A8">
              <w:rPr>
                <w:webHidden/>
              </w:rPr>
              <w:fldChar w:fldCharType="begin"/>
            </w:r>
            <w:r w:rsidR="009627A8">
              <w:rPr>
                <w:webHidden/>
              </w:rPr>
              <w:instrText xml:space="preserve"> PAGEREF _Toc112852446 \h </w:instrText>
            </w:r>
            <w:r w:rsidR="009627A8">
              <w:rPr>
                <w:webHidden/>
              </w:rPr>
            </w:r>
            <w:r w:rsidR="009627A8">
              <w:rPr>
                <w:webHidden/>
              </w:rPr>
              <w:fldChar w:fldCharType="separate"/>
            </w:r>
            <w:r w:rsidR="009627A8">
              <w:rPr>
                <w:webHidden/>
              </w:rPr>
              <w:t>52</w:t>
            </w:r>
            <w:r w:rsidR="009627A8">
              <w:rPr>
                <w:webHidden/>
              </w:rPr>
              <w:fldChar w:fldCharType="end"/>
            </w:r>
          </w:hyperlink>
        </w:p>
        <w:p w14:paraId="23AA3A5D" w14:textId="2DB5CA74"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7" w:history="1">
            <w:r w:rsidR="009627A8" w:rsidRPr="002053FC">
              <w:rPr>
                <w:rStyle w:val="Hyperlink"/>
              </w:rPr>
              <w:t>Supporting POs in processing cases involving economic crime, organised crime and corruption</w:t>
            </w:r>
            <w:r w:rsidR="009627A8">
              <w:rPr>
                <w:webHidden/>
              </w:rPr>
              <w:tab/>
            </w:r>
            <w:r w:rsidR="009627A8">
              <w:rPr>
                <w:webHidden/>
              </w:rPr>
              <w:fldChar w:fldCharType="begin"/>
            </w:r>
            <w:r w:rsidR="009627A8">
              <w:rPr>
                <w:webHidden/>
              </w:rPr>
              <w:instrText xml:space="preserve"> PAGEREF _Toc112852447 \h </w:instrText>
            </w:r>
            <w:r w:rsidR="009627A8">
              <w:rPr>
                <w:webHidden/>
              </w:rPr>
            </w:r>
            <w:r w:rsidR="009627A8">
              <w:rPr>
                <w:webHidden/>
              </w:rPr>
              <w:fldChar w:fldCharType="separate"/>
            </w:r>
            <w:r w:rsidR="009627A8">
              <w:rPr>
                <w:webHidden/>
              </w:rPr>
              <w:t>53</w:t>
            </w:r>
            <w:r w:rsidR="009627A8">
              <w:rPr>
                <w:webHidden/>
              </w:rPr>
              <w:fldChar w:fldCharType="end"/>
            </w:r>
          </w:hyperlink>
        </w:p>
        <w:p w14:paraId="548DC9DE" w14:textId="18549527"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8" w:history="1">
            <w:r w:rsidR="009627A8" w:rsidRPr="002053FC">
              <w:rPr>
                <w:rStyle w:val="Hyperlink"/>
              </w:rPr>
              <w:t>Situation analysis and backlog reduction measures for the prosecutor's offices</w:t>
            </w:r>
            <w:r w:rsidR="009627A8">
              <w:rPr>
                <w:webHidden/>
              </w:rPr>
              <w:tab/>
            </w:r>
            <w:r w:rsidR="009627A8">
              <w:rPr>
                <w:webHidden/>
              </w:rPr>
              <w:fldChar w:fldCharType="begin"/>
            </w:r>
            <w:r w:rsidR="009627A8">
              <w:rPr>
                <w:webHidden/>
              </w:rPr>
              <w:instrText xml:space="preserve"> PAGEREF _Toc112852448 \h </w:instrText>
            </w:r>
            <w:r w:rsidR="009627A8">
              <w:rPr>
                <w:webHidden/>
              </w:rPr>
            </w:r>
            <w:r w:rsidR="009627A8">
              <w:rPr>
                <w:webHidden/>
              </w:rPr>
              <w:fldChar w:fldCharType="separate"/>
            </w:r>
            <w:r w:rsidR="009627A8">
              <w:rPr>
                <w:webHidden/>
              </w:rPr>
              <w:t>53</w:t>
            </w:r>
            <w:r w:rsidR="009627A8">
              <w:rPr>
                <w:webHidden/>
              </w:rPr>
              <w:fldChar w:fldCharType="end"/>
            </w:r>
          </w:hyperlink>
        </w:p>
        <w:p w14:paraId="5E861972" w14:textId="600A5D47"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49" w:history="1">
            <w:r w:rsidR="009627A8" w:rsidRPr="002053FC">
              <w:rPr>
                <w:rStyle w:val="Hyperlink"/>
              </w:rPr>
              <w:t>Activities of the Standing Committee on the Efficiency and Quality of Prosecutor's Offices</w:t>
            </w:r>
            <w:r w:rsidR="009627A8">
              <w:rPr>
                <w:webHidden/>
              </w:rPr>
              <w:tab/>
            </w:r>
            <w:r w:rsidR="009627A8">
              <w:rPr>
                <w:webHidden/>
              </w:rPr>
              <w:fldChar w:fldCharType="begin"/>
            </w:r>
            <w:r w:rsidR="009627A8">
              <w:rPr>
                <w:webHidden/>
              </w:rPr>
              <w:instrText xml:space="preserve"> PAGEREF _Toc112852449 \h </w:instrText>
            </w:r>
            <w:r w:rsidR="009627A8">
              <w:rPr>
                <w:webHidden/>
              </w:rPr>
            </w:r>
            <w:r w:rsidR="009627A8">
              <w:rPr>
                <w:webHidden/>
              </w:rPr>
              <w:fldChar w:fldCharType="separate"/>
            </w:r>
            <w:r w:rsidR="009627A8">
              <w:rPr>
                <w:webHidden/>
              </w:rPr>
              <w:t>54</w:t>
            </w:r>
            <w:r w:rsidR="009627A8">
              <w:rPr>
                <w:webHidden/>
              </w:rPr>
              <w:fldChar w:fldCharType="end"/>
            </w:r>
          </w:hyperlink>
        </w:p>
        <w:p w14:paraId="598B1569" w14:textId="25661FF7"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0" w:history="1">
            <w:r w:rsidR="009627A8" w:rsidRPr="002053FC">
              <w:rPr>
                <w:rStyle w:val="Hyperlink"/>
              </w:rPr>
              <w:t>Improving cooperation between prosecutor’s offices and law enforcement agencies</w:t>
            </w:r>
            <w:r w:rsidR="009627A8">
              <w:rPr>
                <w:webHidden/>
              </w:rPr>
              <w:tab/>
            </w:r>
            <w:r w:rsidR="009627A8">
              <w:rPr>
                <w:webHidden/>
              </w:rPr>
              <w:fldChar w:fldCharType="begin"/>
            </w:r>
            <w:r w:rsidR="009627A8">
              <w:rPr>
                <w:webHidden/>
              </w:rPr>
              <w:instrText xml:space="preserve"> PAGEREF _Toc112852450 \h </w:instrText>
            </w:r>
            <w:r w:rsidR="009627A8">
              <w:rPr>
                <w:webHidden/>
              </w:rPr>
            </w:r>
            <w:r w:rsidR="009627A8">
              <w:rPr>
                <w:webHidden/>
              </w:rPr>
              <w:fldChar w:fldCharType="separate"/>
            </w:r>
            <w:r w:rsidR="009627A8">
              <w:rPr>
                <w:webHidden/>
              </w:rPr>
              <w:t>55</w:t>
            </w:r>
            <w:r w:rsidR="009627A8">
              <w:rPr>
                <w:webHidden/>
              </w:rPr>
              <w:fldChar w:fldCharType="end"/>
            </w:r>
          </w:hyperlink>
        </w:p>
        <w:p w14:paraId="47C145AB" w14:textId="1E29A3A6"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1" w:history="1">
            <w:r w:rsidR="009627A8" w:rsidRPr="002053FC">
              <w:rPr>
                <w:rStyle w:val="Hyperlink"/>
              </w:rPr>
              <w:t>Improving specialisation of prosecutors and expanded categories of participants</w:t>
            </w:r>
            <w:r w:rsidR="009627A8">
              <w:rPr>
                <w:webHidden/>
              </w:rPr>
              <w:tab/>
            </w:r>
            <w:r w:rsidR="009627A8">
              <w:rPr>
                <w:webHidden/>
              </w:rPr>
              <w:fldChar w:fldCharType="begin"/>
            </w:r>
            <w:r w:rsidR="009627A8">
              <w:rPr>
                <w:webHidden/>
              </w:rPr>
              <w:instrText xml:space="preserve"> PAGEREF _Toc112852451 \h </w:instrText>
            </w:r>
            <w:r w:rsidR="009627A8">
              <w:rPr>
                <w:webHidden/>
              </w:rPr>
            </w:r>
            <w:r w:rsidR="009627A8">
              <w:rPr>
                <w:webHidden/>
              </w:rPr>
              <w:fldChar w:fldCharType="separate"/>
            </w:r>
            <w:r w:rsidR="009627A8">
              <w:rPr>
                <w:webHidden/>
              </w:rPr>
              <w:t>55</w:t>
            </w:r>
            <w:r w:rsidR="009627A8">
              <w:rPr>
                <w:webHidden/>
              </w:rPr>
              <w:fldChar w:fldCharType="end"/>
            </w:r>
          </w:hyperlink>
        </w:p>
        <w:p w14:paraId="5C9A99DF" w14:textId="21049A04"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2" w:history="1">
            <w:r w:rsidR="009627A8" w:rsidRPr="002053FC">
              <w:rPr>
                <w:rStyle w:val="Hyperlink"/>
              </w:rPr>
              <w:t>Supporting the Coordinating Body of the chief prosecutors of the Prosecutor's Office of BiH, entity prosecutor’s offices and the Prosecutor’s Office of the Brcko District of BiH</w:t>
            </w:r>
            <w:r w:rsidR="009627A8">
              <w:rPr>
                <w:webHidden/>
              </w:rPr>
              <w:tab/>
            </w:r>
            <w:r w:rsidR="009627A8">
              <w:rPr>
                <w:webHidden/>
              </w:rPr>
              <w:fldChar w:fldCharType="begin"/>
            </w:r>
            <w:r w:rsidR="009627A8">
              <w:rPr>
                <w:webHidden/>
              </w:rPr>
              <w:instrText xml:space="preserve"> PAGEREF _Toc112852452 \h </w:instrText>
            </w:r>
            <w:r w:rsidR="009627A8">
              <w:rPr>
                <w:webHidden/>
              </w:rPr>
            </w:r>
            <w:r w:rsidR="009627A8">
              <w:rPr>
                <w:webHidden/>
              </w:rPr>
              <w:fldChar w:fldCharType="separate"/>
            </w:r>
            <w:r w:rsidR="009627A8">
              <w:rPr>
                <w:webHidden/>
              </w:rPr>
              <w:t>56</w:t>
            </w:r>
            <w:r w:rsidR="009627A8">
              <w:rPr>
                <w:webHidden/>
              </w:rPr>
              <w:fldChar w:fldCharType="end"/>
            </w:r>
          </w:hyperlink>
        </w:p>
        <w:p w14:paraId="320DD74E" w14:textId="5119FC55"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3" w:history="1">
            <w:r w:rsidR="009627A8" w:rsidRPr="002053FC">
              <w:rPr>
                <w:rStyle w:val="Hyperlink"/>
              </w:rPr>
              <w:t>Strategic planning in prosecutor’s office</w:t>
            </w:r>
            <w:r w:rsidR="009627A8">
              <w:rPr>
                <w:webHidden/>
              </w:rPr>
              <w:tab/>
            </w:r>
            <w:r w:rsidR="009627A8">
              <w:rPr>
                <w:webHidden/>
              </w:rPr>
              <w:fldChar w:fldCharType="begin"/>
            </w:r>
            <w:r w:rsidR="009627A8">
              <w:rPr>
                <w:webHidden/>
              </w:rPr>
              <w:instrText xml:space="preserve"> PAGEREF _Toc112852453 \h </w:instrText>
            </w:r>
            <w:r w:rsidR="009627A8">
              <w:rPr>
                <w:webHidden/>
              </w:rPr>
            </w:r>
            <w:r w:rsidR="009627A8">
              <w:rPr>
                <w:webHidden/>
              </w:rPr>
              <w:fldChar w:fldCharType="separate"/>
            </w:r>
            <w:r w:rsidR="009627A8">
              <w:rPr>
                <w:webHidden/>
              </w:rPr>
              <w:t>56</w:t>
            </w:r>
            <w:r w:rsidR="009627A8">
              <w:rPr>
                <w:webHidden/>
              </w:rPr>
              <w:fldChar w:fldCharType="end"/>
            </w:r>
          </w:hyperlink>
        </w:p>
        <w:p w14:paraId="58099643" w14:textId="02CD310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4" w:history="1">
            <w:r w:rsidR="009627A8" w:rsidRPr="002053FC">
              <w:rPr>
                <w:rStyle w:val="Hyperlink"/>
              </w:rPr>
              <w:t>Support of the prosecutor’s offices in implementing the digitisation of archives</w:t>
            </w:r>
            <w:r w:rsidR="009627A8">
              <w:rPr>
                <w:webHidden/>
              </w:rPr>
              <w:tab/>
            </w:r>
            <w:r w:rsidR="009627A8">
              <w:rPr>
                <w:webHidden/>
              </w:rPr>
              <w:fldChar w:fldCharType="begin"/>
            </w:r>
            <w:r w:rsidR="009627A8">
              <w:rPr>
                <w:webHidden/>
              </w:rPr>
              <w:instrText xml:space="preserve"> PAGEREF _Toc112852454 \h </w:instrText>
            </w:r>
            <w:r w:rsidR="009627A8">
              <w:rPr>
                <w:webHidden/>
              </w:rPr>
            </w:r>
            <w:r w:rsidR="009627A8">
              <w:rPr>
                <w:webHidden/>
              </w:rPr>
              <w:fldChar w:fldCharType="separate"/>
            </w:r>
            <w:r w:rsidR="009627A8">
              <w:rPr>
                <w:webHidden/>
              </w:rPr>
              <w:t>57</w:t>
            </w:r>
            <w:r w:rsidR="009627A8">
              <w:rPr>
                <w:webHidden/>
              </w:rPr>
              <w:fldChar w:fldCharType="end"/>
            </w:r>
          </w:hyperlink>
        </w:p>
        <w:p w14:paraId="02D67AC2" w14:textId="47D1CF78"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5" w:history="1">
            <w:r w:rsidR="009627A8" w:rsidRPr="002053FC">
              <w:rPr>
                <w:rStyle w:val="Hyperlink"/>
              </w:rPr>
              <w:t>Transparency, public relations in the prosecutors offices and cooperation with the NGO sector</w:t>
            </w:r>
            <w:r w:rsidR="009627A8">
              <w:rPr>
                <w:webHidden/>
              </w:rPr>
              <w:tab/>
            </w:r>
            <w:r w:rsidR="009627A8">
              <w:rPr>
                <w:webHidden/>
              </w:rPr>
              <w:tab/>
            </w:r>
            <w:r w:rsidR="009627A8">
              <w:rPr>
                <w:webHidden/>
              </w:rPr>
              <w:fldChar w:fldCharType="begin"/>
            </w:r>
            <w:r w:rsidR="009627A8">
              <w:rPr>
                <w:webHidden/>
              </w:rPr>
              <w:instrText xml:space="preserve"> PAGEREF _Toc112852455 \h </w:instrText>
            </w:r>
            <w:r w:rsidR="009627A8">
              <w:rPr>
                <w:webHidden/>
              </w:rPr>
            </w:r>
            <w:r w:rsidR="009627A8">
              <w:rPr>
                <w:webHidden/>
              </w:rPr>
              <w:fldChar w:fldCharType="separate"/>
            </w:r>
            <w:r w:rsidR="009627A8">
              <w:rPr>
                <w:webHidden/>
              </w:rPr>
              <w:t>57</w:t>
            </w:r>
            <w:r w:rsidR="009627A8">
              <w:rPr>
                <w:webHidden/>
              </w:rPr>
              <w:fldChar w:fldCharType="end"/>
            </w:r>
          </w:hyperlink>
        </w:p>
        <w:p w14:paraId="793025F6" w14:textId="648F129F" w:rsidR="009627A8" w:rsidRDefault="006D1459">
          <w:pPr>
            <w:pStyle w:val="TOC2"/>
            <w:rPr>
              <w:rFonts w:asciiTheme="minorHAnsi" w:eastAsiaTheme="minorEastAsia" w:hAnsiTheme="minorHAnsi" w:cstheme="minorBidi"/>
              <w:b w:val="0"/>
              <w:sz w:val="22"/>
              <w:szCs w:val="22"/>
              <w:lang w:val="bs-Latn-BA" w:eastAsia="bs-Latn-BA"/>
            </w:rPr>
          </w:pPr>
          <w:hyperlink w:anchor="_Toc112852456" w:history="1">
            <w:r w:rsidR="009627A8" w:rsidRPr="002053FC">
              <w:rPr>
                <w:rStyle w:val="Hyperlink"/>
              </w:rPr>
              <w:t>Performance evaluations for judicial office holders</w:t>
            </w:r>
            <w:r w:rsidR="009627A8">
              <w:rPr>
                <w:webHidden/>
              </w:rPr>
              <w:tab/>
            </w:r>
            <w:r w:rsidR="009627A8">
              <w:rPr>
                <w:webHidden/>
              </w:rPr>
              <w:fldChar w:fldCharType="begin"/>
            </w:r>
            <w:r w:rsidR="009627A8">
              <w:rPr>
                <w:webHidden/>
              </w:rPr>
              <w:instrText xml:space="preserve"> PAGEREF _Toc112852456 \h </w:instrText>
            </w:r>
            <w:r w:rsidR="009627A8">
              <w:rPr>
                <w:webHidden/>
              </w:rPr>
            </w:r>
            <w:r w:rsidR="009627A8">
              <w:rPr>
                <w:webHidden/>
              </w:rPr>
              <w:fldChar w:fldCharType="separate"/>
            </w:r>
            <w:r w:rsidR="009627A8">
              <w:rPr>
                <w:webHidden/>
              </w:rPr>
              <w:t>57</w:t>
            </w:r>
            <w:r w:rsidR="009627A8">
              <w:rPr>
                <w:webHidden/>
              </w:rPr>
              <w:fldChar w:fldCharType="end"/>
            </w:r>
          </w:hyperlink>
        </w:p>
        <w:p w14:paraId="472D4521" w14:textId="6DB58B57" w:rsidR="009627A8" w:rsidRDefault="006D1459">
          <w:pPr>
            <w:pStyle w:val="TOC2"/>
            <w:rPr>
              <w:rFonts w:asciiTheme="minorHAnsi" w:eastAsiaTheme="minorEastAsia" w:hAnsiTheme="minorHAnsi" w:cstheme="minorBidi"/>
              <w:b w:val="0"/>
              <w:sz w:val="22"/>
              <w:szCs w:val="22"/>
              <w:lang w:val="bs-Latn-BA" w:eastAsia="bs-Latn-BA"/>
            </w:rPr>
          </w:pPr>
          <w:hyperlink w:anchor="_Toc112852457" w:history="1">
            <w:r w:rsidR="009627A8" w:rsidRPr="002053FC">
              <w:rPr>
                <w:rStyle w:val="Hyperlink"/>
              </w:rPr>
              <w:t>Education of judicial office holders</w:t>
            </w:r>
            <w:r w:rsidR="009627A8">
              <w:rPr>
                <w:webHidden/>
              </w:rPr>
              <w:tab/>
            </w:r>
            <w:r w:rsidR="009627A8">
              <w:rPr>
                <w:webHidden/>
              </w:rPr>
              <w:fldChar w:fldCharType="begin"/>
            </w:r>
            <w:r w:rsidR="009627A8">
              <w:rPr>
                <w:webHidden/>
              </w:rPr>
              <w:instrText xml:space="preserve"> PAGEREF _Toc112852457 \h </w:instrText>
            </w:r>
            <w:r w:rsidR="009627A8">
              <w:rPr>
                <w:webHidden/>
              </w:rPr>
            </w:r>
            <w:r w:rsidR="009627A8">
              <w:rPr>
                <w:webHidden/>
              </w:rPr>
              <w:fldChar w:fldCharType="separate"/>
            </w:r>
            <w:r w:rsidR="009627A8">
              <w:rPr>
                <w:webHidden/>
              </w:rPr>
              <w:t>59</w:t>
            </w:r>
            <w:r w:rsidR="009627A8">
              <w:rPr>
                <w:webHidden/>
              </w:rPr>
              <w:fldChar w:fldCharType="end"/>
            </w:r>
          </w:hyperlink>
        </w:p>
        <w:p w14:paraId="2EC1F003" w14:textId="42327D8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8" w:history="1">
            <w:r w:rsidR="009627A8" w:rsidRPr="002053FC">
              <w:rPr>
                <w:rStyle w:val="Hyperlink"/>
              </w:rPr>
              <w:t>Coordination of the case law harmonisation process</w:t>
            </w:r>
            <w:r w:rsidR="009627A8">
              <w:rPr>
                <w:webHidden/>
              </w:rPr>
              <w:tab/>
            </w:r>
            <w:r w:rsidR="009627A8">
              <w:rPr>
                <w:webHidden/>
              </w:rPr>
              <w:fldChar w:fldCharType="begin"/>
            </w:r>
            <w:r w:rsidR="009627A8">
              <w:rPr>
                <w:webHidden/>
              </w:rPr>
              <w:instrText xml:space="preserve"> PAGEREF _Toc112852458 \h </w:instrText>
            </w:r>
            <w:r w:rsidR="009627A8">
              <w:rPr>
                <w:webHidden/>
              </w:rPr>
            </w:r>
            <w:r w:rsidR="009627A8">
              <w:rPr>
                <w:webHidden/>
              </w:rPr>
              <w:fldChar w:fldCharType="separate"/>
            </w:r>
            <w:r w:rsidR="009627A8">
              <w:rPr>
                <w:webHidden/>
              </w:rPr>
              <w:t>61</w:t>
            </w:r>
            <w:r w:rsidR="009627A8">
              <w:rPr>
                <w:webHidden/>
              </w:rPr>
              <w:fldChar w:fldCharType="end"/>
            </w:r>
          </w:hyperlink>
        </w:p>
        <w:p w14:paraId="61216194" w14:textId="4B81E7FF"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59" w:history="1">
            <w:r w:rsidR="009627A8" w:rsidRPr="002053FC">
              <w:rPr>
                <w:rStyle w:val="Hyperlink"/>
              </w:rPr>
              <w:t>The increased transparency of the judicial system</w:t>
            </w:r>
            <w:r w:rsidR="009627A8">
              <w:rPr>
                <w:webHidden/>
              </w:rPr>
              <w:tab/>
            </w:r>
            <w:r w:rsidR="009627A8">
              <w:rPr>
                <w:webHidden/>
              </w:rPr>
              <w:fldChar w:fldCharType="begin"/>
            </w:r>
            <w:r w:rsidR="009627A8">
              <w:rPr>
                <w:webHidden/>
              </w:rPr>
              <w:instrText xml:space="preserve"> PAGEREF _Toc112852459 \h </w:instrText>
            </w:r>
            <w:r w:rsidR="009627A8">
              <w:rPr>
                <w:webHidden/>
              </w:rPr>
            </w:r>
            <w:r w:rsidR="009627A8">
              <w:rPr>
                <w:webHidden/>
              </w:rPr>
              <w:fldChar w:fldCharType="separate"/>
            </w:r>
            <w:r w:rsidR="009627A8">
              <w:rPr>
                <w:webHidden/>
              </w:rPr>
              <w:t>63</w:t>
            </w:r>
            <w:r w:rsidR="009627A8">
              <w:rPr>
                <w:webHidden/>
              </w:rPr>
              <w:fldChar w:fldCharType="end"/>
            </w:r>
          </w:hyperlink>
        </w:p>
        <w:p w14:paraId="58A95756" w14:textId="03826B02" w:rsidR="009627A8" w:rsidRDefault="006D1459">
          <w:pPr>
            <w:pStyle w:val="TOC2"/>
            <w:rPr>
              <w:rFonts w:asciiTheme="minorHAnsi" w:eastAsiaTheme="minorEastAsia" w:hAnsiTheme="minorHAnsi" w:cstheme="minorBidi"/>
              <w:b w:val="0"/>
              <w:sz w:val="22"/>
              <w:szCs w:val="22"/>
              <w:lang w:val="bs-Latn-BA" w:eastAsia="bs-Latn-BA"/>
            </w:rPr>
          </w:pPr>
          <w:hyperlink w:anchor="_Toc112852460" w:history="1">
            <w:r w:rsidR="009627A8" w:rsidRPr="002053FC">
              <w:rPr>
                <w:rStyle w:val="Hyperlink"/>
              </w:rPr>
              <w:t>The implementation of the Revised National War Crime Strategy and monitoring the work of courts and prosecutor’s office on war crimes cases</w:t>
            </w:r>
            <w:r w:rsidR="009627A8">
              <w:rPr>
                <w:webHidden/>
              </w:rPr>
              <w:tab/>
            </w:r>
            <w:r w:rsidR="009627A8">
              <w:rPr>
                <w:webHidden/>
              </w:rPr>
              <w:fldChar w:fldCharType="begin"/>
            </w:r>
            <w:r w:rsidR="009627A8">
              <w:rPr>
                <w:webHidden/>
              </w:rPr>
              <w:instrText xml:space="preserve"> PAGEREF _Toc112852460 \h </w:instrText>
            </w:r>
            <w:r w:rsidR="009627A8">
              <w:rPr>
                <w:webHidden/>
              </w:rPr>
            </w:r>
            <w:r w:rsidR="009627A8">
              <w:rPr>
                <w:webHidden/>
              </w:rPr>
              <w:fldChar w:fldCharType="separate"/>
            </w:r>
            <w:r w:rsidR="009627A8">
              <w:rPr>
                <w:webHidden/>
              </w:rPr>
              <w:t>64</w:t>
            </w:r>
            <w:r w:rsidR="009627A8">
              <w:rPr>
                <w:webHidden/>
              </w:rPr>
              <w:fldChar w:fldCharType="end"/>
            </w:r>
          </w:hyperlink>
        </w:p>
        <w:p w14:paraId="73885FA5" w14:textId="23E9398D" w:rsidR="009627A8" w:rsidRDefault="006D1459">
          <w:pPr>
            <w:pStyle w:val="TOC2"/>
            <w:rPr>
              <w:rFonts w:asciiTheme="minorHAnsi" w:eastAsiaTheme="minorEastAsia" w:hAnsiTheme="minorHAnsi" w:cstheme="minorBidi"/>
              <w:b w:val="0"/>
              <w:sz w:val="22"/>
              <w:szCs w:val="22"/>
              <w:lang w:val="bs-Latn-BA" w:eastAsia="bs-Latn-BA"/>
            </w:rPr>
          </w:pPr>
          <w:hyperlink w:anchor="_Toc112852461" w:history="1">
            <w:r w:rsidR="009627A8" w:rsidRPr="002053FC">
              <w:rPr>
                <w:rStyle w:val="Hyperlink"/>
              </w:rPr>
              <w:t>Integrity</w:t>
            </w:r>
            <w:r w:rsidR="009627A8">
              <w:rPr>
                <w:webHidden/>
              </w:rPr>
              <w:tab/>
            </w:r>
            <w:r w:rsidR="009627A8">
              <w:rPr>
                <w:webHidden/>
              </w:rPr>
              <w:tab/>
            </w:r>
            <w:r w:rsidR="009627A8">
              <w:rPr>
                <w:webHidden/>
              </w:rPr>
              <w:fldChar w:fldCharType="begin"/>
            </w:r>
            <w:r w:rsidR="009627A8">
              <w:rPr>
                <w:webHidden/>
              </w:rPr>
              <w:instrText xml:space="preserve"> PAGEREF _Toc112852461 \h </w:instrText>
            </w:r>
            <w:r w:rsidR="009627A8">
              <w:rPr>
                <w:webHidden/>
              </w:rPr>
            </w:r>
            <w:r w:rsidR="009627A8">
              <w:rPr>
                <w:webHidden/>
              </w:rPr>
              <w:fldChar w:fldCharType="separate"/>
            </w:r>
            <w:r w:rsidR="009627A8">
              <w:rPr>
                <w:webHidden/>
              </w:rPr>
              <w:t>66</w:t>
            </w:r>
            <w:r w:rsidR="009627A8">
              <w:rPr>
                <w:webHidden/>
              </w:rPr>
              <w:fldChar w:fldCharType="end"/>
            </w:r>
          </w:hyperlink>
        </w:p>
        <w:p w14:paraId="51CA423D" w14:textId="142C0951"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62" w:history="1">
            <w:r w:rsidR="009627A8" w:rsidRPr="002053FC">
              <w:rPr>
                <w:rStyle w:val="Hyperlink"/>
              </w:rPr>
              <w:t>Asset declarations of judges and prosecutors</w:t>
            </w:r>
            <w:r w:rsidR="009627A8">
              <w:rPr>
                <w:webHidden/>
              </w:rPr>
              <w:tab/>
            </w:r>
            <w:r w:rsidR="009627A8">
              <w:rPr>
                <w:webHidden/>
              </w:rPr>
              <w:fldChar w:fldCharType="begin"/>
            </w:r>
            <w:r w:rsidR="009627A8">
              <w:rPr>
                <w:webHidden/>
              </w:rPr>
              <w:instrText xml:space="preserve"> PAGEREF _Toc112852462 \h </w:instrText>
            </w:r>
            <w:r w:rsidR="009627A8">
              <w:rPr>
                <w:webHidden/>
              </w:rPr>
            </w:r>
            <w:r w:rsidR="009627A8">
              <w:rPr>
                <w:webHidden/>
              </w:rPr>
              <w:fldChar w:fldCharType="separate"/>
            </w:r>
            <w:r w:rsidR="009627A8">
              <w:rPr>
                <w:webHidden/>
              </w:rPr>
              <w:t>66</w:t>
            </w:r>
            <w:r w:rsidR="009627A8">
              <w:rPr>
                <w:webHidden/>
              </w:rPr>
              <w:fldChar w:fldCharType="end"/>
            </w:r>
          </w:hyperlink>
        </w:p>
        <w:p w14:paraId="575BFD65" w14:textId="4398A1C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63" w:history="1">
            <w:r w:rsidR="009627A8" w:rsidRPr="002053FC">
              <w:rPr>
                <w:rStyle w:val="Hyperlink"/>
              </w:rPr>
              <w:t>Ethics, integrity and conflict of interest</w:t>
            </w:r>
            <w:r w:rsidR="009627A8">
              <w:rPr>
                <w:webHidden/>
              </w:rPr>
              <w:tab/>
            </w:r>
            <w:r w:rsidR="009627A8">
              <w:rPr>
                <w:webHidden/>
              </w:rPr>
              <w:fldChar w:fldCharType="begin"/>
            </w:r>
            <w:r w:rsidR="009627A8">
              <w:rPr>
                <w:webHidden/>
              </w:rPr>
              <w:instrText xml:space="preserve"> PAGEREF _Toc112852463 \h </w:instrText>
            </w:r>
            <w:r w:rsidR="009627A8">
              <w:rPr>
                <w:webHidden/>
              </w:rPr>
            </w:r>
            <w:r w:rsidR="009627A8">
              <w:rPr>
                <w:webHidden/>
              </w:rPr>
              <w:fldChar w:fldCharType="separate"/>
            </w:r>
            <w:r w:rsidR="009627A8">
              <w:rPr>
                <w:webHidden/>
              </w:rPr>
              <w:t>67</w:t>
            </w:r>
            <w:r w:rsidR="009627A8">
              <w:rPr>
                <w:webHidden/>
              </w:rPr>
              <w:fldChar w:fldCharType="end"/>
            </w:r>
          </w:hyperlink>
        </w:p>
        <w:p w14:paraId="7F14E05B" w14:textId="4033A2DA" w:rsidR="009627A8" w:rsidRDefault="006D1459">
          <w:pPr>
            <w:pStyle w:val="TOC1"/>
            <w:tabs>
              <w:tab w:val="left" w:pos="1200"/>
            </w:tabs>
            <w:rPr>
              <w:rFonts w:asciiTheme="minorHAnsi" w:eastAsiaTheme="minorEastAsia" w:hAnsiTheme="minorHAnsi" w:cstheme="minorBidi"/>
              <w:b w:val="0"/>
              <w:bCs w:val="0"/>
              <w:caps w:val="0"/>
              <w:kern w:val="0"/>
              <w:sz w:val="22"/>
              <w:szCs w:val="22"/>
              <w:lang w:val="bs-Latn-BA" w:eastAsia="bs-Latn-BA"/>
            </w:rPr>
          </w:pPr>
          <w:hyperlink w:anchor="_Toc112852464" w:history="1">
            <w:r w:rsidR="009627A8" w:rsidRPr="002053FC">
              <w:rPr>
                <w:rStyle w:val="Hyperlink"/>
              </w:rPr>
              <w:t>ANNEX 1:</w:t>
            </w:r>
            <w:r w:rsidR="009627A8">
              <w:rPr>
                <w:rFonts w:asciiTheme="minorHAnsi" w:eastAsiaTheme="minorEastAsia" w:hAnsiTheme="minorHAnsi" w:cstheme="minorBidi"/>
                <w:b w:val="0"/>
                <w:bCs w:val="0"/>
                <w:caps w:val="0"/>
                <w:kern w:val="0"/>
                <w:sz w:val="22"/>
                <w:szCs w:val="22"/>
                <w:lang w:val="bs-Latn-BA" w:eastAsia="bs-Latn-BA"/>
              </w:rPr>
              <w:tab/>
            </w:r>
            <w:r w:rsidR="009627A8" w:rsidRPr="002053FC">
              <w:rPr>
                <w:rStyle w:val="Hyperlink"/>
              </w:rPr>
              <w:t>RECOMMENDATIONS</w:t>
            </w:r>
            <w:r w:rsidR="009627A8">
              <w:rPr>
                <w:webHidden/>
              </w:rPr>
              <w:tab/>
            </w:r>
            <w:r w:rsidR="009627A8">
              <w:rPr>
                <w:webHidden/>
              </w:rPr>
              <w:fldChar w:fldCharType="begin"/>
            </w:r>
            <w:r w:rsidR="009627A8">
              <w:rPr>
                <w:webHidden/>
              </w:rPr>
              <w:instrText xml:space="preserve"> PAGEREF _Toc112852464 \h </w:instrText>
            </w:r>
            <w:r w:rsidR="009627A8">
              <w:rPr>
                <w:webHidden/>
              </w:rPr>
            </w:r>
            <w:r w:rsidR="009627A8">
              <w:rPr>
                <w:webHidden/>
              </w:rPr>
              <w:fldChar w:fldCharType="separate"/>
            </w:r>
            <w:r w:rsidR="009627A8">
              <w:rPr>
                <w:webHidden/>
              </w:rPr>
              <w:t>68</w:t>
            </w:r>
            <w:r w:rsidR="009627A8">
              <w:rPr>
                <w:webHidden/>
              </w:rPr>
              <w:fldChar w:fldCharType="end"/>
            </w:r>
          </w:hyperlink>
        </w:p>
        <w:p w14:paraId="5EF00D00" w14:textId="05AB0CD8" w:rsidR="009627A8" w:rsidRDefault="006D1459">
          <w:pPr>
            <w:pStyle w:val="TOC2"/>
            <w:rPr>
              <w:rFonts w:asciiTheme="minorHAnsi" w:eastAsiaTheme="minorEastAsia" w:hAnsiTheme="minorHAnsi" w:cstheme="minorBidi"/>
              <w:b w:val="0"/>
              <w:sz w:val="22"/>
              <w:szCs w:val="22"/>
              <w:lang w:val="bs-Latn-BA" w:eastAsia="bs-Latn-BA"/>
            </w:rPr>
          </w:pPr>
          <w:hyperlink w:anchor="_Toc112852465" w:history="1">
            <w:r w:rsidR="009627A8" w:rsidRPr="002053FC">
              <w:rPr>
                <w:rStyle w:val="Hyperlink"/>
              </w:rPr>
              <w:t>Judicial efficiency</w:t>
            </w:r>
            <w:r w:rsidR="009627A8">
              <w:rPr>
                <w:webHidden/>
              </w:rPr>
              <w:tab/>
            </w:r>
            <w:r w:rsidR="009627A8">
              <w:rPr>
                <w:webHidden/>
              </w:rPr>
              <w:fldChar w:fldCharType="begin"/>
            </w:r>
            <w:r w:rsidR="009627A8">
              <w:rPr>
                <w:webHidden/>
              </w:rPr>
              <w:instrText xml:space="preserve"> PAGEREF _Toc112852465 \h </w:instrText>
            </w:r>
            <w:r w:rsidR="009627A8">
              <w:rPr>
                <w:webHidden/>
              </w:rPr>
            </w:r>
            <w:r w:rsidR="009627A8">
              <w:rPr>
                <w:webHidden/>
              </w:rPr>
              <w:fldChar w:fldCharType="separate"/>
            </w:r>
            <w:r w:rsidR="009627A8">
              <w:rPr>
                <w:webHidden/>
              </w:rPr>
              <w:t>68</w:t>
            </w:r>
            <w:r w:rsidR="009627A8">
              <w:rPr>
                <w:webHidden/>
              </w:rPr>
              <w:fldChar w:fldCharType="end"/>
            </w:r>
          </w:hyperlink>
        </w:p>
        <w:p w14:paraId="3A2FA246" w14:textId="7C18FE56"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66" w:history="1">
            <w:r w:rsidR="009627A8" w:rsidRPr="002053FC">
              <w:rPr>
                <w:rStyle w:val="Hyperlink"/>
              </w:rPr>
              <w:t>Recommendations pertaining to court efficiency</w:t>
            </w:r>
            <w:r w:rsidR="009627A8">
              <w:rPr>
                <w:webHidden/>
              </w:rPr>
              <w:tab/>
            </w:r>
            <w:r w:rsidR="009627A8">
              <w:rPr>
                <w:webHidden/>
              </w:rPr>
              <w:fldChar w:fldCharType="begin"/>
            </w:r>
            <w:r w:rsidR="009627A8">
              <w:rPr>
                <w:webHidden/>
              </w:rPr>
              <w:instrText xml:space="preserve"> PAGEREF _Toc112852466 \h </w:instrText>
            </w:r>
            <w:r w:rsidR="009627A8">
              <w:rPr>
                <w:webHidden/>
              </w:rPr>
            </w:r>
            <w:r w:rsidR="009627A8">
              <w:rPr>
                <w:webHidden/>
              </w:rPr>
              <w:fldChar w:fldCharType="separate"/>
            </w:r>
            <w:r w:rsidR="009627A8">
              <w:rPr>
                <w:webHidden/>
              </w:rPr>
              <w:t>68</w:t>
            </w:r>
            <w:r w:rsidR="009627A8">
              <w:rPr>
                <w:webHidden/>
              </w:rPr>
              <w:fldChar w:fldCharType="end"/>
            </w:r>
          </w:hyperlink>
        </w:p>
        <w:p w14:paraId="50713923" w14:textId="0AD65736"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67" w:history="1">
            <w:r w:rsidR="009627A8" w:rsidRPr="002053FC">
              <w:rPr>
                <w:rStyle w:val="Hyperlink"/>
              </w:rPr>
              <w:t>Recommendations pertaining to efficiency of prosecutor's offices</w:t>
            </w:r>
            <w:r w:rsidR="009627A8">
              <w:rPr>
                <w:webHidden/>
              </w:rPr>
              <w:tab/>
            </w:r>
            <w:r w:rsidR="009627A8">
              <w:rPr>
                <w:webHidden/>
              </w:rPr>
              <w:fldChar w:fldCharType="begin"/>
            </w:r>
            <w:r w:rsidR="009627A8">
              <w:rPr>
                <w:webHidden/>
              </w:rPr>
              <w:instrText xml:space="preserve"> PAGEREF _Toc112852467 \h </w:instrText>
            </w:r>
            <w:r w:rsidR="009627A8">
              <w:rPr>
                <w:webHidden/>
              </w:rPr>
            </w:r>
            <w:r w:rsidR="009627A8">
              <w:rPr>
                <w:webHidden/>
              </w:rPr>
              <w:fldChar w:fldCharType="separate"/>
            </w:r>
            <w:r w:rsidR="009627A8">
              <w:rPr>
                <w:webHidden/>
              </w:rPr>
              <w:t>69</w:t>
            </w:r>
            <w:r w:rsidR="009627A8">
              <w:rPr>
                <w:webHidden/>
              </w:rPr>
              <w:fldChar w:fldCharType="end"/>
            </w:r>
          </w:hyperlink>
        </w:p>
        <w:p w14:paraId="22A9C829" w14:textId="37B24C0E"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68" w:history="1">
            <w:r w:rsidR="009627A8" w:rsidRPr="002053FC">
              <w:rPr>
                <w:rStyle w:val="Hyperlink"/>
              </w:rPr>
              <w:t>Recommendations for courts and prosecutor's offices in processing war crimes cases</w:t>
            </w:r>
            <w:r w:rsidR="009627A8">
              <w:rPr>
                <w:webHidden/>
              </w:rPr>
              <w:tab/>
            </w:r>
            <w:r w:rsidR="009627A8">
              <w:rPr>
                <w:webHidden/>
              </w:rPr>
              <w:fldChar w:fldCharType="begin"/>
            </w:r>
            <w:r w:rsidR="009627A8">
              <w:rPr>
                <w:webHidden/>
              </w:rPr>
              <w:instrText xml:space="preserve"> PAGEREF _Toc112852468 \h </w:instrText>
            </w:r>
            <w:r w:rsidR="009627A8">
              <w:rPr>
                <w:webHidden/>
              </w:rPr>
            </w:r>
            <w:r w:rsidR="009627A8">
              <w:rPr>
                <w:webHidden/>
              </w:rPr>
              <w:fldChar w:fldCharType="separate"/>
            </w:r>
            <w:r w:rsidR="009627A8">
              <w:rPr>
                <w:webHidden/>
              </w:rPr>
              <w:t>69</w:t>
            </w:r>
            <w:r w:rsidR="009627A8">
              <w:rPr>
                <w:webHidden/>
              </w:rPr>
              <w:fldChar w:fldCharType="end"/>
            </w:r>
          </w:hyperlink>
        </w:p>
        <w:p w14:paraId="66709B91" w14:textId="089B497B"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69" w:history="1">
            <w:r w:rsidR="009627A8" w:rsidRPr="002053FC">
              <w:rPr>
                <w:rStyle w:val="Hyperlink"/>
              </w:rPr>
              <w:t>Recommendations pertaining to performance evaluation</w:t>
            </w:r>
            <w:r w:rsidR="009627A8">
              <w:rPr>
                <w:webHidden/>
              </w:rPr>
              <w:tab/>
            </w:r>
            <w:r w:rsidR="009627A8">
              <w:rPr>
                <w:webHidden/>
              </w:rPr>
              <w:fldChar w:fldCharType="begin"/>
            </w:r>
            <w:r w:rsidR="009627A8">
              <w:rPr>
                <w:webHidden/>
              </w:rPr>
              <w:instrText xml:space="preserve"> PAGEREF _Toc112852469 \h </w:instrText>
            </w:r>
            <w:r w:rsidR="009627A8">
              <w:rPr>
                <w:webHidden/>
              </w:rPr>
            </w:r>
            <w:r w:rsidR="009627A8">
              <w:rPr>
                <w:webHidden/>
              </w:rPr>
              <w:fldChar w:fldCharType="separate"/>
            </w:r>
            <w:r w:rsidR="009627A8">
              <w:rPr>
                <w:webHidden/>
              </w:rPr>
              <w:t>70</w:t>
            </w:r>
            <w:r w:rsidR="009627A8">
              <w:rPr>
                <w:webHidden/>
              </w:rPr>
              <w:fldChar w:fldCharType="end"/>
            </w:r>
          </w:hyperlink>
        </w:p>
        <w:p w14:paraId="090CFF3E" w14:textId="5A36BC5A"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70" w:history="1">
            <w:r w:rsidR="009627A8" w:rsidRPr="002053FC">
              <w:rPr>
                <w:rStyle w:val="Hyperlink"/>
              </w:rPr>
              <w:t>Recommendations pertaining to training and case law</w:t>
            </w:r>
            <w:r w:rsidR="009627A8">
              <w:rPr>
                <w:webHidden/>
              </w:rPr>
              <w:tab/>
            </w:r>
            <w:r w:rsidR="009627A8">
              <w:rPr>
                <w:webHidden/>
              </w:rPr>
              <w:fldChar w:fldCharType="begin"/>
            </w:r>
            <w:r w:rsidR="009627A8">
              <w:rPr>
                <w:webHidden/>
              </w:rPr>
              <w:instrText xml:space="preserve"> PAGEREF _Toc112852470 \h </w:instrText>
            </w:r>
            <w:r w:rsidR="009627A8">
              <w:rPr>
                <w:webHidden/>
              </w:rPr>
            </w:r>
            <w:r w:rsidR="009627A8">
              <w:rPr>
                <w:webHidden/>
              </w:rPr>
              <w:fldChar w:fldCharType="separate"/>
            </w:r>
            <w:r w:rsidR="009627A8">
              <w:rPr>
                <w:webHidden/>
              </w:rPr>
              <w:t>70</w:t>
            </w:r>
            <w:r w:rsidR="009627A8">
              <w:rPr>
                <w:webHidden/>
              </w:rPr>
              <w:fldChar w:fldCharType="end"/>
            </w:r>
          </w:hyperlink>
        </w:p>
        <w:p w14:paraId="52A8A0C6" w14:textId="7C4FDB4E" w:rsidR="009627A8" w:rsidRDefault="006D1459">
          <w:pPr>
            <w:pStyle w:val="TOC2"/>
            <w:rPr>
              <w:rFonts w:asciiTheme="minorHAnsi" w:eastAsiaTheme="minorEastAsia" w:hAnsiTheme="minorHAnsi" w:cstheme="minorBidi"/>
              <w:b w:val="0"/>
              <w:sz w:val="22"/>
              <w:szCs w:val="22"/>
              <w:lang w:val="bs-Latn-BA" w:eastAsia="bs-Latn-BA"/>
            </w:rPr>
          </w:pPr>
          <w:hyperlink w:anchor="_Toc112852471" w:history="1">
            <w:r w:rsidR="009627A8" w:rsidRPr="002053FC">
              <w:rPr>
                <w:rStyle w:val="Hyperlink"/>
              </w:rPr>
              <w:t>Integrity and accountability</w:t>
            </w:r>
            <w:r w:rsidR="009627A8">
              <w:rPr>
                <w:webHidden/>
              </w:rPr>
              <w:tab/>
            </w:r>
            <w:r w:rsidR="009627A8">
              <w:rPr>
                <w:webHidden/>
              </w:rPr>
              <w:fldChar w:fldCharType="begin"/>
            </w:r>
            <w:r w:rsidR="009627A8">
              <w:rPr>
                <w:webHidden/>
              </w:rPr>
              <w:instrText xml:space="preserve"> PAGEREF _Toc112852471 \h </w:instrText>
            </w:r>
            <w:r w:rsidR="009627A8">
              <w:rPr>
                <w:webHidden/>
              </w:rPr>
            </w:r>
            <w:r w:rsidR="009627A8">
              <w:rPr>
                <w:webHidden/>
              </w:rPr>
              <w:fldChar w:fldCharType="separate"/>
            </w:r>
            <w:r w:rsidR="009627A8">
              <w:rPr>
                <w:webHidden/>
              </w:rPr>
              <w:t>70</w:t>
            </w:r>
            <w:r w:rsidR="009627A8">
              <w:rPr>
                <w:webHidden/>
              </w:rPr>
              <w:fldChar w:fldCharType="end"/>
            </w:r>
          </w:hyperlink>
        </w:p>
        <w:p w14:paraId="2A2CAF10" w14:textId="53AB41B5" w:rsidR="009627A8" w:rsidRDefault="006D1459">
          <w:pPr>
            <w:pStyle w:val="TOC1"/>
            <w:tabs>
              <w:tab w:val="left" w:pos="1200"/>
            </w:tabs>
            <w:rPr>
              <w:rFonts w:asciiTheme="minorHAnsi" w:eastAsiaTheme="minorEastAsia" w:hAnsiTheme="minorHAnsi" w:cstheme="minorBidi"/>
              <w:b w:val="0"/>
              <w:bCs w:val="0"/>
              <w:caps w:val="0"/>
              <w:kern w:val="0"/>
              <w:sz w:val="22"/>
              <w:szCs w:val="22"/>
              <w:lang w:val="bs-Latn-BA" w:eastAsia="bs-Latn-BA"/>
            </w:rPr>
          </w:pPr>
          <w:hyperlink w:anchor="_Toc112852472" w:history="1">
            <w:r w:rsidR="009627A8" w:rsidRPr="002053FC">
              <w:rPr>
                <w:rStyle w:val="Hyperlink"/>
              </w:rPr>
              <w:t>ANNEX 2:</w:t>
            </w:r>
            <w:r w:rsidR="009627A8">
              <w:rPr>
                <w:rFonts w:asciiTheme="minorHAnsi" w:eastAsiaTheme="minorEastAsia" w:hAnsiTheme="minorHAnsi" w:cstheme="minorBidi"/>
                <w:b w:val="0"/>
                <w:bCs w:val="0"/>
                <w:caps w:val="0"/>
                <w:kern w:val="0"/>
                <w:sz w:val="22"/>
                <w:szCs w:val="22"/>
                <w:lang w:val="bs-Latn-BA" w:eastAsia="bs-Latn-BA"/>
              </w:rPr>
              <w:tab/>
            </w:r>
            <w:r w:rsidR="009627A8" w:rsidRPr="002053FC">
              <w:rPr>
                <w:rStyle w:val="Hyperlink"/>
              </w:rPr>
              <w:t>COURT PERFORMANCE STATISTICS</w:t>
            </w:r>
            <w:r w:rsidR="009627A8">
              <w:rPr>
                <w:webHidden/>
              </w:rPr>
              <w:tab/>
            </w:r>
            <w:r w:rsidR="009627A8">
              <w:rPr>
                <w:webHidden/>
              </w:rPr>
              <w:fldChar w:fldCharType="begin"/>
            </w:r>
            <w:r w:rsidR="009627A8">
              <w:rPr>
                <w:webHidden/>
              </w:rPr>
              <w:instrText xml:space="preserve"> PAGEREF _Toc112852472 \h </w:instrText>
            </w:r>
            <w:r w:rsidR="009627A8">
              <w:rPr>
                <w:webHidden/>
              </w:rPr>
            </w:r>
            <w:r w:rsidR="009627A8">
              <w:rPr>
                <w:webHidden/>
              </w:rPr>
              <w:fldChar w:fldCharType="separate"/>
            </w:r>
            <w:r w:rsidR="009627A8">
              <w:rPr>
                <w:webHidden/>
              </w:rPr>
              <w:t>71</w:t>
            </w:r>
            <w:r w:rsidR="009627A8">
              <w:rPr>
                <w:webHidden/>
              </w:rPr>
              <w:fldChar w:fldCharType="end"/>
            </w:r>
          </w:hyperlink>
        </w:p>
        <w:p w14:paraId="0F44B835" w14:textId="12C11554" w:rsidR="009627A8" w:rsidRDefault="006D1459">
          <w:pPr>
            <w:pStyle w:val="TOC2"/>
            <w:rPr>
              <w:rFonts w:asciiTheme="minorHAnsi" w:eastAsiaTheme="minorEastAsia" w:hAnsiTheme="minorHAnsi" w:cstheme="minorBidi"/>
              <w:b w:val="0"/>
              <w:sz w:val="22"/>
              <w:szCs w:val="22"/>
              <w:lang w:val="bs-Latn-BA" w:eastAsia="bs-Latn-BA"/>
            </w:rPr>
          </w:pPr>
          <w:hyperlink w:anchor="_Toc112852473" w:history="1">
            <w:r w:rsidR="009627A8" w:rsidRPr="002053FC">
              <w:rPr>
                <w:rStyle w:val="Hyperlink"/>
              </w:rPr>
              <w:t>Analysis of court performance</w:t>
            </w:r>
            <w:r w:rsidR="009627A8">
              <w:rPr>
                <w:webHidden/>
              </w:rPr>
              <w:tab/>
            </w:r>
            <w:r w:rsidR="009627A8">
              <w:rPr>
                <w:webHidden/>
              </w:rPr>
              <w:fldChar w:fldCharType="begin"/>
            </w:r>
            <w:r w:rsidR="009627A8">
              <w:rPr>
                <w:webHidden/>
              </w:rPr>
              <w:instrText xml:space="preserve"> PAGEREF _Toc112852473 \h </w:instrText>
            </w:r>
            <w:r w:rsidR="009627A8">
              <w:rPr>
                <w:webHidden/>
              </w:rPr>
            </w:r>
            <w:r w:rsidR="009627A8">
              <w:rPr>
                <w:webHidden/>
              </w:rPr>
              <w:fldChar w:fldCharType="separate"/>
            </w:r>
            <w:r w:rsidR="009627A8">
              <w:rPr>
                <w:webHidden/>
              </w:rPr>
              <w:t>71</w:t>
            </w:r>
            <w:r w:rsidR="009627A8">
              <w:rPr>
                <w:webHidden/>
              </w:rPr>
              <w:fldChar w:fldCharType="end"/>
            </w:r>
          </w:hyperlink>
        </w:p>
        <w:p w14:paraId="5A5B6FFE" w14:textId="528A62C8" w:rsidR="009627A8" w:rsidRDefault="006D1459">
          <w:pPr>
            <w:pStyle w:val="TOC2"/>
            <w:rPr>
              <w:rFonts w:asciiTheme="minorHAnsi" w:eastAsiaTheme="minorEastAsia" w:hAnsiTheme="minorHAnsi" w:cstheme="minorBidi"/>
              <w:b w:val="0"/>
              <w:sz w:val="22"/>
              <w:szCs w:val="22"/>
              <w:lang w:val="bs-Latn-BA" w:eastAsia="bs-Latn-BA"/>
            </w:rPr>
          </w:pPr>
          <w:hyperlink w:anchor="_Toc112852474" w:history="1">
            <w:r w:rsidR="009627A8" w:rsidRPr="002053FC">
              <w:rPr>
                <w:rStyle w:val="Hyperlink"/>
              </w:rPr>
              <w:t>Case flow – per court instance</w:t>
            </w:r>
            <w:r w:rsidR="009627A8">
              <w:rPr>
                <w:webHidden/>
              </w:rPr>
              <w:tab/>
            </w:r>
            <w:r w:rsidR="009627A8">
              <w:rPr>
                <w:webHidden/>
              </w:rPr>
              <w:fldChar w:fldCharType="begin"/>
            </w:r>
            <w:r w:rsidR="009627A8">
              <w:rPr>
                <w:webHidden/>
              </w:rPr>
              <w:instrText xml:space="preserve"> PAGEREF _Toc112852474 \h </w:instrText>
            </w:r>
            <w:r w:rsidR="009627A8">
              <w:rPr>
                <w:webHidden/>
              </w:rPr>
            </w:r>
            <w:r w:rsidR="009627A8">
              <w:rPr>
                <w:webHidden/>
              </w:rPr>
              <w:fldChar w:fldCharType="separate"/>
            </w:r>
            <w:r w:rsidR="009627A8">
              <w:rPr>
                <w:webHidden/>
              </w:rPr>
              <w:t>71</w:t>
            </w:r>
            <w:r w:rsidR="009627A8">
              <w:rPr>
                <w:webHidden/>
              </w:rPr>
              <w:fldChar w:fldCharType="end"/>
            </w:r>
          </w:hyperlink>
        </w:p>
        <w:p w14:paraId="00E43998" w14:textId="3E995E5B" w:rsidR="009627A8" w:rsidRDefault="006D1459">
          <w:pPr>
            <w:pStyle w:val="TOC4"/>
            <w:rPr>
              <w:rFonts w:asciiTheme="minorHAnsi" w:eastAsiaTheme="minorEastAsia" w:hAnsiTheme="minorHAnsi" w:cstheme="minorBidi"/>
              <w:noProof/>
              <w:sz w:val="22"/>
              <w:szCs w:val="22"/>
              <w:lang w:val="bs-Latn-BA" w:eastAsia="bs-Latn-BA"/>
            </w:rPr>
          </w:pPr>
          <w:hyperlink w:anchor="_Toc112852475" w:history="1">
            <w:r w:rsidR="009627A8" w:rsidRPr="002053FC">
              <w:rPr>
                <w:rStyle w:val="Hyperlink"/>
                <w:noProof/>
              </w:rPr>
              <w:t>Pending court cases</w:t>
            </w:r>
            <w:r w:rsidR="009627A8">
              <w:rPr>
                <w:noProof/>
                <w:webHidden/>
              </w:rPr>
              <w:tab/>
            </w:r>
            <w:r w:rsidR="009627A8">
              <w:rPr>
                <w:noProof/>
                <w:webHidden/>
              </w:rPr>
              <w:fldChar w:fldCharType="begin"/>
            </w:r>
            <w:r w:rsidR="009627A8">
              <w:rPr>
                <w:noProof/>
                <w:webHidden/>
              </w:rPr>
              <w:instrText xml:space="preserve"> PAGEREF _Toc112852475 \h </w:instrText>
            </w:r>
            <w:r w:rsidR="009627A8">
              <w:rPr>
                <w:noProof/>
                <w:webHidden/>
              </w:rPr>
            </w:r>
            <w:r w:rsidR="009627A8">
              <w:rPr>
                <w:noProof/>
                <w:webHidden/>
              </w:rPr>
              <w:fldChar w:fldCharType="separate"/>
            </w:r>
            <w:r w:rsidR="009627A8">
              <w:rPr>
                <w:noProof/>
                <w:webHidden/>
              </w:rPr>
              <w:t>71</w:t>
            </w:r>
            <w:r w:rsidR="009627A8">
              <w:rPr>
                <w:noProof/>
                <w:webHidden/>
              </w:rPr>
              <w:fldChar w:fldCharType="end"/>
            </w:r>
          </w:hyperlink>
        </w:p>
        <w:p w14:paraId="4E823949" w14:textId="52D55141" w:rsidR="009627A8" w:rsidRDefault="006D1459">
          <w:pPr>
            <w:pStyle w:val="TOC4"/>
            <w:rPr>
              <w:rFonts w:asciiTheme="minorHAnsi" w:eastAsiaTheme="minorEastAsia" w:hAnsiTheme="minorHAnsi" w:cstheme="minorBidi"/>
              <w:noProof/>
              <w:sz w:val="22"/>
              <w:szCs w:val="22"/>
              <w:lang w:val="bs-Latn-BA" w:eastAsia="bs-Latn-BA"/>
            </w:rPr>
          </w:pPr>
          <w:hyperlink w:anchor="_Toc112852476" w:history="1">
            <w:r w:rsidR="009627A8" w:rsidRPr="002053FC">
              <w:rPr>
                <w:rStyle w:val="Hyperlink"/>
                <w:noProof/>
              </w:rPr>
              <w:t>Courts' influx</w:t>
            </w:r>
            <w:r w:rsidR="009627A8">
              <w:rPr>
                <w:noProof/>
                <w:webHidden/>
              </w:rPr>
              <w:tab/>
            </w:r>
            <w:r w:rsidR="009627A8">
              <w:rPr>
                <w:noProof/>
                <w:webHidden/>
              </w:rPr>
              <w:fldChar w:fldCharType="begin"/>
            </w:r>
            <w:r w:rsidR="009627A8">
              <w:rPr>
                <w:noProof/>
                <w:webHidden/>
              </w:rPr>
              <w:instrText xml:space="preserve"> PAGEREF _Toc112852476 \h </w:instrText>
            </w:r>
            <w:r w:rsidR="009627A8">
              <w:rPr>
                <w:noProof/>
                <w:webHidden/>
              </w:rPr>
            </w:r>
            <w:r w:rsidR="009627A8">
              <w:rPr>
                <w:noProof/>
                <w:webHidden/>
              </w:rPr>
              <w:fldChar w:fldCharType="separate"/>
            </w:r>
            <w:r w:rsidR="009627A8">
              <w:rPr>
                <w:noProof/>
                <w:webHidden/>
              </w:rPr>
              <w:t>72</w:t>
            </w:r>
            <w:r w:rsidR="009627A8">
              <w:rPr>
                <w:noProof/>
                <w:webHidden/>
              </w:rPr>
              <w:fldChar w:fldCharType="end"/>
            </w:r>
          </w:hyperlink>
        </w:p>
        <w:p w14:paraId="74DC80C8" w14:textId="14388539" w:rsidR="009627A8" w:rsidRDefault="006D1459">
          <w:pPr>
            <w:pStyle w:val="TOC4"/>
            <w:rPr>
              <w:rFonts w:asciiTheme="minorHAnsi" w:eastAsiaTheme="minorEastAsia" w:hAnsiTheme="minorHAnsi" w:cstheme="minorBidi"/>
              <w:noProof/>
              <w:sz w:val="22"/>
              <w:szCs w:val="22"/>
              <w:lang w:val="bs-Latn-BA" w:eastAsia="bs-Latn-BA"/>
            </w:rPr>
          </w:pPr>
          <w:hyperlink w:anchor="_Toc112852477" w:history="1">
            <w:r w:rsidR="009627A8" w:rsidRPr="002053FC">
              <w:rPr>
                <w:rStyle w:val="Hyperlink"/>
                <w:noProof/>
              </w:rPr>
              <w:t>Change in the number of pending cases and change in influx</w:t>
            </w:r>
            <w:r w:rsidR="009627A8">
              <w:rPr>
                <w:noProof/>
                <w:webHidden/>
              </w:rPr>
              <w:tab/>
            </w:r>
            <w:r w:rsidR="009627A8">
              <w:rPr>
                <w:noProof/>
                <w:webHidden/>
              </w:rPr>
              <w:fldChar w:fldCharType="begin"/>
            </w:r>
            <w:r w:rsidR="009627A8">
              <w:rPr>
                <w:noProof/>
                <w:webHidden/>
              </w:rPr>
              <w:instrText xml:space="preserve"> PAGEREF _Toc112852477 \h </w:instrText>
            </w:r>
            <w:r w:rsidR="009627A8">
              <w:rPr>
                <w:noProof/>
                <w:webHidden/>
              </w:rPr>
            </w:r>
            <w:r w:rsidR="009627A8">
              <w:rPr>
                <w:noProof/>
                <w:webHidden/>
              </w:rPr>
              <w:fldChar w:fldCharType="separate"/>
            </w:r>
            <w:r w:rsidR="009627A8">
              <w:rPr>
                <w:noProof/>
                <w:webHidden/>
              </w:rPr>
              <w:t>73</w:t>
            </w:r>
            <w:r w:rsidR="009627A8">
              <w:rPr>
                <w:noProof/>
                <w:webHidden/>
              </w:rPr>
              <w:fldChar w:fldCharType="end"/>
            </w:r>
          </w:hyperlink>
        </w:p>
        <w:p w14:paraId="4A45671A" w14:textId="713CFD6E" w:rsidR="009627A8" w:rsidRDefault="006D1459">
          <w:pPr>
            <w:pStyle w:val="TOC4"/>
            <w:rPr>
              <w:rFonts w:asciiTheme="minorHAnsi" w:eastAsiaTheme="minorEastAsia" w:hAnsiTheme="minorHAnsi" w:cstheme="minorBidi"/>
              <w:noProof/>
              <w:sz w:val="22"/>
              <w:szCs w:val="22"/>
              <w:lang w:val="bs-Latn-BA" w:eastAsia="bs-Latn-BA"/>
            </w:rPr>
          </w:pPr>
          <w:hyperlink w:anchor="_Toc112852478" w:history="1">
            <w:r w:rsidR="009627A8" w:rsidRPr="002053FC">
              <w:rPr>
                <w:rStyle w:val="Hyperlink"/>
                <w:noProof/>
              </w:rPr>
              <w:t>Completed cases in courts</w:t>
            </w:r>
            <w:r w:rsidR="009627A8">
              <w:rPr>
                <w:noProof/>
                <w:webHidden/>
              </w:rPr>
              <w:tab/>
            </w:r>
            <w:r w:rsidR="009627A8">
              <w:rPr>
                <w:noProof/>
                <w:webHidden/>
              </w:rPr>
              <w:fldChar w:fldCharType="begin"/>
            </w:r>
            <w:r w:rsidR="009627A8">
              <w:rPr>
                <w:noProof/>
                <w:webHidden/>
              </w:rPr>
              <w:instrText xml:space="preserve"> PAGEREF _Toc112852478 \h </w:instrText>
            </w:r>
            <w:r w:rsidR="009627A8">
              <w:rPr>
                <w:noProof/>
                <w:webHidden/>
              </w:rPr>
            </w:r>
            <w:r w:rsidR="009627A8">
              <w:rPr>
                <w:noProof/>
                <w:webHidden/>
              </w:rPr>
              <w:fldChar w:fldCharType="separate"/>
            </w:r>
            <w:r w:rsidR="009627A8">
              <w:rPr>
                <w:noProof/>
                <w:webHidden/>
              </w:rPr>
              <w:t>73</w:t>
            </w:r>
            <w:r w:rsidR="009627A8">
              <w:rPr>
                <w:noProof/>
                <w:webHidden/>
              </w:rPr>
              <w:fldChar w:fldCharType="end"/>
            </w:r>
          </w:hyperlink>
        </w:p>
        <w:p w14:paraId="63912064" w14:textId="58ABDAE2" w:rsidR="009627A8" w:rsidRDefault="006D1459">
          <w:pPr>
            <w:pStyle w:val="TOC2"/>
            <w:rPr>
              <w:rFonts w:asciiTheme="minorHAnsi" w:eastAsiaTheme="minorEastAsia" w:hAnsiTheme="minorHAnsi" w:cstheme="minorBidi"/>
              <w:b w:val="0"/>
              <w:sz w:val="22"/>
              <w:szCs w:val="22"/>
              <w:lang w:val="bs-Latn-BA" w:eastAsia="bs-Latn-BA"/>
            </w:rPr>
          </w:pPr>
          <w:hyperlink w:anchor="_Toc112852479" w:history="1">
            <w:r w:rsidR="009627A8" w:rsidRPr="002053FC">
              <w:rPr>
                <w:rStyle w:val="Hyperlink"/>
              </w:rPr>
              <w:t>Flow of cases – per case type</w:t>
            </w:r>
            <w:r w:rsidR="009627A8">
              <w:rPr>
                <w:webHidden/>
              </w:rPr>
              <w:tab/>
            </w:r>
            <w:r w:rsidR="009627A8">
              <w:rPr>
                <w:webHidden/>
              </w:rPr>
              <w:fldChar w:fldCharType="begin"/>
            </w:r>
            <w:r w:rsidR="009627A8">
              <w:rPr>
                <w:webHidden/>
              </w:rPr>
              <w:instrText xml:space="preserve"> PAGEREF _Toc112852479 \h </w:instrText>
            </w:r>
            <w:r w:rsidR="009627A8">
              <w:rPr>
                <w:webHidden/>
              </w:rPr>
            </w:r>
            <w:r w:rsidR="009627A8">
              <w:rPr>
                <w:webHidden/>
              </w:rPr>
              <w:fldChar w:fldCharType="separate"/>
            </w:r>
            <w:r w:rsidR="009627A8">
              <w:rPr>
                <w:webHidden/>
              </w:rPr>
              <w:t>74</w:t>
            </w:r>
            <w:r w:rsidR="009627A8">
              <w:rPr>
                <w:webHidden/>
              </w:rPr>
              <w:fldChar w:fldCharType="end"/>
            </w:r>
          </w:hyperlink>
        </w:p>
        <w:p w14:paraId="51949543" w14:textId="058974CE" w:rsidR="009627A8" w:rsidRDefault="006D1459">
          <w:pPr>
            <w:pStyle w:val="TOC4"/>
            <w:rPr>
              <w:rFonts w:asciiTheme="minorHAnsi" w:eastAsiaTheme="minorEastAsia" w:hAnsiTheme="minorHAnsi" w:cstheme="minorBidi"/>
              <w:noProof/>
              <w:sz w:val="22"/>
              <w:szCs w:val="22"/>
              <w:lang w:val="bs-Latn-BA" w:eastAsia="bs-Latn-BA"/>
            </w:rPr>
          </w:pPr>
          <w:hyperlink w:anchor="_Toc112852480" w:history="1">
            <w:r w:rsidR="009627A8" w:rsidRPr="002053FC">
              <w:rPr>
                <w:rStyle w:val="Hyperlink"/>
                <w:noProof/>
              </w:rPr>
              <w:t>Pending cases by type</w:t>
            </w:r>
            <w:r w:rsidR="009627A8">
              <w:rPr>
                <w:noProof/>
                <w:webHidden/>
              </w:rPr>
              <w:tab/>
            </w:r>
            <w:r w:rsidR="009627A8">
              <w:rPr>
                <w:noProof/>
                <w:webHidden/>
              </w:rPr>
              <w:fldChar w:fldCharType="begin"/>
            </w:r>
            <w:r w:rsidR="009627A8">
              <w:rPr>
                <w:noProof/>
                <w:webHidden/>
              </w:rPr>
              <w:instrText xml:space="preserve"> PAGEREF _Toc112852480 \h </w:instrText>
            </w:r>
            <w:r w:rsidR="009627A8">
              <w:rPr>
                <w:noProof/>
                <w:webHidden/>
              </w:rPr>
            </w:r>
            <w:r w:rsidR="009627A8">
              <w:rPr>
                <w:noProof/>
                <w:webHidden/>
              </w:rPr>
              <w:fldChar w:fldCharType="separate"/>
            </w:r>
            <w:r w:rsidR="009627A8">
              <w:rPr>
                <w:noProof/>
                <w:webHidden/>
              </w:rPr>
              <w:t>74</w:t>
            </w:r>
            <w:r w:rsidR="009627A8">
              <w:rPr>
                <w:noProof/>
                <w:webHidden/>
              </w:rPr>
              <w:fldChar w:fldCharType="end"/>
            </w:r>
          </w:hyperlink>
        </w:p>
        <w:p w14:paraId="4C2F0B9F" w14:textId="2E154E09" w:rsidR="009627A8" w:rsidRDefault="006D1459">
          <w:pPr>
            <w:pStyle w:val="TOC4"/>
            <w:rPr>
              <w:rFonts w:asciiTheme="minorHAnsi" w:eastAsiaTheme="minorEastAsia" w:hAnsiTheme="minorHAnsi" w:cstheme="minorBidi"/>
              <w:noProof/>
              <w:sz w:val="22"/>
              <w:szCs w:val="22"/>
              <w:lang w:val="bs-Latn-BA" w:eastAsia="bs-Latn-BA"/>
            </w:rPr>
          </w:pPr>
          <w:hyperlink w:anchor="_Toc112852481" w:history="1">
            <w:r w:rsidR="009627A8" w:rsidRPr="002053FC">
              <w:rPr>
                <w:rStyle w:val="Hyperlink"/>
                <w:noProof/>
              </w:rPr>
              <w:t>Influx by case type</w:t>
            </w:r>
            <w:r w:rsidR="009627A8">
              <w:rPr>
                <w:noProof/>
                <w:webHidden/>
              </w:rPr>
              <w:tab/>
            </w:r>
            <w:r w:rsidR="009627A8">
              <w:rPr>
                <w:noProof/>
                <w:webHidden/>
              </w:rPr>
              <w:fldChar w:fldCharType="begin"/>
            </w:r>
            <w:r w:rsidR="009627A8">
              <w:rPr>
                <w:noProof/>
                <w:webHidden/>
              </w:rPr>
              <w:instrText xml:space="preserve"> PAGEREF _Toc112852481 \h </w:instrText>
            </w:r>
            <w:r w:rsidR="009627A8">
              <w:rPr>
                <w:noProof/>
                <w:webHidden/>
              </w:rPr>
            </w:r>
            <w:r w:rsidR="009627A8">
              <w:rPr>
                <w:noProof/>
                <w:webHidden/>
              </w:rPr>
              <w:fldChar w:fldCharType="separate"/>
            </w:r>
            <w:r w:rsidR="009627A8">
              <w:rPr>
                <w:noProof/>
                <w:webHidden/>
              </w:rPr>
              <w:t>75</w:t>
            </w:r>
            <w:r w:rsidR="009627A8">
              <w:rPr>
                <w:noProof/>
                <w:webHidden/>
              </w:rPr>
              <w:fldChar w:fldCharType="end"/>
            </w:r>
          </w:hyperlink>
        </w:p>
        <w:p w14:paraId="43DDBC43" w14:textId="1B43AC1A" w:rsidR="009627A8" w:rsidRDefault="006D1459">
          <w:pPr>
            <w:pStyle w:val="TOC4"/>
            <w:rPr>
              <w:rFonts w:asciiTheme="minorHAnsi" w:eastAsiaTheme="minorEastAsia" w:hAnsiTheme="minorHAnsi" w:cstheme="minorBidi"/>
              <w:noProof/>
              <w:sz w:val="22"/>
              <w:szCs w:val="22"/>
              <w:lang w:val="bs-Latn-BA" w:eastAsia="bs-Latn-BA"/>
            </w:rPr>
          </w:pPr>
          <w:hyperlink w:anchor="_Toc112852482" w:history="1">
            <w:r w:rsidR="009627A8" w:rsidRPr="002053FC">
              <w:rPr>
                <w:rStyle w:val="Hyperlink"/>
                <w:noProof/>
              </w:rPr>
              <w:t>Completed cases by type</w:t>
            </w:r>
            <w:r w:rsidR="009627A8">
              <w:rPr>
                <w:noProof/>
                <w:webHidden/>
              </w:rPr>
              <w:tab/>
            </w:r>
            <w:r w:rsidR="009627A8">
              <w:rPr>
                <w:noProof/>
                <w:webHidden/>
              </w:rPr>
              <w:fldChar w:fldCharType="begin"/>
            </w:r>
            <w:r w:rsidR="009627A8">
              <w:rPr>
                <w:noProof/>
                <w:webHidden/>
              </w:rPr>
              <w:instrText xml:space="preserve"> PAGEREF _Toc112852482 \h </w:instrText>
            </w:r>
            <w:r w:rsidR="009627A8">
              <w:rPr>
                <w:noProof/>
                <w:webHidden/>
              </w:rPr>
            </w:r>
            <w:r w:rsidR="009627A8">
              <w:rPr>
                <w:noProof/>
                <w:webHidden/>
              </w:rPr>
              <w:fldChar w:fldCharType="separate"/>
            </w:r>
            <w:r w:rsidR="009627A8">
              <w:rPr>
                <w:noProof/>
                <w:webHidden/>
              </w:rPr>
              <w:t>75</w:t>
            </w:r>
            <w:r w:rsidR="009627A8">
              <w:rPr>
                <w:noProof/>
                <w:webHidden/>
              </w:rPr>
              <w:fldChar w:fldCharType="end"/>
            </w:r>
          </w:hyperlink>
        </w:p>
        <w:p w14:paraId="2C8C2697" w14:textId="4B1ED6FB"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83" w:history="1">
            <w:r w:rsidR="009627A8" w:rsidRPr="002053FC">
              <w:rPr>
                <w:rStyle w:val="Hyperlink"/>
              </w:rPr>
              <w:t>Quality and quantity of justice</w:t>
            </w:r>
            <w:r w:rsidR="009627A8">
              <w:rPr>
                <w:webHidden/>
              </w:rPr>
              <w:tab/>
            </w:r>
            <w:r w:rsidR="009627A8">
              <w:rPr>
                <w:webHidden/>
              </w:rPr>
              <w:fldChar w:fldCharType="begin"/>
            </w:r>
            <w:r w:rsidR="009627A8">
              <w:rPr>
                <w:webHidden/>
              </w:rPr>
              <w:instrText xml:space="preserve"> PAGEREF _Toc112852483 \h </w:instrText>
            </w:r>
            <w:r w:rsidR="009627A8">
              <w:rPr>
                <w:webHidden/>
              </w:rPr>
            </w:r>
            <w:r w:rsidR="009627A8">
              <w:rPr>
                <w:webHidden/>
              </w:rPr>
              <w:fldChar w:fldCharType="separate"/>
            </w:r>
            <w:r w:rsidR="009627A8">
              <w:rPr>
                <w:webHidden/>
              </w:rPr>
              <w:t>76</w:t>
            </w:r>
            <w:r w:rsidR="009627A8">
              <w:rPr>
                <w:webHidden/>
              </w:rPr>
              <w:fldChar w:fldCharType="end"/>
            </w:r>
          </w:hyperlink>
        </w:p>
        <w:p w14:paraId="17B136F0" w14:textId="4AEE571B"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84" w:history="1">
            <w:r w:rsidR="009627A8" w:rsidRPr="002053FC">
              <w:rPr>
                <w:rStyle w:val="Hyperlink"/>
              </w:rPr>
              <w:t>Statute of limitations</w:t>
            </w:r>
            <w:r w:rsidR="009627A8">
              <w:rPr>
                <w:webHidden/>
              </w:rPr>
              <w:tab/>
            </w:r>
            <w:r w:rsidR="009627A8">
              <w:rPr>
                <w:webHidden/>
              </w:rPr>
              <w:fldChar w:fldCharType="begin"/>
            </w:r>
            <w:r w:rsidR="009627A8">
              <w:rPr>
                <w:webHidden/>
              </w:rPr>
              <w:instrText xml:space="preserve"> PAGEREF _Toc112852484 \h </w:instrText>
            </w:r>
            <w:r w:rsidR="009627A8">
              <w:rPr>
                <w:webHidden/>
              </w:rPr>
            </w:r>
            <w:r w:rsidR="009627A8">
              <w:rPr>
                <w:webHidden/>
              </w:rPr>
              <w:fldChar w:fldCharType="separate"/>
            </w:r>
            <w:r w:rsidR="009627A8">
              <w:rPr>
                <w:webHidden/>
              </w:rPr>
              <w:t>77</w:t>
            </w:r>
            <w:r w:rsidR="009627A8">
              <w:rPr>
                <w:webHidden/>
              </w:rPr>
              <w:fldChar w:fldCharType="end"/>
            </w:r>
          </w:hyperlink>
        </w:p>
        <w:p w14:paraId="049564FD" w14:textId="654AE423" w:rsidR="009627A8" w:rsidRDefault="006D1459">
          <w:pPr>
            <w:pStyle w:val="TOC1"/>
            <w:tabs>
              <w:tab w:val="left" w:pos="1200"/>
            </w:tabs>
            <w:rPr>
              <w:rFonts w:asciiTheme="minorHAnsi" w:eastAsiaTheme="minorEastAsia" w:hAnsiTheme="minorHAnsi" w:cstheme="minorBidi"/>
              <w:b w:val="0"/>
              <w:bCs w:val="0"/>
              <w:caps w:val="0"/>
              <w:kern w:val="0"/>
              <w:sz w:val="22"/>
              <w:szCs w:val="22"/>
              <w:lang w:val="bs-Latn-BA" w:eastAsia="bs-Latn-BA"/>
            </w:rPr>
          </w:pPr>
          <w:hyperlink w:anchor="_Toc112852485" w:history="1">
            <w:r w:rsidR="009627A8" w:rsidRPr="002053FC">
              <w:rPr>
                <w:rStyle w:val="Hyperlink"/>
              </w:rPr>
              <w:t>ANNEX 3:</w:t>
            </w:r>
            <w:r w:rsidR="009627A8">
              <w:rPr>
                <w:rFonts w:asciiTheme="minorHAnsi" w:eastAsiaTheme="minorEastAsia" w:hAnsiTheme="minorHAnsi" w:cstheme="minorBidi"/>
                <w:b w:val="0"/>
                <w:bCs w:val="0"/>
                <w:caps w:val="0"/>
                <w:kern w:val="0"/>
                <w:sz w:val="22"/>
                <w:szCs w:val="22"/>
                <w:lang w:val="bs-Latn-BA" w:eastAsia="bs-Latn-BA"/>
              </w:rPr>
              <w:tab/>
            </w:r>
            <w:r w:rsidR="009627A8" w:rsidRPr="002053FC">
              <w:rPr>
                <w:rStyle w:val="Hyperlink"/>
              </w:rPr>
              <w:t>PROSECUTOR'S OFFICES PERFORMANCE STATISTICS</w:t>
            </w:r>
            <w:r w:rsidR="009627A8">
              <w:rPr>
                <w:webHidden/>
              </w:rPr>
              <w:tab/>
            </w:r>
            <w:r w:rsidR="009627A8">
              <w:rPr>
                <w:webHidden/>
              </w:rPr>
              <w:fldChar w:fldCharType="begin"/>
            </w:r>
            <w:r w:rsidR="009627A8">
              <w:rPr>
                <w:webHidden/>
              </w:rPr>
              <w:instrText xml:space="preserve"> PAGEREF _Toc112852485 \h </w:instrText>
            </w:r>
            <w:r w:rsidR="009627A8">
              <w:rPr>
                <w:webHidden/>
              </w:rPr>
            </w:r>
            <w:r w:rsidR="009627A8">
              <w:rPr>
                <w:webHidden/>
              </w:rPr>
              <w:fldChar w:fldCharType="separate"/>
            </w:r>
            <w:r w:rsidR="009627A8">
              <w:rPr>
                <w:webHidden/>
              </w:rPr>
              <w:t>78</w:t>
            </w:r>
            <w:r w:rsidR="009627A8">
              <w:rPr>
                <w:webHidden/>
              </w:rPr>
              <w:fldChar w:fldCharType="end"/>
            </w:r>
          </w:hyperlink>
        </w:p>
        <w:p w14:paraId="7250028B" w14:textId="3DEDDEA4" w:rsidR="009627A8" w:rsidRDefault="006D1459">
          <w:pPr>
            <w:pStyle w:val="TOC2"/>
            <w:rPr>
              <w:rFonts w:asciiTheme="minorHAnsi" w:eastAsiaTheme="minorEastAsia" w:hAnsiTheme="minorHAnsi" w:cstheme="minorBidi"/>
              <w:b w:val="0"/>
              <w:sz w:val="22"/>
              <w:szCs w:val="22"/>
              <w:lang w:val="bs-Latn-BA" w:eastAsia="bs-Latn-BA"/>
            </w:rPr>
          </w:pPr>
          <w:hyperlink w:anchor="_Toc112852486" w:history="1">
            <w:r w:rsidR="009627A8" w:rsidRPr="002053FC">
              <w:rPr>
                <w:rStyle w:val="Hyperlink"/>
              </w:rPr>
              <w:t>Analysis of performance of prosecutor’s offices</w:t>
            </w:r>
            <w:r w:rsidR="009627A8">
              <w:rPr>
                <w:webHidden/>
              </w:rPr>
              <w:tab/>
            </w:r>
            <w:r w:rsidR="009627A8">
              <w:rPr>
                <w:webHidden/>
              </w:rPr>
              <w:fldChar w:fldCharType="begin"/>
            </w:r>
            <w:r w:rsidR="009627A8">
              <w:rPr>
                <w:webHidden/>
              </w:rPr>
              <w:instrText xml:space="preserve"> PAGEREF _Toc112852486 \h </w:instrText>
            </w:r>
            <w:r w:rsidR="009627A8">
              <w:rPr>
                <w:webHidden/>
              </w:rPr>
            </w:r>
            <w:r w:rsidR="009627A8">
              <w:rPr>
                <w:webHidden/>
              </w:rPr>
              <w:fldChar w:fldCharType="separate"/>
            </w:r>
            <w:r w:rsidR="009627A8">
              <w:rPr>
                <w:webHidden/>
              </w:rPr>
              <w:t>78</w:t>
            </w:r>
            <w:r w:rsidR="009627A8">
              <w:rPr>
                <w:webHidden/>
              </w:rPr>
              <w:fldChar w:fldCharType="end"/>
            </w:r>
          </w:hyperlink>
        </w:p>
        <w:p w14:paraId="027E7706" w14:textId="1824AFF3"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87" w:history="1">
            <w:r w:rsidR="009627A8" w:rsidRPr="002053FC">
              <w:rPr>
                <w:rStyle w:val="Hyperlink"/>
              </w:rPr>
              <w:t>Crime reports</w:t>
            </w:r>
            <w:r w:rsidR="009627A8">
              <w:rPr>
                <w:webHidden/>
              </w:rPr>
              <w:tab/>
            </w:r>
            <w:r w:rsidR="009627A8">
              <w:rPr>
                <w:webHidden/>
              </w:rPr>
              <w:fldChar w:fldCharType="begin"/>
            </w:r>
            <w:r w:rsidR="009627A8">
              <w:rPr>
                <w:webHidden/>
              </w:rPr>
              <w:instrText xml:space="preserve"> PAGEREF _Toc112852487 \h </w:instrText>
            </w:r>
            <w:r w:rsidR="009627A8">
              <w:rPr>
                <w:webHidden/>
              </w:rPr>
            </w:r>
            <w:r w:rsidR="009627A8">
              <w:rPr>
                <w:webHidden/>
              </w:rPr>
              <w:fldChar w:fldCharType="separate"/>
            </w:r>
            <w:r w:rsidR="009627A8">
              <w:rPr>
                <w:webHidden/>
              </w:rPr>
              <w:t>78</w:t>
            </w:r>
            <w:r w:rsidR="009627A8">
              <w:rPr>
                <w:webHidden/>
              </w:rPr>
              <w:fldChar w:fldCharType="end"/>
            </w:r>
          </w:hyperlink>
        </w:p>
        <w:p w14:paraId="48A8E3A4" w14:textId="53EBF27F"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88" w:history="1">
            <w:r w:rsidR="009627A8" w:rsidRPr="002053FC">
              <w:rPr>
                <w:rStyle w:val="Hyperlink"/>
              </w:rPr>
              <w:t>Investigations</w:t>
            </w:r>
            <w:r w:rsidR="009627A8">
              <w:rPr>
                <w:webHidden/>
              </w:rPr>
              <w:tab/>
            </w:r>
            <w:r w:rsidR="009627A8">
              <w:rPr>
                <w:webHidden/>
              </w:rPr>
              <w:fldChar w:fldCharType="begin"/>
            </w:r>
            <w:r w:rsidR="009627A8">
              <w:rPr>
                <w:webHidden/>
              </w:rPr>
              <w:instrText xml:space="preserve"> PAGEREF _Toc112852488 \h </w:instrText>
            </w:r>
            <w:r w:rsidR="009627A8">
              <w:rPr>
                <w:webHidden/>
              </w:rPr>
            </w:r>
            <w:r w:rsidR="009627A8">
              <w:rPr>
                <w:webHidden/>
              </w:rPr>
              <w:fldChar w:fldCharType="separate"/>
            </w:r>
            <w:r w:rsidR="009627A8">
              <w:rPr>
                <w:webHidden/>
              </w:rPr>
              <w:t>79</w:t>
            </w:r>
            <w:r w:rsidR="009627A8">
              <w:rPr>
                <w:webHidden/>
              </w:rPr>
              <w:fldChar w:fldCharType="end"/>
            </w:r>
          </w:hyperlink>
        </w:p>
        <w:p w14:paraId="1231E8D8" w14:textId="3EDE77C4"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89" w:history="1">
            <w:r w:rsidR="009627A8" w:rsidRPr="002053FC">
              <w:rPr>
                <w:rStyle w:val="Hyperlink"/>
              </w:rPr>
              <w:t>Indictments</w:t>
            </w:r>
            <w:r w:rsidR="009627A8">
              <w:rPr>
                <w:webHidden/>
              </w:rPr>
              <w:tab/>
            </w:r>
            <w:r w:rsidR="009627A8">
              <w:rPr>
                <w:webHidden/>
              </w:rPr>
              <w:fldChar w:fldCharType="begin"/>
            </w:r>
            <w:r w:rsidR="009627A8">
              <w:rPr>
                <w:webHidden/>
              </w:rPr>
              <w:instrText xml:space="preserve"> PAGEREF _Toc112852489 \h </w:instrText>
            </w:r>
            <w:r w:rsidR="009627A8">
              <w:rPr>
                <w:webHidden/>
              </w:rPr>
            </w:r>
            <w:r w:rsidR="009627A8">
              <w:rPr>
                <w:webHidden/>
              </w:rPr>
              <w:fldChar w:fldCharType="separate"/>
            </w:r>
            <w:r w:rsidR="009627A8">
              <w:rPr>
                <w:webHidden/>
              </w:rPr>
              <w:t>79</w:t>
            </w:r>
            <w:r w:rsidR="009627A8">
              <w:rPr>
                <w:webHidden/>
              </w:rPr>
              <w:fldChar w:fldCharType="end"/>
            </w:r>
          </w:hyperlink>
        </w:p>
        <w:p w14:paraId="1FBE5DEB" w14:textId="4CA5D6A6"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90" w:history="1">
            <w:r w:rsidR="009627A8" w:rsidRPr="002053FC">
              <w:rPr>
                <w:rStyle w:val="Hyperlink"/>
              </w:rPr>
              <w:t>Judgments</w:t>
            </w:r>
            <w:r w:rsidR="009627A8">
              <w:rPr>
                <w:webHidden/>
              </w:rPr>
              <w:tab/>
            </w:r>
            <w:r w:rsidR="009627A8">
              <w:rPr>
                <w:webHidden/>
              </w:rPr>
              <w:fldChar w:fldCharType="begin"/>
            </w:r>
            <w:r w:rsidR="009627A8">
              <w:rPr>
                <w:webHidden/>
              </w:rPr>
              <w:instrText xml:space="preserve"> PAGEREF _Toc112852490 \h </w:instrText>
            </w:r>
            <w:r w:rsidR="009627A8">
              <w:rPr>
                <w:webHidden/>
              </w:rPr>
            </w:r>
            <w:r w:rsidR="009627A8">
              <w:rPr>
                <w:webHidden/>
              </w:rPr>
              <w:fldChar w:fldCharType="separate"/>
            </w:r>
            <w:r w:rsidR="009627A8">
              <w:rPr>
                <w:webHidden/>
              </w:rPr>
              <w:t>80</w:t>
            </w:r>
            <w:r w:rsidR="009627A8">
              <w:rPr>
                <w:webHidden/>
              </w:rPr>
              <w:fldChar w:fldCharType="end"/>
            </w:r>
          </w:hyperlink>
        </w:p>
        <w:p w14:paraId="6525C3BB" w14:textId="04255BDB"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91" w:history="1">
            <w:r w:rsidR="009627A8" w:rsidRPr="002053FC">
              <w:rPr>
                <w:rStyle w:val="Hyperlink"/>
              </w:rPr>
              <w:t>Backlog</w:t>
            </w:r>
            <w:r w:rsidR="009627A8">
              <w:rPr>
                <w:webHidden/>
              </w:rPr>
              <w:tab/>
            </w:r>
            <w:r w:rsidR="009627A8">
              <w:rPr>
                <w:webHidden/>
              </w:rPr>
              <w:fldChar w:fldCharType="begin"/>
            </w:r>
            <w:r w:rsidR="009627A8">
              <w:rPr>
                <w:webHidden/>
              </w:rPr>
              <w:instrText xml:space="preserve"> PAGEREF _Toc112852491 \h </w:instrText>
            </w:r>
            <w:r w:rsidR="009627A8">
              <w:rPr>
                <w:webHidden/>
              </w:rPr>
            </w:r>
            <w:r w:rsidR="009627A8">
              <w:rPr>
                <w:webHidden/>
              </w:rPr>
              <w:fldChar w:fldCharType="separate"/>
            </w:r>
            <w:r w:rsidR="009627A8">
              <w:rPr>
                <w:webHidden/>
              </w:rPr>
              <w:t>81</w:t>
            </w:r>
            <w:r w:rsidR="009627A8">
              <w:rPr>
                <w:webHidden/>
              </w:rPr>
              <w:fldChar w:fldCharType="end"/>
            </w:r>
          </w:hyperlink>
        </w:p>
        <w:p w14:paraId="74D2C215" w14:textId="49FFF573"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92" w:history="1">
            <w:r w:rsidR="009627A8" w:rsidRPr="002053FC">
              <w:rPr>
                <w:rStyle w:val="Hyperlink"/>
              </w:rPr>
              <w:t>The statute of limitations on criminal prosecution</w:t>
            </w:r>
            <w:r w:rsidR="009627A8">
              <w:rPr>
                <w:webHidden/>
              </w:rPr>
              <w:tab/>
            </w:r>
            <w:r w:rsidR="009627A8">
              <w:rPr>
                <w:webHidden/>
              </w:rPr>
              <w:fldChar w:fldCharType="begin"/>
            </w:r>
            <w:r w:rsidR="009627A8">
              <w:rPr>
                <w:webHidden/>
              </w:rPr>
              <w:instrText xml:space="preserve"> PAGEREF _Toc112852492 \h </w:instrText>
            </w:r>
            <w:r w:rsidR="009627A8">
              <w:rPr>
                <w:webHidden/>
              </w:rPr>
            </w:r>
            <w:r w:rsidR="009627A8">
              <w:rPr>
                <w:webHidden/>
              </w:rPr>
              <w:fldChar w:fldCharType="separate"/>
            </w:r>
            <w:r w:rsidR="009627A8">
              <w:rPr>
                <w:webHidden/>
              </w:rPr>
              <w:t>82</w:t>
            </w:r>
            <w:r w:rsidR="009627A8">
              <w:rPr>
                <w:webHidden/>
              </w:rPr>
              <w:fldChar w:fldCharType="end"/>
            </w:r>
          </w:hyperlink>
        </w:p>
        <w:p w14:paraId="546CA813" w14:textId="6A202762"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93" w:history="1">
            <w:r w:rsidR="009627A8" w:rsidRPr="002053FC">
              <w:rPr>
                <w:rStyle w:val="Hyperlink"/>
              </w:rPr>
              <w:t>Breakdown of crimes</w:t>
            </w:r>
            <w:r w:rsidR="009627A8">
              <w:rPr>
                <w:webHidden/>
              </w:rPr>
              <w:tab/>
            </w:r>
            <w:r w:rsidR="009627A8">
              <w:rPr>
                <w:webHidden/>
              </w:rPr>
              <w:fldChar w:fldCharType="begin"/>
            </w:r>
            <w:r w:rsidR="009627A8">
              <w:rPr>
                <w:webHidden/>
              </w:rPr>
              <w:instrText xml:space="preserve"> PAGEREF _Toc112852493 \h </w:instrText>
            </w:r>
            <w:r w:rsidR="009627A8">
              <w:rPr>
                <w:webHidden/>
              </w:rPr>
            </w:r>
            <w:r w:rsidR="009627A8">
              <w:rPr>
                <w:webHidden/>
              </w:rPr>
              <w:fldChar w:fldCharType="separate"/>
            </w:r>
            <w:r w:rsidR="009627A8">
              <w:rPr>
                <w:webHidden/>
              </w:rPr>
              <w:t>82</w:t>
            </w:r>
            <w:r w:rsidR="009627A8">
              <w:rPr>
                <w:webHidden/>
              </w:rPr>
              <w:fldChar w:fldCharType="end"/>
            </w:r>
          </w:hyperlink>
        </w:p>
        <w:p w14:paraId="6778B1E6" w14:textId="4DE45475" w:rsidR="009627A8" w:rsidRDefault="006D1459">
          <w:pPr>
            <w:pStyle w:val="TOC3"/>
            <w:rPr>
              <w:rFonts w:asciiTheme="minorHAnsi" w:eastAsiaTheme="minorEastAsia" w:hAnsiTheme="minorHAnsi" w:cstheme="minorBidi"/>
              <w:bCs w:val="0"/>
              <w:iCs w:val="0"/>
              <w:sz w:val="22"/>
              <w:szCs w:val="22"/>
              <w:lang w:val="bs-Latn-BA" w:eastAsia="bs-Latn-BA"/>
            </w:rPr>
          </w:pPr>
          <w:hyperlink w:anchor="_Toc112852494" w:history="1">
            <w:r w:rsidR="009627A8" w:rsidRPr="002053FC">
              <w:rPr>
                <w:rStyle w:val="Hyperlink"/>
              </w:rPr>
              <w:t>Quality and quantity of justice</w:t>
            </w:r>
            <w:r w:rsidR="009627A8">
              <w:rPr>
                <w:webHidden/>
              </w:rPr>
              <w:tab/>
            </w:r>
            <w:r w:rsidR="009627A8">
              <w:rPr>
                <w:webHidden/>
              </w:rPr>
              <w:fldChar w:fldCharType="begin"/>
            </w:r>
            <w:r w:rsidR="009627A8">
              <w:rPr>
                <w:webHidden/>
              </w:rPr>
              <w:instrText xml:space="preserve"> PAGEREF _Toc112852494 \h </w:instrText>
            </w:r>
            <w:r w:rsidR="009627A8">
              <w:rPr>
                <w:webHidden/>
              </w:rPr>
            </w:r>
            <w:r w:rsidR="009627A8">
              <w:rPr>
                <w:webHidden/>
              </w:rPr>
              <w:fldChar w:fldCharType="separate"/>
            </w:r>
            <w:r w:rsidR="009627A8">
              <w:rPr>
                <w:webHidden/>
              </w:rPr>
              <w:t>84</w:t>
            </w:r>
            <w:r w:rsidR="009627A8">
              <w:rPr>
                <w:webHidden/>
              </w:rPr>
              <w:fldChar w:fldCharType="end"/>
            </w:r>
          </w:hyperlink>
        </w:p>
        <w:p w14:paraId="297C9152" w14:textId="786850F8" w:rsidR="00052193" w:rsidRPr="001A0537" w:rsidRDefault="001A6A17" w:rsidP="00C95C0D">
          <w:pPr>
            <w:rPr>
              <w:rFonts w:ascii="Arial" w:hAnsi="Arial" w:cs="Arial"/>
              <w:b/>
              <w:sz w:val="32"/>
              <w:szCs w:val="32"/>
            </w:rPr>
          </w:pPr>
          <w:r>
            <w:rPr>
              <w:rFonts w:ascii="Arial" w:hAnsi="Arial" w:cs="Arial"/>
              <w:b/>
              <w:sz w:val="32"/>
              <w:szCs w:val="32"/>
            </w:rPr>
            <w:fldChar w:fldCharType="end"/>
          </w:r>
        </w:p>
        <w:p w14:paraId="2ADFCE3B" w14:textId="77777777" w:rsidR="00137513" w:rsidRPr="001A0537" w:rsidRDefault="00137513">
          <w:pPr>
            <w:rPr>
              <w:rFonts w:ascii="Arial" w:hAnsi="Arial" w:cs="Arial"/>
              <w:b/>
              <w:sz w:val="32"/>
              <w:szCs w:val="32"/>
            </w:rPr>
          </w:pPr>
          <w:r>
            <w:br w:type="page"/>
          </w:r>
        </w:p>
        <w:p w14:paraId="66F7864C" w14:textId="77777777" w:rsidR="00751B2F" w:rsidRPr="001A0537" w:rsidRDefault="00751B2F">
          <w:pPr>
            <w:rPr>
              <w:rFonts w:ascii="Arial" w:hAnsi="Arial" w:cs="Arial"/>
              <w:b/>
              <w:bCs/>
              <w:kern w:val="32"/>
              <w:sz w:val="32"/>
              <w:szCs w:val="32"/>
            </w:rPr>
          </w:pPr>
          <w:r>
            <w:lastRenderedPageBreak/>
            <w:br w:type="page"/>
          </w:r>
        </w:p>
        <w:p w14:paraId="40E7FBC8" w14:textId="77777777" w:rsidR="00751B2F" w:rsidRPr="001A0537" w:rsidRDefault="00751B2F">
          <w:pPr>
            <w:rPr>
              <w:rFonts w:ascii="Arial" w:hAnsi="Arial" w:cs="Arial"/>
              <w:b/>
              <w:bCs/>
              <w:kern w:val="32"/>
              <w:sz w:val="32"/>
              <w:szCs w:val="32"/>
            </w:rPr>
          </w:pPr>
          <w:r>
            <w:lastRenderedPageBreak/>
            <w:br w:type="page"/>
          </w:r>
        </w:p>
        <w:p w14:paraId="1EB31042" w14:textId="174F8C94" w:rsidR="00FC590F" w:rsidRPr="001A0537" w:rsidRDefault="00FC590F" w:rsidP="006E53D8">
          <w:pPr>
            <w:pStyle w:val="PRVINASLOV"/>
          </w:pPr>
          <w:bookmarkStart w:id="1" w:name="_Toc97722038"/>
          <w:bookmarkStart w:id="2" w:name="_Toc112852402"/>
          <w:r>
            <w:lastRenderedPageBreak/>
            <w:t>FOREWORD FROM THE HJPC PRESIDENT</w:t>
          </w:r>
          <w:bookmarkEnd w:id="1"/>
          <w:bookmarkEnd w:id="2"/>
        </w:p>
        <w:p w14:paraId="56837D55" w14:textId="77777777" w:rsidR="009E52BE" w:rsidRPr="00B1619B" w:rsidRDefault="009E52BE" w:rsidP="009E52BE">
          <w:pPr>
            <w:pStyle w:val="Tekst"/>
          </w:pPr>
          <w:r>
            <w:t>Dear friends and colleagues,</w:t>
          </w:r>
        </w:p>
        <w:p w14:paraId="0D6BF90D" w14:textId="64BB56BB" w:rsidR="009E52BE" w:rsidRPr="00B1619B" w:rsidRDefault="009E52BE" w:rsidP="009E52BE">
          <w:pPr>
            <w:pStyle w:val="Tekst"/>
          </w:pPr>
          <w:r>
            <w:t xml:space="preserve">I am pleased to present the 2021 Annual Report of the High Judicial and Prosecutorial Council, which provides an overview of major activities and the results achieved by the HJPC and the judiciary of Bosnia and Herzegovina during the past year. </w:t>
          </w:r>
        </w:p>
        <w:p w14:paraId="023E3308" w14:textId="6298BFB1" w:rsidR="009E52BE" w:rsidRPr="00B1619B" w:rsidRDefault="009E52BE" w:rsidP="009E52BE">
          <w:pPr>
            <w:pStyle w:val="Tekst"/>
          </w:pPr>
          <w:r>
            <w:t xml:space="preserve">Even though it was another year of working under the pandemic, as opposed to 2020 - when we saw major delays in the operations of judicial institutions due to the coronavirus - in 2021, judicial institutions looked to deal with the backlogs from the past year and get the judiciary back on track and operating as normal, while at the same time following the recommended epidemiological measures. As for the HJPC BiH, I can safely say that, despite the fact that the majority of our staff had caught the coronavirus and, accordingly, were temporarily absent </w:t>
          </w:r>
          <w:r w:rsidR="00604213">
            <w:t>from</w:t>
          </w:r>
          <w:r>
            <w:t xml:space="preserve"> work, we continued to operate at full capacity. </w:t>
          </w:r>
        </w:p>
        <w:p w14:paraId="27385C13" w14:textId="6F425852" w:rsidR="009E52BE" w:rsidRPr="00B1619B" w:rsidRDefault="009E52BE" w:rsidP="009E52BE">
          <w:pPr>
            <w:pStyle w:val="Tekst"/>
          </w:pPr>
          <w:r>
            <w:t xml:space="preserve">Furthermore, considering that the institution was faced with threats </w:t>
          </w:r>
          <w:r w:rsidR="00604213">
            <w:t>from</w:t>
          </w:r>
          <w:r>
            <w:t xml:space="preserve"> politicians to terminate its competences which was pushed forward in 2022, with the adoption of a Draft Law on the High Judicial and Prosecutorial Council of Republika Srpska, by acting together, the members of the HJPC BiH i.e. representatives from Republika Srpska, the Federation of Bosnia and Herzegovina, the level of Bosnia and Herzegovina and the Brcko District BiH, remained consistent with their mission to ensure an independent, impartial and professional judiciary. </w:t>
          </w:r>
        </w:p>
        <w:p w14:paraId="38311827" w14:textId="201E7DFF" w:rsidR="009E52BE" w:rsidRPr="00B1619B" w:rsidRDefault="009E52BE" w:rsidP="009E52BE">
          <w:pPr>
            <w:pStyle w:val="Tekst"/>
          </w:pPr>
          <w:r>
            <w:t xml:space="preserve">I would also emphasise the fact that in 2021, we did not see the anticipated amendments to the Law on the HJPC BiH which would allow for significantly improvements to judicial office holder integrity </w:t>
          </w:r>
          <w:r w:rsidR="00604213">
            <w:t xml:space="preserve">issues </w:t>
          </w:r>
          <w:r>
            <w:t>through the detailed processing of personal financial statements of judges and prosecutors as well as issue</w:t>
          </w:r>
          <w:r w:rsidR="00604213">
            <w:t>s</w:t>
          </w:r>
          <w:r>
            <w:t xml:space="preserve"> concerning the evaluation of judicial office holders by providing specific provisions in the law. </w:t>
          </w:r>
        </w:p>
        <w:p w14:paraId="4E785314" w14:textId="0CA73F5F" w:rsidR="009E52BE" w:rsidRPr="00B1619B" w:rsidRDefault="009E52BE" w:rsidP="009E52BE">
          <w:pPr>
            <w:pStyle w:val="Tekst"/>
          </w:pPr>
          <w:r>
            <w:t xml:space="preserve">However, this did not stop us from providing important contributions in numerous areas vital for the effective functioning of the judicial system, such as the appointment of judicial office holders, the efficiency of courts and prosecutors offices, performance quality, the integrity of judicial office holders, improving war crimes case processing, as well as </w:t>
          </w:r>
          <w:r w:rsidR="00B60CAE">
            <w:t xml:space="preserve">for </w:t>
          </w:r>
          <w:r>
            <w:t xml:space="preserve">measures that were taken towards improving the preconditions for fighting organised crime and corruption along with activities in numerous other areas. </w:t>
          </w:r>
        </w:p>
        <w:p w14:paraId="791807F8" w14:textId="0C4E26DF" w:rsidR="009E52BE" w:rsidRPr="00B1619B" w:rsidRDefault="009E52BE" w:rsidP="009E52BE">
          <w:pPr>
            <w:pStyle w:val="Tekst"/>
          </w:pPr>
          <w:r>
            <w:t>In that respect, I would add that the procedure for judicial office appointments and promotions continues to be improved through targeted amendments to the HJPC BiH Rules of Procedure, where we have improved candidate interview scoring issues, introduced the option for candidates to apply for judicial office positions electronically, banned candidates from applying to competitions if they have been suspended through a final Council disciplinary panel decision pursuant to articles 76 and 77 of the Law on the HJPC BiH, while also elaborating the rights candidates have to listen to audio recordings and receiv</w:t>
          </w:r>
          <w:r w:rsidR="00B60CAE">
            <w:t>e</w:t>
          </w:r>
          <w:r>
            <w:t xml:space="preserve"> copies of audio recordings.</w:t>
          </w:r>
        </w:p>
        <w:p w14:paraId="29F6AFE7" w14:textId="6A41D749" w:rsidR="009E52BE" w:rsidRPr="00B1619B" w:rsidRDefault="009E52BE" w:rsidP="009E52BE">
          <w:pPr>
            <w:pStyle w:val="Tekst"/>
          </w:pPr>
          <w:r>
            <w:t xml:space="preserve">Furthermore, we have set clearer actions to be taken on candidates objections concerning entrance exams and written tests while also improving the calculation of the overall points score for the performance evaluation to provide clearer success level distinctions among the candidates </w:t>
          </w:r>
          <w:r w:rsidR="00B60CAE">
            <w:t>and their</w:t>
          </w:r>
          <w:r>
            <w:t xml:space="preserve"> written test scores.</w:t>
          </w:r>
        </w:p>
        <w:p w14:paraId="77C6FFAA" w14:textId="77777777" w:rsidR="009E52BE" w:rsidRPr="00B1619B" w:rsidRDefault="009E52BE" w:rsidP="009E52BE">
          <w:pPr>
            <w:pStyle w:val="Tekst"/>
          </w:pPr>
          <w:r>
            <w:t>Based on the recommendations from the EC Peer Review Assessment expert mission to Bosnia and Herzegovina on procedures and criteria for the appointment of judges and prosecutors, that refer to planning, reviewing, updating and the ongoing use of the test database, 600 new test questions were developed covering the civil, criminal and commercial areas for candidates applying for judicial office. This means that the database with test questions has increased by 21.5%.</w:t>
          </w:r>
        </w:p>
        <w:p w14:paraId="284B194A" w14:textId="77777777" w:rsidR="009E52BE" w:rsidRPr="00B1619B" w:rsidRDefault="009E52BE" w:rsidP="009E52BE">
          <w:pPr>
            <w:pStyle w:val="Tekst"/>
          </w:pPr>
          <w:r>
            <w:t xml:space="preserve">We also organised entrance exams for 307 candidates and written tests for 342 candidates, while 454 interviews were carried out with candidates, all covering six competitions that were announced last year. </w:t>
          </w:r>
        </w:p>
        <w:p w14:paraId="64160186" w14:textId="77777777" w:rsidR="009E52BE" w:rsidRPr="00B1619B" w:rsidRDefault="009E52BE" w:rsidP="009E52BE">
          <w:pPr>
            <w:pStyle w:val="Tekst"/>
          </w:pPr>
          <w:r>
            <w:t xml:space="preserve">Two competitions were announced in 2021, with 821 candidates applying for judge &amp; prosecutor positions in the first competition and 92 candidates for management-level positions, with 87 candidates applying for legal associate positions. More detailed information on the number of candidates who have taken entrance exams, written tests and interviews can be found in the Report by referencing the contents. </w:t>
          </w:r>
        </w:p>
        <w:p w14:paraId="3B45631F" w14:textId="77777777" w:rsidR="009E52BE" w:rsidRPr="00B1619B" w:rsidRDefault="009E52BE" w:rsidP="009E52BE">
          <w:pPr>
            <w:pStyle w:val="Tekst"/>
          </w:pPr>
          <w:r>
            <w:t xml:space="preserve">The next competition will close at the beginning of 2022, meaning that relevant data will be presented in the next report. </w:t>
          </w:r>
        </w:p>
        <w:p w14:paraId="6FF8763F" w14:textId="335D205A" w:rsidR="009E52BE" w:rsidRPr="00B1619B" w:rsidRDefault="009E52BE" w:rsidP="009E52BE">
          <w:pPr>
            <w:pStyle w:val="Tekst"/>
          </w:pPr>
          <w:r>
            <w:t xml:space="preserve">Disciplinary liability of judicial office holders is another important area for establishing the rule of law which the Office of the Disciplinary Counsel and the HJPC BiH continued to focus on in line with their competences. Accordingly, the Office of the Disciplinary Counsel registered 925 complaints against judicial office holders, which is 28.1% more than for the preceding year. The ODC resolved 939 complaints, which is 6% more than in 2020. In 2021, 35 disciplinary procedures were initiated against 25 judicial office holders, of which 17 against judges, 8 against prosecutors, 5 against court presidents and 4 against chief prosecutors. </w:t>
          </w:r>
        </w:p>
        <w:p w14:paraId="29DD54DC" w14:textId="77777777" w:rsidR="009E52BE" w:rsidRPr="00B1619B" w:rsidRDefault="009E52BE" w:rsidP="009E52BE">
          <w:pPr>
            <w:pStyle w:val="Tekst"/>
          </w:pPr>
          <w:r>
            <w:t xml:space="preserve">In 2021, 31 disciplinary procedures were completed, with disciplinary liability established in 25 procedures for 25 judicial office holders, while disciplinary complaints were denied in four procedures against judicial office holders with two procedures discontinued due to the resignation of the judge against whom proceedings were held. </w:t>
          </w:r>
        </w:p>
        <w:p w14:paraId="2B0D4D12" w14:textId="77777777" w:rsidR="009E52BE" w:rsidRPr="00B1619B" w:rsidRDefault="009E52BE" w:rsidP="009E52BE">
          <w:pPr>
            <w:pStyle w:val="Tekst"/>
          </w:pPr>
          <w:r>
            <w:t xml:space="preserve">It is important to emphasise that the average processing time for complaints in 2021, was 190 days which is far less than the two year deadline from the filing of the complaint which the ODC is required to follow. </w:t>
          </w:r>
        </w:p>
        <w:p w14:paraId="38527A84" w14:textId="77777777" w:rsidR="009E52BE" w:rsidRPr="00B1619B" w:rsidRDefault="009E52BE" w:rsidP="009E52BE">
          <w:pPr>
            <w:pStyle w:val="Tekst"/>
          </w:pPr>
          <w:r>
            <w:t>At the same time, the bulk of the complaints referred to case duration meaning that 26% of the complaints refer to the length of proceedings before the courts and 11% refer to the length of procedures before the prosecutors offices. Also, 12% of the complaints referred to neglect or careless exercise of official duties by a judge and 9% neglect or careless exercise of official duties by a prosecutor.</w:t>
          </w:r>
        </w:p>
        <w:p w14:paraId="4F32DEA9" w14:textId="77777777" w:rsidR="009E52BE" w:rsidRPr="00B1619B" w:rsidRDefault="009E52BE" w:rsidP="009E52BE">
          <w:pPr>
            <w:pStyle w:val="Tekst"/>
          </w:pPr>
          <w:r>
            <w:t xml:space="preserve">More detailed information on disciplinary liability, together with corresponding graphs can be found in the Report by referencing the contents. </w:t>
          </w:r>
        </w:p>
        <w:p w14:paraId="6D94E8E3" w14:textId="77777777" w:rsidR="009E52BE" w:rsidRPr="00B1619B" w:rsidRDefault="009E52BE" w:rsidP="009E52BE">
          <w:pPr>
            <w:pStyle w:val="Tekst"/>
          </w:pPr>
          <w:r>
            <w:t xml:space="preserve">As regards the efficiency of the judiciary, we must stress that, regardless of the conditions created with the pandemic, throughout 2020 &amp; 2021, the courts managed to maintain above-average performance results. Accordingly, as part of their backlog reduction plans the courts completed 163,025 of the oldest cases. Expressed as a percentage of backlog plan completion, the courts were at 87%. </w:t>
          </w:r>
        </w:p>
        <w:p w14:paraId="04B73119" w14:textId="77777777" w:rsidR="009E52BE" w:rsidRPr="00B1619B" w:rsidRDefault="009E52BE" w:rsidP="009E52BE">
          <w:pPr>
            <w:pStyle w:val="Tekst"/>
          </w:pPr>
          <w:r>
            <w:lastRenderedPageBreak/>
            <w:t xml:space="preserve">The activities undertaken by the HJPC in partnership with the courts also contributed towards achieving the maximum effect. The introduction of a strategic planning system for all courts in BiH represents one of the more significant activities that will contribute to the optimal engagement of human resources as well as allow for accurately planning activities and securing funds for work. </w:t>
          </w:r>
        </w:p>
        <w:p w14:paraId="02E33D77" w14:textId="77777777" w:rsidR="009E52BE" w:rsidRPr="00B1619B" w:rsidRDefault="009E52BE" w:rsidP="009E52BE">
          <w:pPr>
            <w:pStyle w:val="Tekst"/>
          </w:pPr>
          <w:r>
            <w:t xml:space="preserve">So called efficiency indicators have also been introduced for the easier identification of concrete problems with court operations, such as increased duration of pending cases, reduced quota achievement together with other useful tools based on eight indicators used to generate reports in order to monitor the situation and pass decisions to resolve potential work-related problems. </w:t>
          </w:r>
        </w:p>
        <w:p w14:paraId="62B9A63E" w14:textId="598A76D5" w:rsidR="009E52BE" w:rsidRPr="00B1619B" w:rsidRDefault="009E52BE" w:rsidP="009E52BE">
          <w:pPr>
            <w:pStyle w:val="Tekst"/>
          </w:pPr>
          <w:r>
            <w:t xml:space="preserve">Other systemic activities and measures have also been taken to improve court performance efficiency as well as to implement the recommendations of the Subcommittee for Justice, Freedom and Security and the Expert Report on Rule of Law </w:t>
          </w:r>
          <w:r w:rsidR="00317D83">
            <w:t>i</w:t>
          </w:r>
          <w:r>
            <w:t xml:space="preserve">ssues in BiH, specifically focused on improving enforcement procedures in BiH. </w:t>
          </w:r>
        </w:p>
        <w:p w14:paraId="072B7238" w14:textId="4414B503" w:rsidR="009E52BE" w:rsidRPr="00B1619B" w:rsidRDefault="009E52BE" w:rsidP="009E52BE">
          <w:pPr>
            <w:pStyle w:val="Tekst"/>
          </w:pPr>
          <w:r>
            <w:t xml:space="preserve">Furthermore, improvements were made regarding the application of the system for the electronic processing of utility cases and small claims which has stopped the </w:t>
          </w:r>
          <w:r w:rsidR="00317D83">
            <w:t>rise</w:t>
          </w:r>
          <w:r>
            <w:t xml:space="preserve"> in the number of such pending cases and facilitated more effective actions </w:t>
          </w:r>
          <w:r w:rsidR="00DA0DE1">
            <w:t>by</w:t>
          </w:r>
          <w:r>
            <w:t xml:space="preserve"> judges and legal associates. By reorganising court operations and human resources, business processes have also been improved which has resulted in shorter court procedures. </w:t>
          </w:r>
        </w:p>
        <w:p w14:paraId="28C982B8" w14:textId="30F8C547" w:rsidR="009E52BE" w:rsidRPr="00B1619B" w:rsidRDefault="009E52BE" w:rsidP="009E52BE">
          <w:pPr>
            <w:pStyle w:val="Tekst"/>
          </w:pPr>
          <w:r>
            <w:t>The efficiency of bankruptcy procedures with regards to a better understanding of economic context was a focus of improvements during the past year as was the quality of civil litigation procedure</w:t>
          </w:r>
          <w:r w:rsidR="00DA0DE1">
            <w:t>s</w:t>
          </w:r>
          <w:r>
            <w:t xml:space="preserve"> by strengthening the capacities of the civil and litigation departments of the courts and improving the quality of civil judgments. </w:t>
          </w:r>
        </w:p>
        <w:p w14:paraId="55A8A568" w14:textId="77777777" w:rsidR="009E52BE" w:rsidRPr="00B1619B" w:rsidRDefault="009E52BE" w:rsidP="009E52BE">
          <w:pPr>
            <w:pStyle w:val="Tekst"/>
          </w:pPr>
          <w:r>
            <w:t xml:space="preserve">We have not forgotten vulnerable groups in contacts with the judiciary and have taken concrete steps accordingly, while also participating in an international campaign on activism against gender-based violence, and at the same time monitoring the implementation of the Strategy for improving gender equality in the BiH judiciary. </w:t>
          </w:r>
        </w:p>
        <w:p w14:paraId="41DE7B72" w14:textId="201FCAAB" w:rsidR="009E52BE" w:rsidRPr="00B1619B" w:rsidRDefault="00DA0DE1" w:rsidP="009E52BE">
          <w:pPr>
            <w:pStyle w:val="Tekst"/>
          </w:pPr>
          <w:r>
            <w:t>As regards</w:t>
          </w:r>
          <w:r w:rsidR="009E52BE">
            <w:t xml:space="preserve"> the performance efficiency of prosecutors offices </w:t>
          </w:r>
          <w:r w:rsidR="00096492">
            <w:t>in</w:t>
          </w:r>
          <w:r w:rsidR="009E52BE">
            <w:t xml:space="preserve"> 2021 - prosecutors offices issued 11,041 indictments, which is 14% more than in 2020. We can also see that the prosecutors offices received 21,683 cases involving known perpetrators while there were 15,213 pending cases as at 31 December 2021, which is 3% fewer than compared to last year. </w:t>
          </w:r>
        </w:p>
        <w:p w14:paraId="0F329723" w14:textId="77777777" w:rsidR="009E52BE" w:rsidRPr="00B1619B" w:rsidRDefault="009E52BE" w:rsidP="009E52BE">
          <w:pPr>
            <w:pStyle w:val="Tekst"/>
          </w:pPr>
          <w:r>
            <w:t xml:space="preserve">As for processing corruption, in 2021, prosecutors issued 235 indictments involving corruption-related crimes, which is 87% more than the number of like indictments for the previous year. They also issued 555 orders not to pursue an investigation and 119 orders to discontinue investigations involving the aforesaid crimes. </w:t>
          </w:r>
        </w:p>
        <w:p w14:paraId="22DCE193" w14:textId="77777777" w:rsidR="009E52BE" w:rsidRPr="00B1619B" w:rsidRDefault="009E52BE" w:rsidP="009E52BE">
          <w:pPr>
            <w:pStyle w:val="Tekst"/>
          </w:pPr>
          <w:r>
            <w:t>As regards high-profile corruption, of the 328 investigations that were ordered in 2021 that focused on corruption cases, 11 investigations or 3% involved high-profile corruption.</w:t>
          </w:r>
        </w:p>
        <w:p w14:paraId="0EC67F4D" w14:textId="77777777" w:rsidR="009E52BE" w:rsidRPr="00B1619B" w:rsidRDefault="009E52BE" w:rsidP="009E52BE">
          <w:pPr>
            <w:pStyle w:val="Tekst"/>
          </w:pPr>
          <w:r>
            <w:t>Of all (235) indictments that were filed against corruption-related crimes in 2021, prosecutors filed 8 indictments involving high-profile corruption i.e. 3% of the total number of corruption-related indictments filed.</w:t>
          </w:r>
        </w:p>
        <w:p w14:paraId="700E579B" w14:textId="77777777" w:rsidR="009E52BE" w:rsidRPr="00B1619B" w:rsidRDefault="009E52BE" w:rsidP="009E52BE">
          <w:pPr>
            <w:pStyle w:val="Tekst"/>
          </w:pPr>
          <w:r>
            <w:t>As for processing organised crime, in 2021, prosecutors issued 32 indictments involving organised crime, which is 23% more than for the previous year. They also issued 25 orders not to pursue an investigation and 13 orders to discontinue investigations involving the aforesaid crimes.</w:t>
          </w:r>
        </w:p>
        <w:p w14:paraId="7143BCB5" w14:textId="77777777" w:rsidR="009E52BE" w:rsidRPr="00B1619B" w:rsidRDefault="009E52BE" w:rsidP="009E52BE">
          <w:pPr>
            <w:pStyle w:val="Tekst"/>
          </w:pPr>
          <w:r>
            <w:t>Of the 55 investigations that were ordered in 2021, 2 investigations or 4% involved high-level organised crime.</w:t>
          </w:r>
        </w:p>
        <w:p w14:paraId="4EAB5F11" w14:textId="77777777" w:rsidR="009E52BE" w:rsidRPr="00B1619B" w:rsidRDefault="009E52BE" w:rsidP="009E52BE">
          <w:pPr>
            <w:pStyle w:val="Tekst"/>
          </w:pPr>
          <w:r>
            <w:t>Of the total number of indictments (32) filed against organised crime in 2021, prosecutors filed 2 indictments involving high-level organised crime i.e. 6% of the total number of indictments against organised crime for 2021.</w:t>
          </w:r>
        </w:p>
        <w:p w14:paraId="1F6AFDFF" w14:textId="77777777" w:rsidR="009E52BE" w:rsidRPr="00B1619B" w:rsidRDefault="009E52BE" w:rsidP="009E52BE">
          <w:pPr>
            <w:pStyle w:val="Tekst"/>
          </w:pPr>
          <w:r>
            <w:t>As for the performance quality of prosecutors offices, allow me to provide a number of concrete activities focused on improving their performance.</w:t>
          </w:r>
        </w:p>
        <w:p w14:paraId="669EEBE9" w14:textId="1C1A1A75" w:rsidR="009E52BE" w:rsidRPr="00B1619B" w:rsidRDefault="009E52BE" w:rsidP="009E52BE">
          <w:pPr>
            <w:pStyle w:val="Tekst"/>
          </w:pPr>
          <w:r>
            <w:t xml:space="preserve">One being support to prosecutors offices in processing commercial crimes, organised crime and corruption through the engagement of 11 financial advisors for 10 prosecutors offices with IPA 2017 funds. The experts are involved at the earliest phase of criminal procedure, while their results are visible through quicker documentation collection, avoiding unnecessary documents, faster handling of incoming cases, better communication with expert witnesses and law enforcement agencies, assistance in drafting orders for expert witnessing, as well as </w:t>
          </w:r>
          <w:r w:rsidR="00096492">
            <w:t xml:space="preserve">in </w:t>
          </w:r>
          <w:r>
            <w:t xml:space="preserve">the examination of witnesses and defendants. </w:t>
          </w:r>
          <w:r w:rsidR="00096492" w:rsidRPr="00096492">
            <w:t>The significance of their contribution was visible</w:t>
          </w:r>
          <w:r w:rsidR="00096492">
            <w:t xml:space="preserve"> in</w:t>
          </w:r>
          <w:r>
            <w:t xml:space="preserve"> recognising the need for financial investigations, providing expert assistance in analysing cash flows and identifying illegal income. </w:t>
          </w:r>
        </w:p>
        <w:p w14:paraId="79CD4666" w14:textId="514567A9" w:rsidR="009E52BE" w:rsidRPr="00B1619B" w:rsidRDefault="009E52BE" w:rsidP="009E52BE">
          <w:pPr>
            <w:pStyle w:val="Tekst"/>
          </w:pPr>
          <w:r>
            <w:t>To date, most of the cases they worked on involved complex economic and organised crime, corruption, tax evasion, abuse of position, loan fraud, concluding prejudicial contracts, compiling false balance sheets, privati</w:t>
          </w:r>
          <w:r w:rsidR="00096492">
            <w:t>s</w:t>
          </w:r>
          <w:r>
            <w:t>ation, market abuse, money laundering and other crimes.</w:t>
          </w:r>
        </w:p>
        <w:p w14:paraId="5312A174" w14:textId="77777777" w:rsidR="009E52BE" w:rsidRPr="00B1619B" w:rsidRDefault="009E52BE" w:rsidP="009E52BE">
          <w:pPr>
            <w:pStyle w:val="Tekst"/>
          </w:pPr>
          <w:r>
            <w:t xml:space="preserve">An analysis was also carried out on the situation and measures for backlog reduction at the prosecutors offices, while the Standing Committee for the Efficiency and Quality of Prosecutors Offices held a number of meetings with particular focus on improving the organisation of operations at prosecutors offices in order to process high profile corruption and organised crime cases more effectively. Furthermore, activities continued on improving cooperation between prosecutors offices and law enforcement agencies as well as with the NGO sector, while special attention was devoted to the performance transparency of prosecutors offices. </w:t>
          </w:r>
        </w:p>
        <w:p w14:paraId="0CC8B649" w14:textId="546DC055" w:rsidR="009E52BE" w:rsidRPr="00B1619B" w:rsidRDefault="009E52BE" w:rsidP="009E52BE">
          <w:pPr>
            <w:pStyle w:val="Tekst"/>
          </w:pPr>
          <w:r>
            <w:t>It must be said that the HJPC BiH and its international partners are currently working on the construction of five new judicial institution buildings i.e. District Public Prosecutors Office in Bijelj</w:t>
          </w:r>
          <w:r w:rsidR="00C53890">
            <w:t>i</w:t>
          </w:r>
          <w:r>
            <w:t>na and the courts in Zepce, Zenica, Mrkonjic-Grad and Prnjavor. Also, the Sarajevo Palace of Justice is at the top of our priorities considering the long-standing problem with accommodation</w:t>
          </w:r>
          <w:r w:rsidR="00096492">
            <w:t>,</w:t>
          </w:r>
          <w:r>
            <w:t xml:space="preserve"> and we trust that we are close to resolving the matter and that it will be resolved in 2022. </w:t>
          </w:r>
        </w:p>
        <w:p w14:paraId="0B05CB84" w14:textId="40A2ACAD" w:rsidR="009E52BE" w:rsidRPr="00B1619B" w:rsidRDefault="009E52BE" w:rsidP="009E52BE">
          <w:pPr>
            <w:pStyle w:val="Tekst"/>
          </w:pPr>
          <w:r>
            <w:t xml:space="preserve">I would finish my introduction by listing the major achievements of the HJPC BiH regarding the transparency of the judiciary which has been subject to criticism in the past. </w:t>
          </w:r>
        </w:p>
        <w:p w14:paraId="785D34E2" w14:textId="24868D9E" w:rsidR="009E52BE" w:rsidRPr="00B1619B" w:rsidRDefault="009E52BE" w:rsidP="009E52BE">
          <w:pPr>
            <w:pStyle w:val="Tekst"/>
          </w:pPr>
          <w:r>
            <w:t xml:space="preserve">Specifically, in 2021, we adopted the HJPC BiH Communication Strategy which incorporates strategic objectives that </w:t>
          </w:r>
          <w:r w:rsidR="00096492">
            <w:t>go beyond</w:t>
          </w:r>
          <w:r>
            <w:t xml:space="preserve"> the HJPC institutional framework</w:t>
          </w:r>
          <w:r w:rsidR="00300CC5">
            <w:t>,</w:t>
          </w:r>
          <w:r>
            <w:t xml:space="preserve"> covering all of the judiciary. We trust that this strategic document will contribute to harmonising communication practices and, </w:t>
          </w:r>
          <w:r>
            <w:lastRenderedPageBreak/>
            <w:t>ultimately, directly lead to judicial institutions</w:t>
          </w:r>
          <w:r w:rsidR="00300CC5">
            <w:t xml:space="preserve"> being more open</w:t>
          </w:r>
          <w:r>
            <w:t xml:space="preserve"> to the public and the media while also reinforcing the transparency of the performance of courts and prosecutors offices. </w:t>
          </w:r>
        </w:p>
        <w:p w14:paraId="2AC2A934" w14:textId="37EA7161" w:rsidR="009E52BE" w:rsidRPr="00B1619B" w:rsidRDefault="009E52BE" w:rsidP="009E52BE">
          <w:pPr>
            <w:pStyle w:val="Tekst"/>
          </w:pPr>
          <w:r>
            <w:t xml:space="preserve">Furthermore, we have opened a HJPC BiH court decision database with free access for the public - compared to the past when a fee was required - and added 2,913 new decisions to it, meaning that as at 31/12/2021, there are 14,972 open and searchable decisions available in the database. Focus was also placed on legally final decisions in cases of particular interest such as war crimes, discrimination and human trafficking, while the database is currently being updated with decisions involving organised crime and corruption. </w:t>
          </w:r>
        </w:p>
        <w:p w14:paraId="08E20756" w14:textId="77777777" w:rsidR="009E52BE" w:rsidRPr="00B1619B" w:rsidRDefault="009E52BE" w:rsidP="009E52BE">
          <w:pPr>
            <w:pStyle w:val="Tekst"/>
          </w:pPr>
          <w:r>
            <w:t xml:space="preserve">Parallel to 13 summaries of legally final war crime case decision, we have also updated the interactive war crimes map which is available to the public. </w:t>
          </w:r>
        </w:p>
        <w:p w14:paraId="624020BE" w14:textId="3F31291E" w:rsidR="009E52BE" w:rsidRPr="00B1619B" w:rsidRDefault="009E52BE" w:rsidP="009E52BE">
          <w:pPr>
            <w:pStyle w:val="Tekst"/>
          </w:pPr>
          <w:r>
            <w:t xml:space="preserve">Considering the importance of processing war crimes, I would take this opportunity to invite you to search the Report and look into information on the activities taken by the HJPC BiH in this field, especially regarding the implementation of the Revised National War Crime Strategy and overseeing the efforts of the courts and prosecutors in processing war crimes. </w:t>
          </w:r>
        </w:p>
        <w:p w14:paraId="51350332" w14:textId="66A23D7E" w:rsidR="009E52BE" w:rsidRPr="00B1619B" w:rsidRDefault="009E52BE" w:rsidP="009E52BE">
          <w:pPr>
            <w:pStyle w:val="Tekst"/>
          </w:pPr>
          <w:r>
            <w:t xml:space="preserve">At the same time, attached to the Report you can find detailed statistical data on the performance of the courts and prosecutors offices with information on caseflow, incoming cases, completed cases, quality and quantity of performance of the courts as well as information on reports, investigations, indictments and judgments rendered for prosecutors offices, including data on pending cases, statute of limitations against prosecution and the breakdown of crimes. </w:t>
          </w:r>
        </w:p>
        <w:p w14:paraId="79C87DC3" w14:textId="444348CE" w:rsidR="009E52BE" w:rsidRPr="00B1619B" w:rsidRDefault="009E52BE" w:rsidP="009E52BE">
          <w:pPr>
            <w:pStyle w:val="Tekst"/>
          </w:pPr>
          <w:r>
            <w:t xml:space="preserve">It seems that we are moving towards the end of the pandemic, even though I do not doubt that there will still be challenges both, internally and externally, however I am sure that the BiH judiciary will effectively respond to any challenges and safeguard the principles on which it lays. </w:t>
          </w:r>
        </w:p>
        <w:p w14:paraId="1B8D918F" w14:textId="3B0AFF01" w:rsidR="009E52BE" w:rsidRPr="00B1619B" w:rsidRDefault="009E52BE" w:rsidP="009E52BE">
          <w:pPr>
            <w:pStyle w:val="Tekst"/>
          </w:pPr>
          <w:r>
            <w:t xml:space="preserve">Ultimately, I want to emphasise that the results presented in the Report were achieved through the joint efforts of the judges, prosecutors and our partners within the state and the international community. </w:t>
          </w:r>
        </w:p>
        <w:p w14:paraId="2115EE32" w14:textId="6A46ABCF" w:rsidR="009E52BE" w:rsidRPr="00B1619B" w:rsidRDefault="009E52BE" w:rsidP="009E52BE">
          <w:pPr>
            <w:pStyle w:val="Tekst"/>
          </w:pPr>
          <w:r>
            <w:t>Therefore, I take this opportunity to thank our numerous international friends who continue to support the HJPC BiH and the judiciary of Bosnia and Herzegovina</w:t>
          </w:r>
          <w:r w:rsidR="00300CC5">
            <w:t xml:space="preserve"> - </w:t>
          </w:r>
          <w:r>
            <w:t>as clearly demonstrated when HJPC competences for the whole of Bosnia and Herzegovina were being disputed</w:t>
          </w:r>
          <w:r w:rsidR="00300CC5">
            <w:t xml:space="preserve"> - </w:t>
          </w:r>
          <w:r>
            <w:t xml:space="preserve">and without their selfless support we quite definitely would not have been able to address issues vital for the establishment of the rule of law in our country. The financial support from our major donors in 2021 - the European Union, Sweden, Norway, Switzerland - is not only support for the HJPC BiH and the BiH judiciary, rather is primarily </w:t>
          </w:r>
          <w:r w:rsidR="00300CC5">
            <w:t>focused on</w:t>
          </w:r>
          <w:r>
            <w:t xml:space="preserve"> the citizens of this country who deserve to be equal members of the European family. </w:t>
          </w:r>
        </w:p>
        <w:p w14:paraId="615FC66F" w14:textId="77777777" w:rsidR="009E52BE" w:rsidRPr="00B1619B" w:rsidRDefault="009E52BE" w:rsidP="009E52BE">
          <w:pPr>
            <w:pStyle w:val="Tekst"/>
          </w:pPr>
          <w:r>
            <w:t>We also owe our gratitude to the BiH authorities for their ongoing support, and trust that our cooperation on vital issues for judicial reform will continue in future.</w:t>
          </w:r>
        </w:p>
        <w:p w14:paraId="324C7B19" w14:textId="7D866756" w:rsidR="009E52BE" w:rsidRPr="00B1619B" w:rsidRDefault="009E52BE" w:rsidP="009E52BE">
          <w:pPr>
            <w:pStyle w:val="Tekst"/>
          </w:pPr>
          <w:r>
            <w:t xml:space="preserve">And ultimately, I would especially like to thank our colleagues, the judges and prosecutors, as well as all other employees within the judicial community, without whose commitment and professionalism the HJPC would not have been able to respond to all of the challenges placed before the judiciary. </w:t>
          </w:r>
        </w:p>
        <w:p w14:paraId="3B1B41B4" w14:textId="77777777" w:rsidR="009E52BE" w:rsidRPr="00B1619B" w:rsidRDefault="009E52BE" w:rsidP="009E52BE">
          <w:pPr>
            <w:pStyle w:val="Tekst"/>
          </w:pPr>
        </w:p>
        <w:p w14:paraId="1FB46524" w14:textId="77777777" w:rsidR="009E52BE" w:rsidRPr="00B1619B" w:rsidRDefault="009E52BE" w:rsidP="009E52BE">
          <w:pPr>
            <w:pStyle w:val="Tekst"/>
          </w:pPr>
          <w:r>
            <w:t xml:space="preserve">Halil Lagumdzija </w:t>
          </w:r>
        </w:p>
        <w:p w14:paraId="6698EC3E" w14:textId="77777777" w:rsidR="009E52BE" w:rsidRPr="009E52BE" w:rsidRDefault="00E00883" w:rsidP="009E52BE">
          <w:pPr>
            <w:pStyle w:val="Tekst"/>
          </w:pPr>
          <w:r>
            <w:t>President of the HJPC BiH</w:t>
          </w:r>
        </w:p>
      </w:sdtContent>
    </w:sdt>
    <w:bookmarkStart w:id="3" w:name="_Toc97722039" w:displacedByCustomXml="prev"/>
    <w:bookmarkStart w:id="4" w:name="_Toc417043148" w:displacedByCustomXml="prev"/>
    <w:p w14:paraId="48E426BE" w14:textId="56DC2D0A" w:rsidR="0090072B" w:rsidRPr="001A0537" w:rsidRDefault="00D051C0" w:rsidP="009E52BE">
      <w:pPr>
        <w:pStyle w:val="PRVINASLOV"/>
      </w:pPr>
      <w:bookmarkStart w:id="5" w:name="_Toc112852403"/>
      <w:r>
        <w:t xml:space="preserve">MEMBERS OF THE HJPC </w:t>
      </w:r>
      <w:bookmarkEnd w:id="4"/>
      <w:bookmarkEnd w:id="3"/>
      <w:r>
        <w:t>BiH</w:t>
      </w:r>
      <w:bookmarkEnd w:id="5"/>
    </w:p>
    <w:p w14:paraId="73AF2940" w14:textId="77777777" w:rsidR="00806112" w:rsidRPr="001A0537" w:rsidRDefault="00806112" w:rsidP="00806112">
      <w:pPr>
        <w:pStyle w:val="Tekst"/>
      </w:pPr>
      <w:bookmarkStart w:id="6" w:name="_Toc383073050"/>
      <w:r>
        <w:t>The High Judicial and Prosecutorial Council of BiH has 15 domestic members who are elected in accordance with Article 4 of the Law on the HJPC BiH. The Council has six judges, five prosecutors, two representatives of the executive and legislative branches as well as two representatives of the entity bar associations.</w:t>
      </w:r>
    </w:p>
    <w:p w14:paraId="21CE817A" w14:textId="77777777" w:rsidR="00806112" w:rsidRPr="001A0537" w:rsidRDefault="00806112" w:rsidP="00806112">
      <w:pPr>
        <w:pStyle w:val="Default"/>
        <w:jc w:val="both"/>
        <w:rPr>
          <w:b/>
          <w:bCs/>
          <w:lang w:val="hr-BA"/>
        </w:rPr>
      </w:pPr>
    </w:p>
    <w:p w14:paraId="0A49D74D" w14:textId="1A487492" w:rsidR="00806112" w:rsidRPr="001A0537" w:rsidRDefault="00806112" w:rsidP="00806112">
      <w:pPr>
        <w:pStyle w:val="Tekst"/>
        <w:rPr>
          <w:b/>
        </w:rPr>
      </w:pPr>
      <w:r>
        <w:rPr>
          <w:b/>
        </w:rPr>
        <w:t xml:space="preserve">Halil Lagumdžija, President of the HJPC BiH </w:t>
      </w:r>
    </w:p>
    <w:p w14:paraId="4DD55E5E" w14:textId="77777777" w:rsidR="00806112" w:rsidRPr="001A0537" w:rsidRDefault="00806112" w:rsidP="00806112">
      <w:pPr>
        <w:pStyle w:val="Tekst"/>
      </w:pPr>
      <w:r>
        <w:t xml:space="preserve">Mandate: February 2021 - February 2025 </w:t>
      </w:r>
    </w:p>
    <w:p w14:paraId="0D921B3C" w14:textId="2B89B0E0" w:rsidR="00806112" w:rsidRPr="001A0537" w:rsidRDefault="00806112" w:rsidP="00806112">
      <w:pPr>
        <w:pStyle w:val="Tekst"/>
      </w:pPr>
      <w:r>
        <w:t>The judges of the Court of BiH elected judge Halil Lagumdžija to the HJPC</w:t>
      </w:r>
      <w:r w:rsidR="00D11617">
        <w:t xml:space="preserve"> BiH</w:t>
      </w:r>
      <w:r>
        <w:t xml:space="preserve"> in December 2020. He was elected President of the HJPC BiH at the HJPC</w:t>
      </w:r>
      <w:r w:rsidR="00D11617">
        <w:t xml:space="preserve"> BiH</w:t>
      </w:r>
      <w:r>
        <w:t xml:space="preserve"> session on 10 February, 2021.</w:t>
      </w:r>
    </w:p>
    <w:p w14:paraId="392B9388" w14:textId="77777777" w:rsidR="00806112" w:rsidRPr="001A0537" w:rsidRDefault="00806112" w:rsidP="00806112">
      <w:pPr>
        <w:pStyle w:val="Tekst"/>
      </w:pPr>
      <w:r>
        <w:t xml:space="preserve">He holds the office of judge of the Court of Bosnia and Herzegovina. </w:t>
      </w:r>
    </w:p>
    <w:p w14:paraId="57C78DDD" w14:textId="41AA4193" w:rsidR="00806112" w:rsidRPr="001A0537" w:rsidRDefault="00806112" w:rsidP="00806112">
      <w:pPr>
        <w:pStyle w:val="Tekst"/>
      </w:pPr>
      <w:r>
        <w:t xml:space="preserve">He was elected after </w:t>
      </w:r>
      <w:r w:rsidR="00D11617">
        <w:t xml:space="preserve">judge </w:t>
      </w:r>
      <w:r>
        <w:rPr>
          <w:b/>
        </w:rPr>
        <w:t xml:space="preserve">Dragomir Vukoja’s, mandate as member of the HJPC BiH ended </w:t>
      </w:r>
    </w:p>
    <w:p w14:paraId="1D9A3FBD" w14:textId="77777777" w:rsidR="00806112" w:rsidRPr="001A0537" w:rsidRDefault="00806112" w:rsidP="00806112">
      <w:pPr>
        <w:pStyle w:val="Tekst"/>
      </w:pPr>
      <w:r>
        <w:t xml:space="preserve">Mandate: February 2017 - February 2021 </w:t>
      </w:r>
    </w:p>
    <w:p w14:paraId="418BF114" w14:textId="39E4C0C6" w:rsidR="00806112" w:rsidRPr="001A0537" w:rsidRDefault="00806112" w:rsidP="00806112">
      <w:pPr>
        <w:pStyle w:val="Tekst"/>
      </w:pPr>
      <w:r>
        <w:lastRenderedPageBreak/>
        <w:t xml:space="preserve">The judges of the Court of BiH elected judge Dragomir Vukoja to the HJPC BiH in January 2017. </w:t>
      </w:r>
    </w:p>
    <w:p w14:paraId="30AC67AE" w14:textId="77777777" w:rsidR="00806112" w:rsidRPr="001A0537" w:rsidRDefault="00806112" w:rsidP="00806112">
      <w:pPr>
        <w:pStyle w:val="Tekst"/>
      </w:pPr>
      <w:r>
        <w:t xml:space="preserve">He held the office of judge of the Court of Bosnia and Herzegovina. </w:t>
      </w:r>
    </w:p>
    <w:p w14:paraId="611248C3" w14:textId="77777777" w:rsidR="00806112" w:rsidRPr="001A0537" w:rsidRDefault="00806112" w:rsidP="00806112">
      <w:pPr>
        <w:pStyle w:val="Tekst"/>
        <w:rPr>
          <w:lang w:val="hr-BA"/>
        </w:rPr>
      </w:pPr>
    </w:p>
    <w:p w14:paraId="157E56C8" w14:textId="122DFFB6" w:rsidR="00806112" w:rsidRPr="001A0537" w:rsidRDefault="00806112" w:rsidP="00806112">
      <w:pPr>
        <w:pStyle w:val="Tekst"/>
        <w:rPr>
          <w:b/>
        </w:rPr>
      </w:pPr>
      <w:r>
        <w:rPr>
          <w:b/>
        </w:rPr>
        <w:t>Biljana Simeunović, Vice-President of the HJPC BiH</w:t>
      </w:r>
    </w:p>
    <w:p w14:paraId="2AD3E663" w14:textId="77777777" w:rsidR="00806112" w:rsidRPr="001A0537" w:rsidRDefault="00806112" w:rsidP="00806112">
      <w:pPr>
        <w:pStyle w:val="Tekst"/>
      </w:pPr>
      <w:r>
        <w:t>Mandate: November 2020 – November 2024</w:t>
      </w:r>
    </w:p>
    <w:p w14:paraId="1E3A327E" w14:textId="0C7FF219" w:rsidR="00806112" w:rsidRPr="001A0537" w:rsidRDefault="00806112" w:rsidP="00806112">
      <w:pPr>
        <w:pStyle w:val="Tekst"/>
      </w:pPr>
      <w:r>
        <w:t>The prosecutors of the Prosecutors Office of Bosnia and Herzegovina elected prosecutor Biljan</w:t>
      </w:r>
      <w:r w:rsidR="00C53890">
        <w:t>a</w:t>
      </w:r>
      <w:r>
        <w:t xml:space="preserve"> Simeunović to the HJPC BiH in October 2020. She was elected Vice-President of the HJPC BiH at the HJPC BiH session on 10 February, 2021. </w:t>
      </w:r>
    </w:p>
    <w:p w14:paraId="39AFCD09" w14:textId="77777777" w:rsidR="00806112" w:rsidRPr="001A0537" w:rsidRDefault="00806112" w:rsidP="00806112">
      <w:pPr>
        <w:pStyle w:val="Tekst"/>
      </w:pPr>
      <w:r>
        <w:t xml:space="preserve">She holds the office of prosecutor of the Prosecutors Office of Bosnia and Herzegovina. </w:t>
      </w:r>
    </w:p>
    <w:p w14:paraId="2859B421" w14:textId="77777777" w:rsidR="00806112" w:rsidRPr="001A0537" w:rsidRDefault="00806112" w:rsidP="00806112">
      <w:pPr>
        <w:pStyle w:val="Tekst"/>
        <w:rPr>
          <w:lang w:val="hr-BA"/>
        </w:rPr>
      </w:pPr>
    </w:p>
    <w:p w14:paraId="14601202" w14:textId="7DC6B6AC" w:rsidR="00806112" w:rsidRPr="001A0537" w:rsidRDefault="00806112" w:rsidP="00806112">
      <w:pPr>
        <w:pStyle w:val="Tekst"/>
        <w:rPr>
          <w:b/>
        </w:rPr>
      </w:pPr>
      <w:r>
        <w:rPr>
          <w:b/>
        </w:rPr>
        <w:t xml:space="preserve">Sanela Gorušanović Butigan, Vice-President of the HJPC BiH </w:t>
      </w:r>
    </w:p>
    <w:p w14:paraId="449F9D29" w14:textId="77777777" w:rsidR="00806112" w:rsidRPr="001A0537" w:rsidRDefault="00806112" w:rsidP="00806112">
      <w:pPr>
        <w:pStyle w:val="Tekst"/>
      </w:pPr>
      <w:r>
        <w:t xml:space="preserve">Mandate: June 2020 - June 2024 </w:t>
      </w:r>
    </w:p>
    <w:p w14:paraId="3A5CFDD8" w14:textId="05846212" w:rsidR="00806112" w:rsidRPr="001A0537" w:rsidRDefault="00806112" w:rsidP="00806112">
      <w:pPr>
        <w:pStyle w:val="Tekst"/>
      </w:pPr>
      <w:r>
        <w:t xml:space="preserve">The judges of the cantonal and municipal courts in the Federation of BiH elected judge Sanela Gorušanović Butigan to the HJPC BiH in June 2020. She was elected Vice-President of the HJPC BiH at the HJPC BiH session on 6 June 2020 and held the office until the termination of the mandate of the President of the HJPC BiH on 16 December 2020. She was re-elected for a second term as Vice-President of the HJPC BiH at the HJPC BiH session on 10 February, 2021. </w:t>
      </w:r>
    </w:p>
    <w:p w14:paraId="1C831A0B" w14:textId="77777777" w:rsidR="00806112" w:rsidRPr="001A0537" w:rsidRDefault="00806112" w:rsidP="00806112">
      <w:pPr>
        <w:pStyle w:val="Tekst"/>
      </w:pPr>
      <w:r>
        <w:t xml:space="preserve">She holds the office of judge of the Municipal Court in Sarajevo. </w:t>
      </w:r>
    </w:p>
    <w:p w14:paraId="6C8AD1EA" w14:textId="77777777" w:rsidR="00806112" w:rsidRPr="001A0537" w:rsidRDefault="00806112" w:rsidP="00806112">
      <w:pPr>
        <w:pStyle w:val="Tekst"/>
        <w:rPr>
          <w:lang w:val="hr-BA"/>
        </w:rPr>
      </w:pPr>
    </w:p>
    <w:p w14:paraId="24A3E782" w14:textId="74C24B92" w:rsidR="00806112" w:rsidRPr="001A0537" w:rsidRDefault="00806112" w:rsidP="00806112">
      <w:pPr>
        <w:pStyle w:val="Tekst"/>
        <w:rPr>
          <w:b/>
        </w:rPr>
      </w:pPr>
      <w:r>
        <w:rPr>
          <w:b/>
        </w:rPr>
        <w:t>Srđan Forca, member of the HJPC</w:t>
      </w:r>
      <w:r w:rsidR="000A3281">
        <w:rPr>
          <w:b/>
        </w:rPr>
        <w:t xml:space="preserve"> BiH</w:t>
      </w:r>
    </w:p>
    <w:p w14:paraId="3EF5367A" w14:textId="77777777" w:rsidR="00806112" w:rsidRPr="001A0537" w:rsidRDefault="00806112" w:rsidP="00806112">
      <w:pPr>
        <w:pStyle w:val="Tekst"/>
      </w:pPr>
      <w:r>
        <w:t>Mandate: February 2021 - February 2025</w:t>
      </w:r>
    </w:p>
    <w:p w14:paraId="6037AE66" w14:textId="50D64294" w:rsidR="00806112" w:rsidRPr="001A0537" w:rsidRDefault="00806112" w:rsidP="00806112">
      <w:pPr>
        <w:pStyle w:val="Tekst"/>
      </w:pPr>
      <w:r>
        <w:t>The judges of the district, basic, district commercial courts of Republika Srpska and the High Commercial Court in Banja Luka elected judge Srđan Forca as a member of the HJPC BiH in June, 2021.</w:t>
      </w:r>
    </w:p>
    <w:p w14:paraId="532A7537" w14:textId="77777777" w:rsidR="00806112" w:rsidRPr="001A0537" w:rsidRDefault="00806112" w:rsidP="00806112">
      <w:pPr>
        <w:pStyle w:val="Tekst"/>
      </w:pPr>
      <w:r>
        <w:t xml:space="preserve">He holds the office of judge of the District Court in Banja Luka. </w:t>
      </w:r>
    </w:p>
    <w:p w14:paraId="1EDFA9FB" w14:textId="241341C0" w:rsidR="00806112" w:rsidRPr="001A0537" w:rsidRDefault="00806112" w:rsidP="00806112">
      <w:pPr>
        <w:pStyle w:val="Tekst"/>
      </w:pPr>
      <w:r>
        <w:t xml:space="preserve">He was elected after </w:t>
      </w:r>
      <w:r>
        <w:rPr>
          <w:b/>
        </w:rPr>
        <w:t xml:space="preserve">Milan Tegeltija’s mandate to the HJPC BiH ended </w:t>
      </w:r>
    </w:p>
    <w:p w14:paraId="0588C459" w14:textId="77777777" w:rsidR="00806112" w:rsidRPr="001A0537" w:rsidRDefault="00806112" w:rsidP="00806112">
      <w:pPr>
        <w:pStyle w:val="Tekst"/>
      </w:pPr>
      <w:r>
        <w:t>Mandate: July 2018 - July 2022 His mandate ended in December 2020 subsequent to his resignation.</w:t>
      </w:r>
    </w:p>
    <w:p w14:paraId="6AE14CB7" w14:textId="339B21AA" w:rsidR="00806112" w:rsidRPr="001A0537" w:rsidRDefault="00806112" w:rsidP="00806112">
      <w:pPr>
        <w:pStyle w:val="Tekst"/>
      </w:pPr>
      <w:r>
        <w:t>The judges of the district, basic, district commercial courts of Republika Srpska and the High Commercial Court in Banja Luka elected judge Milan Tegeltija as a member of the HJPC in June, 2018.</w:t>
      </w:r>
    </w:p>
    <w:p w14:paraId="1ACF60DE" w14:textId="1B759767" w:rsidR="00806112" w:rsidRPr="001A0537" w:rsidRDefault="00806112" w:rsidP="00806112">
      <w:pPr>
        <w:pStyle w:val="Tekst"/>
        <w:rPr>
          <w:b/>
        </w:rPr>
      </w:pPr>
      <w:r>
        <w:rPr>
          <w:b/>
        </w:rPr>
        <w:t>Aleksandra Obradović, member of the HJPC BiH</w:t>
      </w:r>
    </w:p>
    <w:p w14:paraId="20C3E204" w14:textId="77777777" w:rsidR="00806112" w:rsidRPr="001A0537" w:rsidRDefault="00806112" w:rsidP="00806112">
      <w:pPr>
        <w:pStyle w:val="Tekst"/>
      </w:pPr>
      <w:r>
        <w:lastRenderedPageBreak/>
        <w:t>Mandate: June 2021 - June 2025</w:t>
      </w:r>
    </w:p>
    <w:p w14:paraId="15C2843B" w14:textId="3307B4A6" w:rsidR="00806112" w:rsidRPr="001A0537" w:rsidRDefault="00806112" w:rsidP="00806112">
      <w:pPr>
        <w:pStyle w:val="Tekst"/>
      </w:pPr>
      <w:r>
        <w:t xml:space="preserve">The Judicial Commission of the Brcko District BiH elected judge Aleksandra Obradović to the HJPC BiH in April 2021. </w:t>
      </w:r>
    </w:p>
    <w:p w14:paraId="62577791" w14:textId="05A6087F" w:rsidR="00806112" w:rsidRPr="001A0537" w:rsidRDefault="00713C0F" w:rsidP="00806112">
      <w:pPr>
        <w:pStyle w:val="Tekst"/>
      </w:pPr>
      <w:r>
        <w:t>Sh</w:t>
      </w:r>
      <w:r w:rsidR="00806112">
        <w:t xml:space="preserve">e holds the office of judge of the Basic Court of the Brcko District BiH. </w:t>
      </w:r>
    </w:p>
    <w:p w14:paraId="5092CEFD" w14:textId="25F0A832" w:rsidR="00806112" w:rsidRPr="001A0537" w:rsidRDefault="00713C0F" w:rsidP="00806112">
      <w:pPr>
        <w:pStyle w:val="Tekst"/>
      </w:pPr>
      <w:r>
        <w:t>Sh</w:t>
      </w:r>
      <w:r w:rsidR="00806112">
        <w:t xml:space="preserve">e was elected after </w:t>
      </w:r>
      <w:r w:rsidRPr="001A0537">
        <w:rPr>
          <w:b/>
          <w:lang w:val="hr-BA"/>
        </w:rPr>
        <w:t>Selim Karamehić</w:t>
      </w:r>
      <w:r w:rsidR="00806112">
        <w:rPr>
          <w:b/>
        </w:rPr>
        <w:t xml:space="preserve">’s mandate to the HJPC BiH ended </w:t>
      </w:r>
    </w:p>
    <w:p w14:paraId="2B1BAD88" w14:textId="77777777" w:rsidR="00806112" w:rsidRPr="001A0537" w:rsidRDefault="00806112" w:rsidP="00806112">
      <w:pPr>
        <w:pStyle w:val="Tekst"/>
      </w:pPr>
      <w:r>
        <w:t xml:space="preserve">Mandate: June 2017 - June 2021 </w:t>
      </w:r>
    </w:p>
    <w:p w14:paraId="5FDD0A47" w14:textId="63389FA9" w:rsidR="00806112" w:rsidRPr="001A0537" w:rsidRDefault="00806112" w:rsidP="00806112">
      <w:pPr>
        <w:pStyle w:val="Tekst"/>
      </w:pPr>
      <w:r>
        <w:t>The Judicial Commission of the Brcko District elected judge Selim Karamehic to the HJPC BiH in June 2017. He was elected to the position of HJPC BiH member to work full-time at the Council at the session on 25 October 2017 and he retained such status through to the end of the mandate of the HJPC BiH President on 16 December 2020.</w:t>
      </w:r>
    </w:p>
    <w:p w14:paraId="3DE037C2" w14:textId="0E51F209" w:rsidR="00806112" w:rsidRPr="001A0537" w:rsidRDefault="00806112" w:rsidP="00806112">
      <w:pPr>
        <w:pStyle w:val="Tekst"/>
      </w:pPr>
      <w:r>
        <w:t xml:space="preserve">He holds the office of judge of the Basic Court of the Brcko District BiH. </w:t>
      </w:r>
    </w:p>
    <w:p w14:paraId="5DC7F1E1" w14:textId="77777777" w:rsidR="00806112" w:rsidRPr="001A0537" w:rsidRDefault="00806112" w:rsidP="00806112">
      <w:pPr>
        <w:pStyle w:val="Tekst"/>
        <w:rPr>
          <w:lang w:val="hr-BA"/>
        </w:rPr>
      </w:pPr>
    </w:p>
    <w:p w14:paraId="5A972DDD" w14:textId="2D78A469" w:rsidR="00806112" w:rsidRPr="001A0537" w:rsidRDefault="00806112" w:rsidP="00806112">
      <w:pPr>
        <w:pStyle w:val="Tekst"/>
        <w:rPr>
          <w:b/>
        </w:rPr>
      </w:pPr>
      <w:r>
        <w:rPr>
          <w:b/>
        </w:rPr>
        <w:t xml:space="preserve">Mustafa Šabić, member of the HJPC BiH </w:t>
      </w:r>
    </w:p>
    <w:p w14:paraId="74C74B0D" w14:textId="77777777" w:rsidR="00806112" w:rsidRPr="001A0537" w:rsidRDefault="00806112" w:rsidP="00806112">
      <w:pPr>
        <w:pStyle w:val="Tekst"/>
      </w:pPr>
      <w:r>
        <w:t xml:space="preserve">Mandate: February 2021 - February 2025 </w:t>
      </w:r>
    </w:p>
    <w:p w14:paraId="1C9734C6" w14:textId="6C3D4836" w:rsidR="00806112" w:rsidRPr="001A0537" w:rsidRDefault="00806112" w:rsidP="00806112">
      <w:pPr>
        <w:pStyle w:val="Tekst"/>
      </w:pPr>
      <w:r>
        <w:t>The judges of the Supreme Court of the Federation of BiH elected judge Mustafa Šabić to the HJPC BiH in February 2020.</w:t>
      </w:r>
    </w:p>
    <w:p w14:paraId="6FD05DED" w14:textId="77777777" w:rsidR="00806112" w:rsidRPr="001A0537" w:rsidRDefault="00806112" w:rsidP="00806112">
      <w:pPr>
        <w:pStyle w:val="Tekst"/>
      </w:pPr>
      <w:r>
        <w:t>He holds the office of judge of the Supreme Court of FBiH.</w:t>
      </w:r>
    </w:p>
    <w:p w14:paraId="27B050AC" w14:textId="21D2831F" w:rsidR="00806112" w:rsidRPr="001A0537" w:rsidRDefault="00806112" w:rsidP="00806112">
      <w:pPr>
        <w:pStyle w:val="Tekst"/>
      </w:pPr>
      <w:r>
        <w:t xml:space="preserve">He was elected after </w:t>
      </w:r>
      <w:r>
        <w:rPr>
          <w:b/>
        </w:rPr>
        <w:t xml:space="preserve">Goran Nezirović’s, mandate as member of the HJPC BiH ended. </w:t>
      </w:r>
    </w:p>
    <w:p w14:paraId="3213AED3" w14:textId="77777777" w:rsidR="00806112" w:rsidRPr="001A0537" w:rsidRDefault="00806112" w:rsidP="00806112">
      <w:pPr>
        <w:pStyle w:val="Tekst"/>
      </w:pPr>
      <w:r>
        <w:t xml:space="preserve">Mandate: February 2017 - February 2021 (2nd mandate) </w:t>
      </w:r>
    </w:p>
    <w:p w14:paraId="3826B469" w14:textId="53F754CC" w:rsidR="00806112" w:rsidRPr="001A0537" w:rsidRDefault="00806112" w:rsidP="00806112">
      <w:pPr>
        <w:pStyle w:val="Tekst"/>
      </w:pPr>
      <w:r>
        <w:t xml:space="preserve">The judges of the Supreme Court of the Federation of BiH re-elected judge Goran Nezirovic to the HJPC BiH for a second term in February 2016. </w:t>
      </w:r>
    </w:p>
    <w:p w14:paraId="3FE3FF3B" w14:textId="77777777" w:rsidR="00806112" w:rsidRPr="001A0537" w:rsidRDefault="00806112" w:rsidP="00806112">
      <w:pPr>
        <w:pStyle w:val="Tekst"/>
      </w:pPr>
      <w:r>
        <w:t>He holds the office of judge of the Supreme Court of FBiH.</w:t>
      </w:r>
    </w:p>
    <w:p w14:paraId="28C3412B" w14:textId="77777777" w:rsidR="00806112" w:rsidRPr="001A0537" w:rsidRDefault="00806112" w:rsidP="00806112">
      <w:pPr>
        <w:pStyle w:val="Tekst"/>
        <w:rPr>
          <w:lang w:val="hr-BA"/>
        </w:rPr>
      </w:pPr>
    </w:p>
    <w:p w14:paraId="65A7D414" w14:textId="2B40B9B0" w:rsidR="00806112" w:rsidRPr="001A0537" w:rsidRDefault="00806112" w:rsidP="00806112">
      <w:pPr>
        <w:pStyle w:val="Tekst"/>
        <w:rPr>
          <w:b/>
        </w:rPr>
      </w:pPr>
      <w:r>
        <w:rPr>
          <w:b/>
        </w:rPr>
        <w:t xml:space="preserve">Jadranka Stanišić, member of the HJPC BiH </w:t>
      </w:r>
    </w:p>
    <w:p w14:paraId="727FEBB7" w14:textId="77777777" w:rsidR="00806112" w:rsidRPr="001A0537" w:rsidRDefault="00806112" w:rsidP="00806112">
      <w:pPr>
        <w:pStyle w:val="Tekst"/>
      </w:pPr>
      <w:r>
        <w:t>Mandate: September 2019 - September 2023</w:t>
      </w:r>
    </w:p>
    <w:p w14:paraId="3082AD43" w14:textId="4820027F" w:rsidR="00806112" w:rsidRPr="001A0537" w:rsidRDefault="00806112" w:rsidP="00806112">
      <w:pPr>
        <w:pStyle w:val="Tekst"/>
      </w:pPr>
      <w:r>
        <w:t>The judges of the Supreme Court of Republika Srpska elected judge Jadranka Stanišić to the HJPC</w:t>
      </w:r>
      <w:r w:rsidR="00713C0F">
        <w:t xml:space="preserve"> BiH</w:t>
      </w:r>
      <w:r>
        <w:t xml:space="preserve"> in September 2019. </w:t>
      </w:r>
    </w:p>
    <w:p w14:paraId="203DBED4" w14:textId="77777777" w:rsidR="00806112" w:rsidRPr="001A0537" w:rsidRDefault="00806112" w:rsidP="00806112">
      <w:pPr>
        <w:pStyle w:val="Tekst"/>
      </w:pPr>
      <w:r>
        <w:t xml:space="preserve">She holds the office of judge of the Supreme Court of Republika Srpska. </w:t>
      </w:r>
    </w:p>
    <w:p w14:paraId="7BCE9C89" w14:textId="77777777" w:rsidR="00806112" w:rsidRPr="001A0537" w:rsidRDefault="00806112" w:rsidP="00806112">
      <w:pPr>
        <w:pStyle w:val="Tekst"/>
        <w:rPr>
          <w:b/>
          <w:lang w:val="hr-BA"/>
        </w:rPr>
      </w:pPr>
    </w:p>
    <w:p w14:paraId="40582596" w14:textId="54100150" w:rsidR="00806112" w:rsidRPr="001A0537" w:rsidRDefault="00806112" w:rsidP="00806112">
      <w:pPr>
        <w:pStyle w:val="Tekst"/>
        <w:rPr>
          <w:b/>
        </w:rPr>
      </w:pPr>
      <w:r>
        <w:rPr>
          <w:b/>
        </w:rPr>
        <w:t xml:space="preserve">Slavo Lakic, member of the HJPC BiH </w:t>
      </w:r>
    </w:p>
    <w:p w14:paraId="10A6C20A" w14:textId="77777777" w:rsidR="00806112" w:rsidRPr="001A0537" w:rsidRDefault="00806112" w:rsidP="00806112">
      <w:pPr>
        <w:pStyle w:val="Tekst"/>
      </w:pPr>
      <w:r>
        <w:t xml:space="preserve">Mandate: July 2018 - July 2022 (2nd mandate) </w:t>
      </w:r>
    </w:p>
    <w:p w14:paraId="686EA53D" w14:textId="0C65D925" w:rsidR="00806112" w:rsidRPr="001A0537" w:rsidRDefault="00806112" w:rsidP="00806112">
      <w:pPr>
        <w:pStyle w:val="Tekst"/>
      </w:pPr>
      <w:r>
        <w:t xml:space="preserve">The prosecutors of the Federal Prosecutors Office of FBiH re-elected prosecutor Slavo Lakic to the HJPC BiH for a second term in May, 2018. </w:t>
      </w:r>
    </w:p>
    <w:p w14:paraId="77C60A6B" w14:textId="77777777" w:rsidR="00806112" w:rsidRPr="001A0537" w:rsidRDefault="00806112" w:rsidP="00806112">
      <w:pPr>
        <w:pStyle w:val="Tekst"/>
      </w:pPr>
      <w:r>
        <w:lastRenderedPageBreak/>
        <w:t xml:space="preserve">He holds the office of prosecutor of the Federal Prosecutors Office of FBiH. </w:t>
      </w:r>
    </w:p>
    <w:p w14:paraId="038AB558" w14:textId="77777777" w:rsidR="00806112" w:rsidRPr="001A0537" w:rsidRDefault="00806112" w:rsidP="00806112">
      <w:pPr>
        <w:pStyle w:val="Tekst"/>
        <w:rPr>
          <w:lang w:val="hr-BA"/>
        </w:rPr>
      </w:pPr>
    </w:p>
    <w:p w14:paraId="7B5B97DA" w14:textId="565079A9" w:rsidR="00806112" w:rsidRPr="001A0537" w:rsidRDefault="00806112" w:rsidP="00806112">
      <w:pPr>
        <w:pStyle w:val="Tekst"/>
        <w:rPr>
          <w:b/>
        </w:rPr>
      </w:pPr>
      <w:r>
        <w:rPr>
          <w:b/>
        </w:rPr>
        <w:t xml:space="preserve">Snježana Petković, member of the HJPC BiH </w:t>
      </w:r>
    </w:p>
    <w:p w14:paraId="03DD90D1" w14:textId="77777777" w:rsidR="00806112" w:rsidRPr="001A0537" w:rsidRDefault="00806112" w:rsidP="00806112">
      <w:pPr>
        <w:pStyle w:val="Tekst"/>
      </w:pPr>
      <w:r>
        <w:t>Mandate: September 2021 - September 2025</w:t>
      </w:r>
    </w:p>
    <w:p w14:paraId="660956E6" w14:textId="0A2441D3" w:rsidR="00806112" w:rsidRPr="001A0537" w:rsidRDefault="00806112" w:rsidP="00806112">
      <w:pPr>
        <w:pStyle w:val="Tekst"/>
      </w:pPr>
      <w:r>
        <w:t>The prosecutors of the Republic Prosecutors Office of Republika Srpska elected prosecutor Snježana Petković to the HJPC BiH in August 20</w:t>
      </w:r>
      <w:r w:rsidR="00713C0F">
        <w:t>21</w:t>
      </w:r>
      <w:r>
        <w:t xml:space="preserve">. </w:t>
      </w:r>
    </w:p>
    <w:p w14:paraId="0F579F82" w14:textId="74F474A5" w:rsidR="00806112" w:rsidRPr="001A0537" w:rsidRDefault="00806112" w:rsidP="00806112">
      <w:pPr>
        <w:pStyle w:val="Tekst"/>
      </w:pPr>
      <w:r>
        <w:t>She holds the office of prosecutor of the Republic Prosecutors Office of Republika Srpska.</w:t>
      </w:r>
    </w:p>
    <w:p w14:paraId="2F8EEB8F" w14:textId="61877ACA" w:rsidR="00806112" w:rsidRPr="001A0537" w:rsidRDefault="00806112" w:rsidP="00806112">
      <w:pPr>
        <w:pStyle w:val="Tekst"/>
      </w:pPr>
      <w:r>
        <w:t xml:space="preserve">She was elected after </w:t>
      </w:r>
      <w:r>
        <w:rPr>
          <w:b/>
        </w:rPr>
        <w:t xml:space="preserve">Mahmut Švraka’s mandate as member of the HJPC BiH ended. </w:t>
      </w:r>
    </w:p>
    <w:p w14:paraId="18EFA2AB" w14:textId="77777777" w:rsidR="00806112" w:rsidRPr="001A0537" w:rsidRDefault="00806112" w:rsidP="00806112">
      <w:pPr>
        <w:pStyle w:val="Tekst"/>
      </w:pPr>
      <w:r>
        <w:t xml:space="preserve">Mandate: September 2017 - September 2021 (2nd mandate) </w:t>
      </w:r>
    </w:p>
    <w:p w14:paraId="3C404C2B" w14:textId="19B4CC72" w:rsidR="00806112" w:rsidRPr="001A0537" w:rsidRDefault="00806112" w:rsidP="00806112">
      <w:pPr>
        <w:pStyle w:val="Tekst"/>
      </w:pPr>
      <w:r>
        <w:t xml:space="preserve">The prosecutors of the Republic Prosecutors Office of Republika Srpska re-elected prosecutor Mahmut Svraka to the HJPC BiH for a second term in September 2017. </w:t>
      </w:r>
    </w:p>
    <w:p w14:paraId="09B6E37E" w14:textId="77777777" w:rsidR="00806112" w:rsidRPr="001A0537" w:rsidRDefault="00806112" w:rsidP="00806112">
      <w:pPr>
        <w:pStyle w:val="Tekst"/>
        <w:rPr>
          <w:lang w:val="hr-BA"/>
        </w:rPr>
      </w:pPr>
    </w:p>
    <w:p w14:paraId="48421265" w14:textId="77777777" w:rsidR="00806112" w:rsidRPr="001A0537" w:rsidRDefault="00806112" w:rsidP="00806112">
      <w:pPr>
        <w:pStyle w:val="Tekst"/>
      </w:pPr>
      <w:r>
        <w:t xml:space="preserve">He holds the office of chief prosecutor of the Republic Prosecutors Office of Republika Srpska. </w:t>
      </w:r>
    </w:p>
    <w:p w14:paraId="29C87A52" w14:textId="77777777" w:rsidR="00806112" w:rsidRPr="001A0537" w:rsidRDefault="00806112" w:rsidP="00806112">
      <w:pPr>
        <w:pStyle w:val="Tekst"/>
        <w:rPr>
          <w:lang w:val="hr-BA"/>
        </w:rPr>
      </w:pPr>
    </w:p>
    <w:p w14:paraId="0B095629" w14:textId="50BBA6B5" w:rsidR="00806112" w:rsidRPr="001A0537" w:rsidRDefault="00806112" w:rsidP="00806112">
      <w:pPr>
        <w:pStyle w:val="Tekst"/>
        <w:rPr>
          <w:b/>
        </w:rPr>
      </w:pPr>
      <w:r>
        <w:rPr>
          <w:b/>
        </w:rPr>
        <w:t xml:space="preserve">Sanin Bogunić, member of the HJPC BiH </w:t>
      </w:r>
    </w:p>
    <w:p w14:paraId="003B297B" w14:textId="77777777" w:rsidR="00806112" w:rsidRPr="001A0537" w:rsidRDefault="00806112" w:rsidP="00806112">
      <w:pPr>
        <w:pStyle w:val="Tekst"/>
      </w:pPr>
      <w:r>
        <w:t xml:space="preserve">Mandate: September 2021 - September 2025 </w:t>
      </w:r>
    </w:p>
    <w:p w14:paraId="78B30B34" w14:textId="51A1F897" w:rsidR="00806112" w:rsidRPr="001A0537" w:rsidRDefault="00806112" w:rsidP="00806112">
      <w:pPr>
        <w:pStyle w:val="Tekst"/>
      </w:pPr>
      <w:r>
        <w:t>The prosecutors of the cantonal prosecutors offices in the Federation of BiH elected prosecutor Sanin Bogunić to the HJPC BiH in July 2021. He was elected to the position of HJPC BiH member to work full-time at the HJPC BiH at the session on 8 September, 2021.</w:t>
      </w:r>
    </w:p>
    <w:p w14:paraId="07C1BA97" w14:textId="3E169154" w:rsidR="00806112" w:rsidRPr="001A0537" w:rsidRDefault="00806112" w:rsidP="00806112">
      <w:pPr>
        <w:pStyle w:val="Tekst"/>
      </w:pPr>
      <w:r>
        <w:t xml:space="preserve">He holds the office of </w:t>
      </w:r>
      <w:r w:rsidR="008C1CA7">
        <w:t>p</w:t>
      </w:r>
      <w:r>
        <w:t xml:space="preserve">rosecutor of the Cantonal Prosecutors Office of the Sarajevo Canton. </w:t>
      </w:r>
    </w:p>
    <w:p w14:paraId="2E1FD58C" w14:textId="41648F3C" w:rsidR="00806112" w:rsidRPr="001A0537" w:rsidRDefault="00806112" w:rsidP="00806112">
      <w:pPr>
        <w:pStyle w:val="Tekst"/>
      </w:pPr>
      <w:r>
        <w:t xml:space="preserve">He was elected after </w:t>
      </w:r>
      <w:r>
        <w:rPr>
          <w:b/>
        </w:rPr>
        <w:t xml:space="preserve">Berina Alihodžić’s mandate to the HJPC BiH ended </w:t>
      </w:r>
    </w:p>
    <w:p w14:paraId="16503986" w14:textId="77777777" w:rsidR="00806112" w:rsidRPr="001A0537" w:rsidRDefault="00806112" w:rsidP="00806112">
      <w:pPr>
        <w:pStyle w:val="Tekst"/>
      </w:pPr>
      <w:r>
        <w:t xml:space="preserve">Mandate: September 2017 - September 2021 </w:t>
      </w:r>
    </w:p>
    <w:p w14:paraId="1EBB7F1B" w14:textId="6C4A3F11" w:rsidR="00806112" w:rsidRPr="001A0537" w:rsidRDefault="00806112" w:rsidP="00806112">
      <w:pPr>
        <w:pStyle w:val="Tekst"/>
      </w:pPr>
      <w:r>
        <w:t xml:space="preserve">The prosecutors of the cantonal prosecutors offices in the Federation of BiH elected prosecutor Berina Alihodzic to the HJPC BiH in June 2017. </w:t>
      </w:r>
    </w:p>
    <w:p w14:paraId="1A07F5D8" w14:textId="77777777" w:rsidR="00806112" w:rsidRPr="001A0537" w:rsidRDefault="00806112" w:rsidP="00806112">
      <w:pPr>
        <w:pStyle w:val="Tekst"/>
      </w:pPr>
      <w:r>
        <w:t xml:space="preserve">She holds the office of Deputy Chief Prosecutor of the Cantonal Prosecutors Office of the Sarajevo Canton. </w:t>
      </w:r>
    </w:p>
    <w:p w14:paraId="3E6F1A70" w14:textId="77777777" w:rsidR="00806112" w:rsidRPr="001A0537" w:rsidRDefault="00806112" w:rsidP="00806112">
      <w:pPr>
        <w:pStyle w:val="Tekst"/>
        <w:rPr>
          <w:lang w:val="hr-BA"/>
        </w:rPr>
      </w:pPr>
    </w:p>
    <w:p w14:paraId="475612A7" w14:textId="6021BE0B" w:rsidR="00806112" w:rsidRPr="001A0537" w:rsidRDefault="00806112" w:rsidP="00806112">
      <w:pPr>
        <w:pStyle w:val="Tekst"/>
        <w:rPr>
          <w:b/>
        </w:rPr>
      </w:pPr>
      <w:r>
        <w:rPr>
          <w:b/>
        </w:rPr>
        <w:t xml:space="preserve">Zeljka Radović, member of the HJPC BiH </w:t>
      </w:r>
    </w:p>
    <w:p w14:paraId="4C1673F3" w14:textId="77777777" w:rsidR="00806112" w:rsidRPr="001A0537" w:rsidRDefault="00806112" w:rsidP="00806112">
      <w:pPr>
        <w:pStyle w:val="Tekst"/>
      </w:pPr>
      <w:r>
        <w:t>Mandate: April 2019 - April 2023 (2nd mandate)</w:t>
      </w:r>
    </w:p>
    <w:p w14:paraId="146AFE9B" w14:textId="07C561F7" w:rsidR="00806112" w:rsidRPr="001A0537" w:rsidRDefault="00806112" w:rsidP="00806112">
      <w:pPr>
        <w:pStyle w:val="Tekst"/>
      </w:pPr>
      <w:r>
        <w:t xml:space="preserve">The prosecutors of the district public prosecutors offices in Republika Srpska re-elected prosecutor Zeljka Radovic to the HJPC BiH for a second term in April 2019. </w:t>
      </w:r>
    </w:p>
    <w:p w14:paraId="67B6452A" w14:textId="77777777" w:rsidR="00806112" w:rsidRPr="001A0537" w:rsidRDefault="00806112" w:rsidP="00806112">
      <w:pPr>
        <w:pStyle w:val="Tekst"/>
      </w:pPr>
      <w:r>
        <w:t xml:space="preserve">She holds the office of chief prosecutor of the District Public Prosecutors Office in Doboj. </w:t>
      </w:r>
    </w:p>
    <w:p w14:paraId="568859B0" w14:textId="77777777" w:rsidR="00806112" w:rsidRPr="001A0537" w:rsidRDefault="00806112" w:rsidP="00806112">
      <w:pPr>
        <w:pStyle w:val="Tekst"/>
        <w:rPr>
          <w:lang w:val="hr-BA"/>
        </w:rPr>
      </w:pPr>
    </w:p>
    <w:p w14:paraId="47E59153" w14:textId="04C4D146" w:rsidR="00806112" w:rsidRPr="001A0537" w:rsidRDefault="00806112" w:rsidP="00806112">
      <w:pPr>
        <w:pStyle w:val="Tekst"/>
        <w:rPr>
          <w:b/>
        </w:rPr>
      </w:pPr>
      <w:r>
        <w:rPr>
          <w:b/>
        </w:rPr>
        <w:lastRenderedPageBreak/>
        <w:t>Duška Bogojević, member of the HJPC</w:t>
      </w:r>
      <w:r w:rsidR="008C1CA7">
        <w:rPr>
          <w:b/>
        </w:rPr>
        <w:t xml:space="preserve"> BiH</w:t>
      </w:r>
      <w:r>
        <w:rPr>
          <w:b/>
        </w:rPr>
        <w:t xml:space="preserve"> </w:t>
      </w:r>
    </w:p>
    <w:p w14:paraId="4D04F591" w14:textId="77777777" w:rsidR="00806112" w:rsidRPr="001A0537" w:rsidRDefault="00806112" w:rsidP="00806112">
      <w:pPr>
        <w:pStyle w:val="Tekst"/>
      </w:pPr>
      <w:r>
        <w:t xml:space="preserve">Mandate: July 2019 - July 2023 </w:t>
      </w:r>
    </w:p>
    <w:p w14:paraId="524DA267" w14:textId="12AA7829" w:rsidR="00806112" w:rsidRPr="001A0537" w:rsidRDefault="00806112" w:rsidP="00806112">
      <w:pPr>
        <w:pStyle w:val="Tekst"/>
      </w:pPr>
      <w:r>
        <w:t xml:space="preserve">The Bar Association of Republika Srpska elected attorney Duška Bogojević to the HJPC in July 2019. </w:t>
      </w:r>
    </w:p>
    <w:p w14:paraId="075C2462" w14:textId="77777777" w:rsidR="00806112" w:rsidRPr="001A0537" w:rsidRDefault="00806112" w:rsidP="00806112">
      <w:pPr>
        <w:pStyle w:val="Tekst"/>
      </w:pPr>
      <w:r>
        <w:t xml:space="preserve">She works as an attorney at a law practice in Banja Luka. </w:t>
      </w:r>
    </w:p>
    <w:p w14:paraId="74EC8AB5" w14:textId="77777777" w:rsidR="00806112" w:rsidRPr="001A0537" w:rsidRDefault="00806112" w:rsidP="00806112">
      <w:pPr>
        <w:pStyle w:val="Tekst"/>
        <w:rPr>
          <w:highlight w:val="yellow"/>
          <w:lang w:val="hr-BA"/>
        </w:rPr>
      </w:pPr>
    </w:p>
    <w:p w14:paraId="31922A0E" w14:textId="596778F0" w:rsidR="00806112" w:rsidRPr="001A0537" w:rsidRDefault="00806112" w:rsidP="00806112">
      <w:pPr>
        <w:pStyle w:val="Tekst"/>
      </w:pPr>
      <w:r>
        <w:rPr>
          <w:b/>
        </w:rPr>
        <w:t>Amila Kunosic, member of the HJPC</w:t>
      </w:r>
      <w:r w:rsidR="008C1CA7">
        <w:rPr>
          <w:b/>
        </w:rPr>
        <w:t xml:space="preserve"> BiH</w:t>
      </w:r>
      <w:r>
        <w:rPr>
          <w:b/>
        </w:rPr>
        <w:t xml:space="preserve"> </w:t>
      </w:r>
    </w:p>
    <w:p w14:paraId="4F642EEE" w14:textId="77777777" w:rsidR="00806112" w:rsidRPr="001A0537" w:rsidRDefault="00806112" w:rsidP="00806112">
      <w:pPr>
        <w:pStyle w:val="Tekst"/>
      </w:pPr>
      <w:r>
        <w:t>Mandate: January 2017 - January 2021 (1st mandate) &amp; January 2021 - January 2025 (2nd mandate)</w:t>
      </w:r>
    </w:p>
    <w:p w14:paraId="5169441D" w14:textId="6BC461E6" w:rsidR="00806112" w:rsidRPr="001A0537" w:rsidRDefault="00806112" w:rsidP="00806112">
      <w:pPr>
        <w:pStyle w:val="Tekst"/>
      </w:pPr>
      <w:r>
        <w:t>The Assembly of the Bar Association of the Federation of BiH elected attorney Amila Kunosic to the HJPC in December 2016 and to a 2nd mandate in December 2020.</w:t>
      </w:r>
    </w:p>
    <w:p w14:paraId="4E66FCB4" w14:textId="4FB87FFF" w:rsidR="00806112" w:rsidRPr="001A0537" w:rsidRDefault="00806112" w:rsidP="00806112">
      <w:pPr>
        <w:pStyle w:val="Tekst"/>
      </w:pPr>
      <w:r>
        <w:t>She works as an attorney at a law practice in Tuzla.</w:t>
      </w:r>
    </w:p>
    <w:p w14:paraId="5FF95C02" w14:textId="77777777" w:rsidR="00806112" w:rsidRPr="001A0537" w:rsidRDefault="00806112" w:rsidP="00806112">
      <w:pPr>
        <w:pStyle w:val="Tekst"/>
        <w:rPr>
          <w:sz w:val="24"/>
          <w:lang w:val="hr-BA"/>
        </w:rPr>
      </w:pPr>
    </w:p>
    <w:p w14:paraId="7C4B91AA" w14:textId="06430906" w:rsidR="00806112" w:rsidRPr="001A0537" w:rsidRDefault="00806112" w:rsidP="00806112">
      <w:pPr>
        <w:pStyle w:val="Tekst"/>
        <w:rPr>
          <w:b/>
        </w:rPr>
      </w:pPr>
      <w:r>
        <w:rPr>
          <w:b/>
        </w:rPr>
        <w:t>Davor Martinović, member of the HJPC</w:t>
      </w:r>
      <w:r w:rsidR="008C1CA7">
        <w:rPr>
          <w:b/>
        </w:rPr>
        <w:t xml:space="preserve"> BiH</w:t>
      </w:r>
      <w:r>
        <w:rPr>
          <w:b/>
        </w:rPr>
        <w:t xml:space="preserve"> </w:t>
      </w:r>
    </w:p>
    <w:p w14:paraId="7A2017E5" w14:textId="77777777" w:rsidR="00806112" w:rsidRPr="001A0537" w:rsidRDefault="00806112" w:rsidP="00806112">
      <w:pPr>
        <w:pStyle w:val="Tekst"/>
      </w:pPr>
      <w:r>
        <w:t xml:space="preserve">Mandate: February 2021 - February 2025 </w:t>
      </w:r>
    </w:p>
    <w:p w14:paraId="3C41B72F" w14:textId="4587FA0C" w:rsidR="00806112" w:rsidRPr="001A0537" w:rsidRDefault="00806112" w:rsidP="00806112">
      <w:pPr>
        <w:pStyle w:val="Tekst"/>
      </w:pPr>
      <w:r>
        <w:t xml:space="preserve">The Council of Ministers of BiH elected Davor Martinović to the HJPC BiH in January 2021. </w:t>
      </w:r>
    </w:p>
    <w:p w14:paraId="401D5DD1" w14:textId="77777777" w:rsidR="00806112" w:rsidRPr="001A0537" w:rsidRDefault="00806112" w:rsidP="00806112">
      <w:pPr>
        <w:pStyle w:val="Tekst"/>
      </w:pPr>
      <w:r>
        <w:t xml:space="preserve">He works as an attorney at a law practice in Mostar. </w:t>
      </w:r>
    </w:p>
    <w:p w14:paraId="41A4E94D" w14:textId="18FD7729" w:rsidR="00806112" w:rsidRPr="001A0537" w:rsidRDefault="00806112" w:rsidP="00806112">
      <w:pPr>
        <w:pStyle w:val="Tekst"/>
      </w:pPr>
      <w:r>
        <w:t xml:space="preserve">He was elected after </w:t>
      </w:r>
      <w:r>
        <w:rPr>
          <w:b/>
        </w:rPr>
        <w:t xml:space="preserve">Monike Mijić’s mandate to the HJPC BiH ended </w:t>
      </w:r>
    </w:p>
    <w:p w14:paraId="6E9708A9" w14:textId="77777777" w:rsidR="00806112" w:rsidRPr="001A0537" w:rsidRDefault="00806112" w:rsidP="00806112">
      <w:pPr>
        <w:pStyle w:val="Tekst"/>
      </w:pPr>
      <w:r>
        <w:t xml:space="preserve">Mandate: December 2016 - December 2020 </w:t>
      </w:r>
    </w:p>
    <w:p w14:paraId="3334257E" w14:textId="27B393B8" w:rsidR="00806112" w:rsidRPr="001A0537" w:rsidRDefault="00806112" w:rsidP="00806112">
      <w:pPr>
        <w:pStyle w:val="Tekst"/>
      </w:pPr>
      <w:r>
        <w:t>The Council of Ministers of BiH elected Monika Mijic to the HJPC BiH in December 2016.</w:t>
      </w:r>
    </w:p>
    <w:p w14:paraId="728F3467" w14:textId="77777777" w:rsidR="00806112" w:rsidRPr="001A0537" w:rsidRDefault="00806112" w:rsidP="00806112">
      <w:pPr>
        <w:pStyle w:val="Tekst"/>
        <w:rPr>
          <w:b/>
          <w:lang w:val="hr-BA"/>
        </w:rPr>
      </w:pPr>
    </w:p>
    <w:p w14:paraId="7ADA4741" w14:textId="37ABD535" w:rsidR="00806112" w:rsidRPr="001A0537" w:rsidRDefault="00806112" w:rsidP="00806112">
      <w:pPr>
        <w:pStyle w:val="Tekst"/>
        <w:rPr>
          <w:b/>
        </w:rPr>
      </w:pPr>
      <w:r>
        <w:rPr>
          <w:b/>
        </w:rPr>
        <w:t xml:space="preserve">Lejla Hadžić, member of the HJPC BiH </w:t>
      </w:r>
    </w:p>
    <w:p w14:paraId="22EC81ED" w14:textId="77777777" w:rsidR="00806112" w:rsidRPr="001A0537" w:rsidRDefault="00806112" w:rsidP="00806112">
      <w:pPr>
        <w:pStyle w:val="Tekst"/>
      </w:pPr>
      <w:r>
        <w:t xml:space="preserve">Mandate: October 2020 - October 2024 </w:t>
      </w:r>
    </w:p>
    <w:p w14:paraId="66411792" w14:textId="3F0DED00" w:rsidR="00806112" w:rsidRPr="001A0537" w:rsidRDefault="00806112" w:rsidP="00806112">
      <w:pPr>
        <w:pStyle w:val="Tekst"/>
      </w:pPr>
      <w:r>
        <w:t xml:space="preserve">The House of Representatives of the Parliamentary Assembly of BiH elected </w:t>
      </w:r>
      <w:r w:rsidR="008C1CA7" w:rsidRPr="008C1CA7">
        <w:t>Lejla Hadžić</w:t>
      </w:r>
      <w:r>
        <w:t xml:space="preserve"> to the HJPC BiH in July 2020. </w:t>
      </w:r>
    </w:p>
    <w:p w14:paraId="6A3217E6" w14:textId="77777777" w:rsidR="00806112" w:rsidRPr="001A0537" w:rsidRDefault="00806112" w:rsidP="00806112">
      <w:pPr>
        <w:pStyle w:val="Tekst"/>
      </w:pPr>
      <w:r>
        <w:t>She is the Chief of Cabinet of the Deputy Minister of Justice for the House of Representatives of the Parliamentary Assembly of BiH.</w:t>
      </w:r>
    </w:p>
    <w:p w14:paraId="1ECBC6EC" w14:textId="6D1A335F" w:rsidR="00944DE3" w:rsidRPr="001A0537" w:rsidRDefault="001D69E6" w:rsidP="00146635">
      <w:pPr>
        <w:pStyle w:val="DRUGINASLOV"/>
      </w:pPr>
      <w:bookmarkStart w:id="7" w:name="_Toc97722040"/>
      <w:bookmarkStart w:id="8" w:name="_Toc112852404"/>
      <w:r>
        <w:t>HJPC BiH Organisational Chart</w:t>
      </w:r>
      <w:bookmarkEnd w:id="6"/>
      <w:bookmarkEnd w:id="7"/>
      <w:bookmarkEnd w:id="8"/>
    </w:p>
    <w:p w14:paraId="0A9B0296" w14:textId="77777777" w:rsidR="00806112" w:rsidRPr="001A0537" w:rsidRDefault="00806112" w:rsidP="00806112">
      <w:pPr>
        <w:pStyle w:val="DRUGINASLOV"/>
        <w:rPr>
          <w:lang w:val="hr-BA"/>
        </w:rPr>
      </w:pPr>
    </w:p>
    <w:p w14:paraId="77BEE677" w14:textId="77777777" w:rsidR="00806112" w:rsidRPr="001A0537" w:rsidRDefault="00806112" w:rsidP="00806112">
      <w:pPr>
        <w:spacing w:after="200" w:line="276" w:lineRule="auto"/>
        <w:rPr>
          <w:rFonts w:eastAsia="Calibri" w:cs="Arial"/>
          <w:color w:val="403152" w:themeColor="accent4" w:themeShade="80"/>
        </w:rPr>
      </w:pPr>
      <w:r>
        <w:rPr>
          <w:noProof/>
          <w:lang w:val="bs-Latn-BA" w:eastAsia="bs-Latn-BA"/>
        </w:rPr>
        <w:lastRenderedPageBreak/>
        <mc:AlternateContent>
          <mc:Choice Requires="wpg">
            <w:drawing>
              <wp:anchor distT="0" distB="0" distL="114300" distR="114300" simplePos="0" relativeHeight="251659264" behindDoc="0" locked="0" layoutInCell="1" allowOverlap="1" wp14:anchorId="4F9D5BA0" wp14:editId="62D0F698">
                <wp:simplePos x="0" y="0"/>
                <wp:positionH relativeFrom="margin">
                  <wp:posOffset>153442</wp:posOffset>
                </wp:positionH>
                <wp:positionV relativeFrom="paragraph">
                  <wp:posOffset>2815842</wp:posOffset>
                </wp:positionV>
                <wp:extent cx="5003046" cy="2084400"/>
                <wp:effectExtent l="57150" t="57150" r="64770" b="68580"/>
                <wp:wrapNone/>
                <wp:docPr id="249" name="Group 249"/>
                <wp:cNvGraphicFramePr/>
                <a:graphic xmlns:a="http://schemas.openxmlformats.org/drawingml/2006/main">
                  <a:graphicData uri="http://schemas.microsoft.com/office/word/2010/wordprocessingGroup">
                    <wpg:wgp>
                      <wpg:cNvGrpSpPr/>
                      <wpg:grpSpPr>
                        <a:xfrm>
                          <a:off x="0" y="0"/>
                          <a:ext cx="5003046" cy="2084400"/>
                          <a:chOff x="0" y="0"/>
                          <a:chExt cx="5270740" cy="2084400"/>
                        </a:xfrm>
                      </wpg:grpSpPr>
                      <wps:wsp>
                        <wps:cNvPr id="235" name="Rounded Rectangle 235"/>
                        <wps:cNvSpPr/>
                        <wps:spPr>
                          <a:xfrm>
                            <a:off x="0" y="0"/>
                            <a:ext cx="379563" cy="2084070"/>
                          </a:xfrm>
                          <a:prstGeom prst="roundRect">
                            <a:avLst/>
                          </a:prstGeom>
                          <a:solidFill>
                            <a:srgbClr val="4F81BD">
                              <a:lumMod val="40000"/>
                              <a:lumOff val="60000"/>
                            </a:srgbClr>
                          </a:solidFill>
                          <a:ln w="25400" cap="flat" cmpd="sng" algn="ctr">
                            <a:solidFill>
                              <a:srgbClr val="4F81BD">
                                <a:shade val="50000"/>
                              </a:srgbClr>
                            </a:solidFill>
                            <a:prstDash val="solid"/>
                          </a:ln>
                          <a:effectLst/>
                          <a:scene3d>
                            <a:camera prst="obliqueTopLeft"/>
                            <a:lightRig rig="threePt" dir="t"/>
                          </a:scene3d>
                          <a:sp3d/>
                        </wps:spPr>
                        <wps:txbx>
                          <w:txbxContent>
                            <w:p w14:paraId="2F28EA52"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Judicial Integrity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36" name="Rounded Rectangle 236"/>
                        <wps:cNvSpPr/>
                        <wps:spPr>
                          <a:xfrm>
                            <a:off x="491706"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7C555175"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(Judicial Analytics and Reporting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37" name="Rounded Rectangle 237"/>
                        <wps:cNvSpPr/>
                        <wps:spPr>
                          <a:xfrm>
                            <a:off x="983411"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0508973C"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Improving Court Efficiency and Quality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38" name="Rounded Rectangle 238"/>
                        <wps:cNvSpPr/>
                        <wps:spPr>
                          <a:xfrm>
                            <a:off x="1457864" y="0"/>
                            <a:ext cx="379563" cy="208440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1CA0C050"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Department for Improving the Efficiency and Quality of Prosecutors Offices</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39" name="Rounded Rectangle 239"/>
                        <wps:cNvSpPr/>
                        <wps:spPr>
                          <a:xfrm>
                            <a:off x="1958196"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08AB47B8"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Appointments and Promotions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40" name="Rounded Rectangle 240"/>
                        <wps:cNvSpPr/>
                        <wps:spPr>
                          <a:xfrm>
                            <a:off x="2441276"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2C385D28"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Judicial Documentation and Training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44" name="Rounded Rectangle 244"/>
                        <wps:cNvSpPr/>
                        <wps:spPr>
                          <a:xfrm>
                            <a:off x="2932981"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703081C2"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European Integrations and Strategic Planning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45" name="Rounded Rectangle 245"/>
                        <wps:cNvSpPr/>
                        <wps:spPr>
                          <a:xfrm>
                            <a:off x="3916393"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588564F6"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Information &amp; Communication Technology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46" name="Rounded Rectangle 246"/>
                        <wps:cNvSpPr/>
                        <wps:spPr>
                          <a:xfrm>
                            <a:off x="3424687"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780B3D53"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Legal Affairs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47" name="Rounded Rectangle 247"/>
                        <wps:cNvSpPr/>
                        <wps:spPr>
                          <a:xfrm>
                            <a:off x="4399472"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47758505"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Finance &amp; Accounting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s:wsp>
                        <wps:cNvPr id="248" name="Rounded Rectangle 248"/>
                        <wps:cNvSpPr/>
                        <wps:spPr>
                          <a:xfrm>
                            <a:off x="4891177" y="0"/>
                            <a:ext cx="379563" cy="2084070"/>
                          </a:xfrm>
                          <a:prstGeom prst="roundRect">
                            <a:avLst/>
                          </a:prstGeom>
                          <a:solidFill>
                            <a:schemeClr val="accent1">
                              <a:lumMod val="40000"/>
                              <a:lumOff val="60000"/>
                            </a:schemeClr>
                          </a:solidFill>
                          <a:scene3d>
                            <a:camera prst="obliqueTopLeft"/>
                            <a:lightRig rig="threePt" dir="t"/>
                          </a:scene3d>
                          <a:sp3d/>
                        </wps:spPr>
                        <wps:style>
                          <a:lnRef idx="2">
                            <a:schemeClr val="accent1">
                              <a:shade val="50000"/>
                            </a:schemeClr>
                          </a:lnRef>
                          <a:fillRef idx="1">
                            <a:schemeClr val="accent1"/>
                          </a:fillRef>
                          <a:effectRef idx="0">
                            <a:schemeClr val="accent1"/>
                          </a:effectRef>
                          <a:fontRef idx="minor">
                            <a:schemeClr val="lt1"/>
                          </a:fontRef>
                        </wps:style>
                        <wps:txbx>
                          <w:txbxContent>
                            <w:p w14:paraId="0B463799"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Human Resources and Administration Department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F9D5BA0" id="Group 249" o:spid="_x0000_s1026" style="position:absolute;margin-left:12.1pt;margin-top:221.7pt;width:393.95pt;height:164.15pt;z-index:251659264;mso-position-horizontal-relative:margin;mso-width-relative:margin" coordsize="52707,20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VlWLwUAAOg0AAAOAAAAZHJzL2Uyb0RvYy54bWzsm1tv4ygUgN9X2v9g+X0b33Jx1HTUbbfV&#10;St2Zqu1qngnGF8kGD5AmnV+/BzDuJW026c6myog+uBjDAQ6Hj8Mlx59WTe3dEy4qRmd+eBT4HqGY&#10;ZRUtZv7fdxe/TXxPSEQzVDNKZv4DEf6nk19/OV62UxKxktUZ4R4IoWK6bGd+KWU7HQwELkmDxBFr&#10;CYWPOeMNkvDKi0HG0RKkN/UgCoLRYMl41nKGiRAQe24++idafp4TLL/kuSDSq2c+1E3qJ9fPuXoO&#10;To7RtOCoLSvcVQO9oxYNqigU2os6RxJ5C16tiWoqzJlguTzCrBmwPK8w0W2A1oTBi9ZccrZodVuK&#10;6bJoezWBal/o6d1i8ef7a+5V2cyPktT3KGqgk3S5nooA9SzbYgqpLnl7217zLqIwb6rFq5w36j+0&#10;xVtpxT70iiUr6WGIHAZBHCQj38PwLQomSRJ0qscl9M9aPlz+YXNG42CcQM+9yDmwBQ9U/frqLFsw&#10;I/GoKfHfNHVbopboDhBKB1ZT8dBq6oYtaEYy7wYMDdGiJl4EH7WSdI5eZWIqQHvb6isep8NR/Njo&#10;YKzV1TcaTVsu5CVhjacCMx8MhWaqEtoI0f2VkFAJSG/TqZIFq6vsoqpr/cKL+VnNvXsEIyO5mIS/&#10;n+u89aL5i2VddAB/ZohAtOoonXpko0G+MGJ0Wc/k19RbQl8PVU97GMHQzmskIdi0YGyCFr6H6gKY&#10;gSXXBT/L3Yldq50oUUZMLNiUqdymWqjmnyNRmiy6CNUeyFJTpQWiEWG0BY3BhJI4Ux8wDASOOu2y&#10;eV19W5A71l6RXHYKqYpS3lSFxysYjrLkhFxD87IK4KKTqGo9yhNtnKmClYEaS1AhuZqvOmOZs+wB&#10;7IszgyjR4osKKn+FhLxGHJgEagTOyi/wyGsGumVdyPdKxr+/Fq/Sz3z1hFHke0vAHKj+2wJx4nv1&#10;nxRGB0RLG+A2MLcBumjOGNhHCBBvsQ5CBi5rG8w5a74CgU9VQfAJUQyVMZ3avZxJg1tgOCanpzoZ&#10;sK9F8oretlgJVwpXPXW3+op42yldAjw+MzsC0fSFUZu0KidlpwvJ8kpbvNKqUWWnbKCBYthesACA&#10;MwB9DQujnbCQpOE4AHnrLN0HG9TsS3o6IAx2LE037YoHK2kdEE8Gx34Gm5APNVEGU9MbksOcBxNT&#10;ZNBja2kw8bS9bwHH5uhYAgKV5Bzg2ss2CtOezLouDYS69CqrIVGfOdhUMZO5z6FLZlT2mZuKsg6q&#10;tp6mZTX0YleySW+JZFRjkaT9AZ3ycTg5Mh0ymcabyDTeiUzpJE5CmBAcmTRLfoQb4Mjk70KmyNqr&#10;85kO32eC/YG3faaJ7WlYfP37UipMhuPJKNkGTd36E3x0u3y1C6X3L6ieT7VPnQjnNBn3z2ro53Wa&#10;YmuwDk2Hj6Z+P+y15Vy3N7blLk+YDidh6tZzP3LzxHlNO3lNiUPTT7PTpDbE3/Sa4GO3p7iV1xQl&#10;SRiNHZocml7b89vLVlN/YuK8poP3mhJYf72Npn4S2g5NaRylE7fX5ND0YWjqT20cmg4fTZuO7ZN+&#10;EtoKTXEajuIUjujdNrjbBl87Kd2L19Qf2zg0HT6aNl0dgItTuyzo4iRKRhM48XNocmj6GDT15zYO&#10;TYePpk13B5J+EtrKa0riNE3GkUOTAjpcRHKXB9TtU3tUuhevqT+3cWg6fDRtujyQ9JPQdmiapGE4&#10;dl6T22v6sL2msD+4cWz6H9mkfzECP6fRt1C6n/6o3+s8fYfw0x8onfwDAAD//wMAUEsDBBQABgAI&#10;AAAAIQBsEPJr4QAAAAoBAAAPAAAAZHJzL2Rvd25yZXYueG1sTI9BS8NAEIXvgv9hGcGb3WwaTYmZ&#10;lFLUUxFsBfG2TaZJaHY2ZLdJ+u9dT3oc3sd73+Tr2XRipMG1lhHUIgJBXNqq5Rrh8/D6sALhvOZK&#10;d5YJ4UoO1sXtTa6zyk78QePe1yKUsMs0QuN9n0npyoaMdgvbE4fsZAejfTiHWlaDnkK56WQcRU/S&#10;6JbDQqN72jZUnvcXg/A26WmzVC/j7nzaXr8Pj+9fO0WI93fz5hmEp9n/wfCrH9ShCE5He+HKiQ4h&#10;TuJAIiTJMgERgJWKFYgjQpqqFGSRy/8vFD8AAAD//wMAUEsBAi0AFAAGAAgAAAAhALaDOJL+AAAA&#10;4QEAABMAAAAAAAAAAAAAAAAAAAAAAFtDb250ZW50X1R5cGVzXS54bWxQSwECLQAUAAYACAAAACEA&#10;OP0h/9YAAACUAQAACwAAAAAAAAAAAAAAAAAvAQAAX3JlbHMvLnJlbHNQSwECLQAUAAYACAAAACEA&#10;YZVZVi8FAADoNAAADgAAAAAAAAAAAAAAAAAuAgAAZHJzL2Uyb0RvYy54bWxQSwECLQAUAAYACAAA&#10;ACEAbBDya+EAAAAKAQAADwAAAAAAAAAAAAAAAACJBwAAZHJzL2Rvd25yZXYueG1sUEsFBgAAAAAE&#10;AAQA8wAAAJcIAAAAAA==&#10;">
                <v:roundrect id="Rounded Rectangle 235" o:spid="_x0000_s1027" style="position:absolute;width:3795;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7v6xgAAANwAAAAPAAAAZHJzL2Rvd25yZXYueG1sRI9Ra8JA&#10;EITfC/6HY4W+NReVFomeIWgKLULBWOjrkluTtLm9kDtj6q/3CgUfh9n5ZmedjqYVA/WusaxgFsUg&#10;iEurG64UfB5fn5YgnEfW2FomBb/kIN1MHtaYaHvhAw2Fr0SAsEtQQe19l0jpypoMush2xME72d6g&#10;D7KvpO7xEuCmlfM4fpEGGw4NNXa0ran8Kc4mvFFcs3z3Zd+H/fXDmGUe0/ciV+pxOmYrEJ5Gfz/+&#10;T79pBfPFM/yNCQSQmxsAAAD//wMAUEsBAi0AFAAGAAgAAAAhANvh9svuAAAAhQEAABMAAAAAAAAA&#10;AAAAAAAAAAAAAFtDb250ZW50X1R5cGVzXS54bWxQSwECLQAUAAYACAAAACEAWvQsW78AAAAVAQAA&#10;CwAAAAAAAAAAAAAAAAAfAQAAX3JlbHMvLnJlbHNQSwECLQAUAAYACAAAACEA3Ge7+sYAAADcAAAA&#10;DwAAAAAAAAAAAAAAAAAHAgAAZHJzL2Rvd25yZXYueG1sUEsFBgAAAAADAAMAtwAAAPoCAAAAAA==&#10;" fillcolor="#b9cde5" strokecolor="#385d8a" strokeweight="2pt">
                  <o:extrusion v:ext="view" viewpoint="-100pt,-100pt" viewpointorigin="-.5" skewangle="0" type="perspective"/>
                  <v:textbox style="layout-flow:vertical;mso-layout-flow-alt:bottom-to-top" inset="0,0,0,0">
                    <w:txbxContent>
                      <w:p w14:paraId="2F28EA52"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Judicial Integrity Department</w:t>
                        </w:r>
                      </w:p>
                    </w:txbxContent>
                  </v:textbox>
                </v:roundrect>
                <v:roundrect id="Rounded Rectangle 236" o:spid="_x0000_s1028" style="position:absolute;left:4917;width:3795;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GB5xgAAANwAAAAPAAAAZHJzL2Rvd25yZXYueG1sRI/NasMw&#10;EITvhbyD2EBvjVyHhOBYNiUQKIVS4iSH3BZr/YOtlbFUx+3TV4VCj8PMfMOk+Wx6MdHoWssKnlcR&#10;COLS6pZrBZfz8WkHwnlkjb1lUvBFDvJs8ZBiou2dTzQVvhYBwi5BBY33QyKlKxsy6FZ2IA5eZUeD&#10;PsixlnrEe4CbXsZRtJUGWw4LDQ50aKjsik+jYNPFw6kq3m/y2lff3Zv8WG+ulVKPy/llD8LT7P/D&#10;f+1XrSBeb+H3TDgCMvsBAAD//wMAUEsBAi0AFAAGAAgAAAAhANvh9svuAAAAhQEAABMAAAAAAAAA&#10;AAAAAAAAAAAAAFtDb250ZW50X1R5cGVzXS54bWxQSwECLQAUAAYACAAAACEAWvQsW78AAAAVAQAA&#10;CwAAAAAAAAAAAAAAAAAfAQAAX3JlbHMvLnJlbHNQSwECLQAUAAYACAAAACEAVSRgecYAAADcAAAA&#10;DwAAAAAAAAAAAAAAAAAHAgAAZHJzL2Rvd25yZXYueG1sUEsFBgAAAAADAAMAtwAAAPoCAAAAAA==&#10;" fillcolor="#b8cce4 [1300]" strokecolor="#243f60 [1604]" strokeweight="2pt">
                  <o:extrusion v:ext="view" viewpoint="-100pt,-100pt" viewpointorigin="-.5" skewangle="0" type="perspective"/>
                  <v:textbox style="layout-flow:vertical;mso-layout-flow-alt:bottom-to-top" inset="0,0,0,0">
                    <w:txbxContent>
                      <w:p w14:paraId="7C555175"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(Judicial Analytics and Reporting Department)</w:t>
                        </w:r>
                      </w:p>
                    </w:txbxContent>
                  </v:textbox>
                </v:roundrect>
                <v:roundrect id="Rounded Rectangle 237" o:spid="_x0000_s1029" style="position:absolute;left:9834;width:3795;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MXixgAAANwAAAAPAAAAZHJzL2Rvd25yZXYueG1sRI9Pa8JA&#10;FMTvhX6H5RV6azaNaEvqJhRBkEIR03ro7ZF9+UOyb0N21ein7wqCx2FmfsMs88n04kijay0reI1i&#10;EMSl1S3XCn5/1i/vIJxH1thbJgVncpBnjw9LTLU98Y6Oha9FgLBLUUHj/ZBK6cqGDLrIDsTBq+xo&#10;0Ac51lKPeApw08skjhfSYMthocGBVg2VXXEwCuZdMuyq4vtP7vvq0n3J7Wy+r5R6fpo+P0B4mvw9&#10;fGtvtIJk9gbXM+EIyOwfAAD//wMAUEsBAi0AFAAGAAgAAAAhANvh9svuAAAAhQEAABMAAAAAAAAA&#10;AAAAAAAAAAAAAFtDb250ZW50X1R5cGVzXS54bWxQSwECLQAUAAYACAAAACEAWvQsW78AAAAVAQAA&#10;CwAAAAAAAAAAAAAAAAAfAQAAX3JlbHMvLnJlbHNQSwECLQAUAAYACAAAACEAOmjF4sYAAADcAAAA&#10;DwAAAAAAAAAAAAAAAAAHAgAAZHJzL2Rvd25yZXYueG1sUEsFBgAAAAADAAMAtwAAAPoCAAAAAA==&#10;" fillcolor="#b8cce4 [1300]" strokecolor="#243f60 [1604]" strokeweight="2pt">
                  <o:extrusion v:ext="view" viewpoint="-100pt,-100pt" viewpointorigin="-.5" skewangle="0" type="perspective"/>
                  <v:textbox style="layout-flow:vertical;mso-layout-flow-alt:bottom-to-top" inset="0,0,0,0">
                    <w:txbxContent>
                      <w:p w14:paraId="0508973C"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Improving Court Efficiency and Quality Department</w:t>
                        </w:r>
                      </w:p>
                    </w:txbxContent>
                  </v:textbox>
                </v:roundrect>
                <v:roundrect id="Rounded Rectangle 238" o:spid="_x0000_s1030" style="position:absolute;left:14578;width:3796;height:20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1GQwgAAANwAAAAPAAAAZHJzL2Rvd25yZXYueG1sRE/LisIw&#10;FN0L/kO4gjtNrShDxygyMDAIItbpYnaX5vZBm5vSZLT69WYhuDyc92Y3mFZcqXe1ZQWLeQSCOLe6&#10;5lLB7+V79gHCeWSNrWVScCcHu+14tMFE2xuf6Zr6UoQQdgkqqLzvEildXpFBN7cdceAK2xv0Afal&#10;1D3eQrhpZRxFa2mw5tBQYUdfFeVN+m8UrJq4Oxfp8U9mbfFoDvK0XGWFUtPJsP8E4Wnwb/HL/aMV&#10;xMuwNpwJR0BunwAAAP//AwBQSwECLQAUAAYACAAAACEA2+H2y+4AAACFAQAAEwAAAAAAAAAAAAAA&#10;AAAAAAAAW0NvbnRlbnRfVHlwZXNdLnhtbFBLAQItABQABgAIAAAAIQBa9CxbvwAAABUBAAALAAAA&#10;AAAAAAAAAAAAAB8BAABfcmVscy8ucmVsc1BLAQItABQABgAIAAAAIQBL91GQwgAAANwAAAAPAAAA&#10;AAAAAAAAAAAAAAcCAABkcnMvZG93bnJldi54bWxQSwUGAAAAAAMAAwC3AAAA9gIAAAAA&#10;" fillcolor="#b8cce4 [1300]" strokecolor="#243f60 [1604]" strokeweight="2pt">
                  <o:extrusion v:ext="view" viewpoint="-100pt,-100pt" viewpointorigin="-.5" skewangle="0" type="perspective"/>
                  <v:textbox style="layout-flow:vertical;mso-layout-flow-alt:bottom-to-top" inset="0,0,0,0">
                    <w:txbxContent>
                      <w:p w14:paraId="1CA0C050"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Department for Improving the Efficiency and Quality of Prosecutors Offices</w:t>
                        </w:r>
                      </w:p>
                    </w:txbxContent>
                  </v:textbox>
                </v:roundrect>
                <v:roundrect id="Rounded Rectangle 239" o:spid="_x0000_s1031" style="position:absolute;left:19581;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QLxgAAANwAAAAPAAAAZHJzL2Rvd25yZXYueG1sRI9Pa8JA&#10;FMTvhX6H5RV6azaNKG3qJhRBkEIR03ro7ZF9+UOyb0N21ein7wqCx2FmfsMs88n04kijay0reI1i&#10;EMSl1S3XCn5/1i9vIJxH1thbJgVncpBnjw9LTLU98Y6Oha9FgLBLUUHj/ZBK6cqGDLrIDsTBq+xo&#10;0Ac51lKPeApw08skjhfSYMthocGBVg2VXXEwCuZdMuyq4vtP7vvq0n3J7Wy+r5R6fpo+P0B4mvw9&#10;fGtvtIJk9g7XM+EIyOwfAAD//wMAUEsBAi0AFAAGAAgAAAAhANvh9svuAAAAhQEAABMAAAAAAAAA&#10;AAAAAAAAAAAAAFtDb250ZW50X1R5cGVzXS54bWxQSwECLQAUAAYACAAAACEAWvQsW78AAAAVAQAA&#10;CwAAAAAAAAAAAAAAAAAfAQAAX3JlbHMvLnJlbHNQSwECLQAUAAYACAAAACEAJLv0C8YAAADcAAAA&#10;DwAAAAAAAAAAAAAAAAAHAgAAZHJzL2Rvd25yZXYueG1sUEsFBgAAAAADAAMAtwAAAPoCAAAAAA==&#10;" fillcolor="#b8cce4 [1300]" strokecolor="#243f60 [1604]" strokeweight="2pt">
                  <o:extrusion v:ext="view" viewpoint="-100pt,-100pt" viewpointorigin="-.5" skewangle="0" type="perspective"/>
                  <v:textbox style="layout-flow:vertical;mso-layout-flow-alt:bottom-to-top" inset="0,0,0,0">
                    <w:txbxContent>
                      <w:p w14:paraId="08AB47B8"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Appointments and Promotions Department</w:t>
                        </w:r>
                      </w:p>
                    </w:txbxContent>
                  </v:textbox>
                </v:roundrect>
                <v:roundrect id="Rounded Rectangle 240" o:spid="_x0000_s1032" style="position:absolute;left:24412;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y7rxAAAANwAAAAPAAAAZHJzL2Rvd25yZXYueG1sRE/LasJA&#10;FN0X+g/DLbirE2OVEh2DCAURSknURXeXzM2DZO6EzDRJ+/WdRaHLw3nv09l0YqTBNZYVrJYRCOLC&#10;6oYrBbfr2/MrCOeRNXaWScE3OUgPjw97TLSdOKMx95UIIewSVFB73ydSuqImg25pe+LAlXYw6AMc&#10;KqkHnEK46WQcRVtpsOHQUGNPp5qKNv8yCjZt3Gdl/v4p7135017kx3pzL5VaPM3HHQhPs/8X/7nP&#10;WkH8EuaHM+EIyMMvAAAA//8DAFBLAQItABQABgAIAAAAIQDb4fbL7gAAAIUBAAATAAAAAAAAAAAA&#10;AAAAAAAAAABbQ29udGVudF9UeXBlc10ueG1sUEsBAi0AFAAGAAgAAAAhAFr0LFu/AAAAFQEAAAsA&#10;AAAAAAAAAAAAAAAAHwEAAF9yZWxzLy5yZWxzUEsBAi0AFAAGAAgAAAAhAO2HLuvEAAAA3AAAAA8A&#10;AAAAAAAAAAAAAAAABwIAAGRycy9kb3ducmV2LnhtbFBLBQYAAAAAAwADALcAAAD4AgAAAAA=&#10;" fillcolor="#b8cce4 [1300]" strokecolor="#243f60 [1604]" strokeweight="2pt">
                  <o:extrusion v:ext="view" viewpoint="-100pt,-100pt" viewpointorigin="-.5" skewangle="0" type="perspective"/>
                  <v:textbox style="layout-flow:vertical;mso-layout-flow-alt:bottom-to-top" inset="0,0,0,0">
                    <w:txbxContent>
                      <w:p w14:paraId="2C385D28"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Judicial Documentation and Training Department</w:t>
                        </w:r>
                      </w:p>
                    </w:txbxContent>
                  </v:textbox>
                </v:roundrect>
                <v:roundrect id="Rounded Rectangle 244" o:spid="_x0000_s1033" style="position:absolute;left:29329;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joxQAAANwAAAAPAAAAZHJzL2Rvd25yZXYueG1sRI9Pa8JA&#10;FMTvgt9heUJvujFVkegqUiiUgohRD94e2Zc/JPs2ZLea+undQsHjMDO/Ydbb3jTiRp2rLCuYTiIQ&#10;xJnVFRcKzqfP8RKE88gaG8uk4JccbDfDwRoTbe98pFvqCxEg7BJUUHrfJlK6rCSDbmJb4uDltjPo&#10;g+wKqTu8B7hpZBxFC2mw4rBQYksfJWV1+mMUzOu4Pebp/iovTf6ov+XhfX7JlXob9bsVCE+9f4X/&#10;219aQTybwd+ZcATk5gkAAP//AwBQSwECLQAUAAYACAAAACEA2+H2y+4AAACFAQAAEwAAAAAAAAAA&#10;AAAAAAAAAAAAW0NvbnRlbnRfVHlwZXNdLnhtbFBLAQItABQABgAIAAAAIQBa9CxbvwAAABUBAAAL&#10;AAAAAAAAAAAAAAAAAB8BAABfcmVscy8ucmVsc1BLAQItABQABgAIAAAAIQCSvCjoxQAAANwAAAAP&#10;AAAAAAAAAAAAAAAAAAcCAABkcnMvZG93bnJldi54bWxQSwUGAAAAAAMAAwC3AAAA+QIAAAAA&#10;" fillcolor="#b8cce4 [1300]" strokecolor="#243f60 [1604]" strokeweight="2pt">
                  <o:extrusion v:ext="view" viewpoint="-100pt,-100pt" viewpointorigin="-.5" skewangle="0" type="perspective"/>
                  <v:textbox style="layout-flow:vertical;mso-layout-flow-alt:bottom-to-top" inset="0,0,0,0">
                    <w:txbxContent>
                      <w:p w14:paraId="703081C2"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European Integrations and Strategic Planning Department</w:t>
                        </w:r>
                      </w:p>
                    </w:txbxContent>
                  </v:textbox>
                </v:roundrect>
                <v:roundrect id="Rounded Rectangle 245" o:spid="_x0000_s1034" style="position:absolute;left:39163;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I1zxgAAANwAAAAPAAAAZHJzL2Rvd25yZXYueG1sRI9Pa8JA&#10;FMTvQr/D8gq96aZpIyXNRkpBKIVSjHro7ZF9+UOyb0N21ein7wqCx2FmfsNkq8n04kijay0reF5E&#10;IIhLq1uuFey26/kbCOeRNfaWScGZHKzyh1mGqbYn3tCx8LUIEHYpKmi8H1IpXdmQQbewA3HwKjsa&#10;9EGOtdQjngLc9DKOoqU02HJYaHCgz4bKrjgYBUkXD5uq+PmT+766dN/y9yXZV0o9PU4f7yA8Tf4e&#10;vrW/tIL4NYHrmXAEZP4PAAD//wMAUEsBAi0AFAAGAAgAAAAhANvh9svuAAAAhQEAABMAAAAAAAAA&#10;AAAAAAAAAAAAAFtDb250ZW50X1R5cGVzXS54bWxQSwECLQAUAAYACAAAACEAWvQsW78AAAAVAQAA&#10;CwAAAAAAAAAAAAAAAAAfAQAAX3JlbHMvLnJlbHNQSwECLQAUAAYACAAAACEA/fCNc8YAAADcAAAA&#10;DwAAAAAAAAAAAAAAAAAHAgAAZHJzL2Rvd25yZXYueG1sUEsFBgAAAAADAAMAtwAAAPoCAAAAAA==&#10;" fillcolor="#b8cce4 [1300]" strokecolor="#243f60 [1604]" strokeweight="2pt">
                  <o:extrusion v:ext="view" viewpoint="-100pt,-100pt" viewpointorigin="-.5" skewangle="0" type="perspective"/>
                  <v:textbox style="layout-flow:vertical;mso-layout-flow-alt:bottom-to-top" inset="0,0,0,0">
                    <w:txbxContent>
                      <w:p w14:paraId="588564F6"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Information &amp; Communication Technology Department</w:t>
                        </w:r>
                      </w:p>
                    </w:txbxContent>
                  </v:textbox>
                </v:roundrect>
                <v:roundrect id="Rounded Rectangle 246" o:spid="_x0000_s1035" style="position:absolute;left:34246;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hMExgAAANwAAAAPAAAAZHJzL2Rvd25yZXYueG1sRI9Pa8JA&#10;FMTvgt9heUJvumlaQ0mzEREKpVCKUQ+9PbIvf0j2bchuNfrpu4WCx2FmfsNkm8n04kyjay0reFxF&#10;IIhLq1uuFRwPb8sXEM4ja+wtk4IrOdjk81mGqbYX3tO58LUIEHYpKmi8H1IpXdmQQbeyA3HwKjsa&#10;9EGOtdQjXgLc9DKOokQabDksNDjQrqGyK36MgnUXD/uq+PyWp766dR/y62l9qpR6WEzbVxCeJn8P&#10;/7fftYL4OYG/M+EIyPwXAAD//wMAUEsBAi0AFAAGAAgAAAAhANvh9svuAAAAhQEAABMAAAAAAAAA&#10;AAAAAAAAAAAAAFtDb250ZW50X1R5cGVzXS54bWxQSwECLQAUAAYACAAAACEAWvQsW78AAAAVAQAA&#10;CwAAAAAAAAAAAAAAAAAfAQAAX3JlbHMvLnJlbHNQSwECLQAUAAYACAAAACEADSITBMYAAADcAAAA&#10;DwAAAAAAAAAAAAAAAAAHAgAAZHJzL2Rvd25yZXYueG1sUEsFBgAAAAADAAMAtwAAAPoCAAAAAA==&#10;" fillcolor="#b8cce4 [1300]" strokecolor="#243f60 [1604]" strokeweight="2pt">
                  <o:extrusion v:ext="view" viewpoint="-100pt,-100pt" viewpointorigin="-.5" skewangle="0" type="perspective"/>
                  <v:textbox style="layout-flow:vertical;mso-layout-flow-alt:bottom-to-top" inset="0,0,0,0">
                    <w:txbxContent>
                      <w:p w14:paraId="780B3D53"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Legal Affairs Department</w:t>
                        </w:r>
                      </w:p>
                    </w:txbxContent>
                  </v:textbox>
                </v:roundrect>
                <v:roundrect id="Rounded Rectangle 247" o:spid="_x0000_s1036" style="position:absolute;left:43994;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rafxgAAANwAAAAPAAAAZHJzL2Rvd25yZXYueG1sRI9Pa8JA&#10;FMTvhX6H5RV6qxtTtRJdpRQEEYoY68HbI/vyh2Tfhuyq0U/vFgSPw8z8hpkve9OIM3WusqxgOIhA&#10;EGdWV1wo+NuvPqYgnEfW2FgmBVdysFy8vswx0fbCOzqnvhABwi5BBaX3bSKly0oy6Aa2JQ5ebjuD&#10;PsiukLrDS4CbRsZRNJEGKw4LJbb0U1JWpyejYFzH7S5Pf4/y0OS3eiO3n+NDrtT7W/89A+Gp98/w&#10;o73WCuLRF/yfCUdALu4AAAD//wMAUEsBAi0AFAAGAAgAAAAhANvh9svuAAAAhQEAABMAAAAAAAAA&#10;AAAAAAAAAAAAAFtDb250ZW50X1R5cGVzXS54bWxQSwECLQAUAAYACAAAACEAWvQsW78AAAAVAQAA&#10;CwAAAAAAAAAAAAAAAAAfAQAAX3JlbHMvLnJlbHNQSwECLQAUAAYACAAAACEAYm62n8YAAADcAAAA&#10;DwAAAAAAAAAAAAAAAAAHAgAAZHJzL2Rvd25yZXYueG1sUEsFBgAAAAADAAMAtwAAAPoCAAAAAA==&#10;" fillcolor="#b8cce4 [1300]" strokecolor="#243f60 [1604]" strokeweight="2pt">
                  <o:extrusion v:ext="view" viewpoint="-100pt,-100pt" viewpointorigin="-.5" skewangle="0" type="perspective"/>
                  <v:textbox style="layout-flow:vertical;mso-layout-flow-alt:bottom-to-top" inset="0,0,0,0">
                    <w:txbxContent>
                      <w:p w14:paraId="47758505"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Finance &amp; Accounting Department</w:t>
                        </w:r>
                      </w:p>
                    </w:txbxContent>
                  </v:textbox>
                </v:roundrect>
                <v:roundrect id="Rounded Rectangle 248" o:spid="_x0000_s1037" style="position:absolute;left:48911;width:3796;height:20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SLtxAAAANwAAAAPAAAAZHJzL2Rvd25yZXYueG1sRE/LasJA&#10;FN0X+g/DLbirE2OVEh2DCAURSknURXeXzM2DZO6EzDRJ+/WdRaHLw3nv09l0YqTBNZYVrJYRCOLC&#10;6oYrBbfr2/MrCOeRNXaWScE3OUgPjw97TLSdOKMx95UIIewSVFB73ydSuqImg25pe+LAlXYw6AMc&#10;KqkHnEK46WQcRVtpsOHQUGNPp5qKNv8yCjZt3Gdl/v4p7135017kx3pzL5VaPM3HHQhPs/8X/7nP&#10;WkH8EtaGM+EIyMMvAAAA//8DAFBLAQItABQABgAIAAAAIQDb4fbL7gAAAIUBAAATAAAAAAAAAAAA&#10;AAAAAAAAAABbQ29udGVudF9UeXBlc10ueG1sUEsBAi0AFAAGAAgAAAAhAFr0LFu/AAAAFQEAAAsA&#10;AAAAAAAAAAAAAAAAHwEAAF9yZWxzLy5yZWxzUEsBAi0AFAAGAAgAAAAhABPxIu3EAAAA3AAAAA8A&#10;AAAAAAAAAAAAAAAABwIAAGRycy9kb3ducmV2LnhtbFBLBQYAAAAAAwADALcAAAD4AgAAAAA=&#10;" fillcolor="#b8cce4 [1300]" strokecolor="#243f60 [1604]" strokeweight="2pt">
                  <o:extrusion v:ext="view" viewpoint="-100pt,-100pt" viewpointorigin="-.5" skewangle="0" type="perspective"/>
                  <v:textbox style="layout-flow:vertical;mso-layout-flow-alt:bottom-to-top" inset="0,0,0,0">
                    <w:txbxContent>
                      <w:p w14:paraId="0B463799" w14:textId="77777777" w:rsidR="00FF1A52" w:rsidRPr="00C00B8B" w:rsidRDefault="00FF1A52" w:rsidP="00806112">
                        <w:pPr>
                          <w:jc w:val="center"/>
                          <w:rPr>
                            <w:rFonts w:ascii="Arial" w:hAnsi="Arial" w:cs="Arial"/>
                            <w:b/>
                            <w:color w:val="000000" w:themeColor="text1"/>
                            <w:sz w:val="18"/>
                          </w:rPr>
                        </w:pPr>
                        <w:r>
                          <w:rPr>
                            <w:rFonts w:ascii="Arial" w:hAnsi="Arial"/>
                            <w:b/>
                            <w:color w:val="000000" w:themeColor="text1"/>
                            <w:sz w:val="18"/>
                          </w:rPr>
                          <w:t>Human Resources and Administration Department</w:t>
                        </w:r>
                      </w:p>
                    </w:txbxContent>
                  </v:textbox>
                </v:roundrect>
                <w10:wrap anchorx="margin"/>
              </v:group>
            </w:pict>
          </mc:Fallback>
        </mc:AlternateContent>
      </w:r>
      <w:r>
        <w:rPr>
          <w:noProof/>
          <w:lang w:val="bs-Latn-BA" w:eastAsia="bs-Latn-BA"/>
        </w:rPr>
        <mc:AlternateContent>
          <mc:Choice Requires="wpc">
            <w:drawing>
              <wp:inline distT="0" distB="0" distL="0" distR="0" wp14:anchorId="05910D86" wp14:editId="28C07B2A">
                <wp:extent cx="5598543" cy="5382895"/>
                <wp:effectExtent l="0" t="0" r="0" b="27305"/>
                <wp:docPr id="226" name="Canvas 226"/>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02" name="Rounded Rectangle 202"/>
                        <wps:cNvSpPr/>
                        <wps:spPr>
                          <a:xfrm>
                            <a:off x="1859280" y="7"/>
                            <a:ext cx="1645680" cy="685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A5B3FB" w14:textId="77777777" w:rsidR="00FF1A52" w:rsidRPr="0021634C" w:rsidRDefault="00FF1A52" w:rsidP="00806112">
                              <w:pPr>
                                <w:jc w:val="center"/>
                                <w:rPr>
                                  <w:rFonts w:ascii="Arial" w:hAnsi="Arial" w:cs="Arial"/>
                                  <w:b/>
                                </w:rPr>
                              </w:pPr>
                              <w:r>
                                <w:rPr>
                                  <w:rFonts w:ascii="Arial" w:hAnsi="Arial"/>
                                  <w:b/>
                                </w:rPr>
                                <w:t>The Council</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wps:wsp>
                        <wps:cNvPr id="203" name="Rounded Rectangle 203"/>
                        <wps:cNvSpPr/>
                        <wps:spPr>
                          <a:xfrm>
                            <a:off x="2104335" y="342904"/>
                            <a:ext cx="1123099" cy="2857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F78DB51" w14:textId="77777777" w:rsidR="00FF1A52" w:rsidRPr="00445E1D" w:rsidRDefault="00FF1A52" w:rsidP="00806112">
                              <w:pPr>
                                <w:jc w:val="center"/>
                                <w:rPr>
                                  <w:rFonts w:ascii="Arial" w:hAnsi="Arial" w:cs="Arial"/>
                                  <w:b/>
                                  <w:sz w:val="18"/>
                                  <w:szCs w:val="16"/>
                                </w:rPr>
                              </w:pPr>
                              <w:r>
                                <w:rPr>
                                  <w:rFonts w:ascii="Arial" w:hAnsi="Arial"/>
                                  <w:b/>
                                  <w:sz w:val="18"/>
                                  <w:szCs w:val="16"/>
                                </w:rPr>
                                <w:t>Presidency</w:t>
                              </w:r>
                            </w:p>
                          </w:txbxContent>
                        </wps:txbx>
                        <wps:bodyPr rot="0" spcFirstLastPara="0" vertOverflow="overflow" horzOverflow="overflow" vert="horz" wrap="square" lIns="91440" tIns="72000" rIns="91440" bIns="0" numCol="1" spcCol="0" rtlCol="0" fromWordArt="0" anchor="ctr" anchorCtr="0" forceAA="0" compatLnSpc="1">
                          <a:prstTxWarp prst="textNoShape">
                            <a:avLst/>
                          </a:prstTxWarp>
                          <a:noAutofit/>
                        </wps:bodyPr>
                      </wps:wsp>
                      <wps:wsp>
                        <wps:cNvPr id="204" name="Rounded Rectangle 204"/>
                        <wps:cNvSpPr/>
                        <wps:spPr>
                          <a:xfrm>
                            <a:off x="110374" y="1071582"/>
                            <a:ext cx="1425810" cy="42597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5DA022"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rPr>
                              </w:pPr>
                              <w:r>
                                <w:rPr>
                                  <w:rFonts w:ascii="Arial" w:hAnsi="Arial"/>
                                  <w:b/>
                                  <w:sz w:val="18"/>
                                  <w:szCs w:val="18"/>
                                </w:rPr>
                                <w:t>Office of the Disciplinary Counsel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5" name="Rounded Rectangle 205"/>
                        <wps:cNvSpPr/>
                        <wps:spPr>
                          <a:xfrm>
                            <a:off x="2010536" y="866776"/>
                            <a:ext cx="1351145" cy="8667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8D5402" w14:textId="77777777" w:rsidR="00FF1A52" w:rsidRDefault="00FF1A52" w:rsidP="00806112">
                              <w:pPr>
                                <w:pStyle w:val="NormalWeb"/>
                                <w:spacing w:before="0" w:beforeAutospacing="0" w:after="200" w:afterAutospacing="0" w:line="276" w:lineRule="auto"/>
                                <w:jc w:val="center"/>
                                <w:rPr>
                                  <w:rFonts w:ascii="Arial" w:eastAsia="Calibri" w:hAnsi="Arial" w:cs="Arial"/>
                                  <w:b/>
                                  <w:sz w:val="18"/>
                                  <w:szCs w:val="18"/>
                                </w:rPr>
                              </w:pPr>
                              <w:r>
                                <w:rPr>
                                  <w:rFonts w:ascii="Arial" w:hAnsi="Arial"/>
                                  <w:b/>
                                  <w:sz w:val="18"/>
                                  <w:szCs w:val="18"/>
                                </w:rPr>
                                <w:t>Secretariat Director and Deputy Director</w:t>
                              </w:r>
                            </w:p>
                            <w:p w14:paraId="43DC9AE8" w14:textId="77777777" w:rsidR="00FF1A52" w:rsidRDefault="00FF1A52" w:rsidP="00806112">
                              <w:pPr>
                                <w:pStyle w:val="NormalWeb"/>
                                <w:spacing w:before="0" w:beforeAutospacing="0" w:after="200" w:afterAutospacing="0" w:line="276" w:lineRule="auto"/>
                                <w:jc w:val="center"/>
                                <w:rPr>
                                  <w:rFonts w:ascii="Arial" w:eastAsia="Calibri" w:hAnsi="Arial" w:cs="Arial"/>
                                  <w:b/>
                                  <w:sz w:val="18"/>
                                  <w:szCs w:val="18"/>
                                  <w:lang w:val="bs-Latn-BA"/>
                                </w:rPr>
                              </w:pPr>
                            </w:p>
                            <w:p w14:paraId="012F8962"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lang w:val="bs-Latn-BA"/>
                                </w:rPr>
                              </w:pPr>
                            </w:p>
                          </w:txbxContent>
                        </wps:txbx>
                        <wps:bodyPr rot="0" spcFirstLastPara="0" vert="horz" wrap="square" lIns="91440" tIns="72000" rIns="91440" bIns="45720" numCol="1" spcCol="0" rtlCol="0" fromWordArt="0" anchor="ctr" anchorCtr="0" forceAA="0" compatLnSpc="1">
                          <a:prstTxWarp prst="textNoShape">
                            <a:avLst/>
                          </a:prstTxWarp>
                          <a:noAutofit/>
                        </wps:bodyPr>
                      </wps:wsp>
                      <wps:wsp>
                        <wps:cNvPr id="206" name="Rounded Rectangle 206"/>
                        <wps:cNvSpPr/>
                        <wps:spPr>
                          <a:xfrm>
                            <a:off x="3663808" y="574964"/>
                            <a:ext cx="1184910" cy="45647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F35E0E"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rPr>
                              </w:pPr>
                              <w:r>
                                <w:rPr>
                                  <w:rFonts w:ascii="Arial" w:hAnsi="Arial"/>
                                  <w:b/>
                                  <w:sz w:val="18"/>
                                  <w:szCs w:val="18"/>
                                </w:rPr>
                                <w:t>Cabinet of the Presidency</w:t>
                              </w:r>
                            </w:p>
                          </w:txbxContent>
                        </wps:txbx>
                        <wps:bodyPr rot="0" spcFirstLastPara="0" vert="horz" wrap="square" lIns="36000" tIns="45720" rIns="36000" bIns="45720" numCol="1" spcCol="0" rtlCol="0" fromWordArt="0" anchor="ctr" anchorCtr="0" forceAA="0" compatLnSpc="1">
                          <a:prstTxWarp prst="textNoShape">
                            <a:avLst/>
                          </a:prstTxWarp>
                          <a:noAutofit/>
                        </wps:bodyPr>
                      </wps:wsp>
                      <wps:wsp>
                        <wps:cNvPr id="208" name="Rounded Rectangle 208"/>
                        <wps:cNvSpPr/>
                        <wps:spPr>
                          <a:xfrm>
                            <a:off x="170356" y="1775628"/>
                            <a:ext cx="1302378" cy="2497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B2F5E8"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rPr>
                              </w:pPr>
                              <w:r>
                                <w:rPr>
                                  <w:rFonts w:ascii="Arial" w:hAnsi="Arial"/>
                                  <w:b/>
                                  <w:sz w:val="18"/>
                                  <w:szCs w:val="18"/>
                                </w:rPr>
                                <w:t>Projects</w:t>
                              </w:r>
                            </w:p>
                          </w:txbxContent>
                        </wps:txbx>
                        <wps:bodyPr rot="0" spcFirstLastPara="0" vert="horz" wrap="square" lIns="91440" tIns="18000" rIns="91440" bIns="45720" numCol="1" spcCol="0" rtlCol="0" fromWordArt="0" anchor="ctr" anchorCtr="0" forceAA="0" compatLnSpc="1">
                          <a:prstTxWarp prst="textNoShape">
                            <a:avLst/>
                          </a:prstTxWarp>
                          <a:noAutofit/>
                        </wps:bodyPr>
                      </wps:wsp>
                      <wps:wsp>
                        <wps:cNvPr id="210" name="Rounded Rectangle 210"/>
                        <wps:cNvSpPr/>
                        <wps:spPr>
                          <a:xfrm>
                            <a:off x="0" y="2291260"/>
                            <a:ext cx="5382883" cy="3091635"/>
                          </a:xfrm>
                          <a:prstGeom prst="roundRect">
                            <a:avLst>
                              <a:gd name="adj" fmla="val 1666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F9F8D" w14:textId="77777777" w:rsidR="00FF1A52" w:rsidRDefault="00FF1A52" w:rsidP="00806112">
                              <w:pPr>
                                <w:jc w:val="center"/>
                                <w:rPr>
                                  <w:rFonts w:ascii="Arial" w:hAnsi="Arial" w:cs="Arial"/>
                                  <w:b/>
                                </w:rPr>
                              </w:pPr>
                              <w:r>
                                <w:rPr>
                                  <w:rFonts w:ascii="Arial" w:hAnsi="Arial"/>
                                  <w:b/>
                                </w:rPr>
                                <w:t>Secretariat</w:t>
                              </w:r>
                            </w:p>
                            <w:p w14:paraId="7B18C0E8" w14:textId="77777777" w:rsidR="00FF1A52" w:rsidRDefault="00FF1A52" w:rsidP="00806112">
                              <w:pPr>
                                <w:jc w:val="center"/>
                                <w:rPr>
                                  <w:rFonts w:ascii="Arial" w:hAnsi="Arial" w:cs="Arial"/>
                                  <w:b/>
                                  <w:lang w:val="bs-Latn-BA"/>
                                </w:rPr>
                              </w:pPr>
                            </w:p>
                            <w:p w14:paraId="7FAD7891" w14:textId="77777777" w:rsidR="00FF1A52" w:rsidRDefault="00FF1A52" w:rsidP="00806112">
                              <w:pPr>
                                <w:jc w:val="center"/>
                                <w:rPr>
                                  <w:rFonts w:ascii="Arial" w:hAnsi="Arial" w:cs="Arial"/>
                                  <w:b/>
                                  <w:lang w:val="bs-Latn-BA"/>
                                </w:rPr>
                              </w:pPr>
                            </w:p>
                            <w:p w14:paraId="3CF74F48" w14:textId="77777777" w:rsidR="00FF1A52" w:rsidRDefault="00FF1A52" w:rsidP="00806112">
                              <w:pPr>
                                <w:jc w:val="center"/>
                                <w:rPr>
                                  <w:rFonts w:ascii="Arial" w:hAnsi="Arial" w:cs="Arial"/>
                                  <w:b/>
                                  <w:lang w:val="bs-Latn-BA"/>
                                </w:rPr>
                              </w:pPr>
                            </w:p>
                            <w:p w14:paraId="76A959B1" w14:textId="77777777" w:rsidR="00FF1A52" w:rsidRDefault="00FF1A52" w:rsidP="00806112">
                              <w:pPr>
                                <w:jc w:val="center"/>
                                <w:rPr>
                                  <w:rFonts w:ascii="Arial" w:hAnsi="Arial" w:cs="Arial"/>
                                  <w:b/>
                                  <w:lang w:val="bs-Latn-BA"/>
                                </w:rPr>
                              </w:pP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wps:wsp>
                        <wps:cNvPr id="220" name="Elbow Connector 220"/>
                        <wps:cNvCnPr>
                          <a:stCxn id="202" idx="1"/>
                          <a:endCxn id="204" idx="0"/>
                        </wps:cNvCnPr>
                        <wps:spPr>
                          <a:xfrm rot="10800000" flipV="1">
                            <a:off x="823280" y="342906"/>
                            <a:ext cx="1036001" cy="728675"/>
                          </a:xfrm>
                          <a:prstGeom prst="bentConnector2">
                            <a:avLst/>
                          </a:prstGeom>
                        </wps:spPr>
                        <wps:style>
                          <a:lnRef idx="2">
                            <a:schemeClr val="dk1"/>
                          </a:lnRef>
                          <a:fillRef idx="0">
                            <a:schemeClr val="dk1"/>
                          </a:fillRef>
                          <a:effectRef idx="1">
                            <a:schemeClr val="dk1"/>
                          </a:effectRef>
                          <a:fontRef idx="minor">
                            <a:schemeClr val="tx1"/>
                          </a:fontRef>
                        </wps:style>
                        <wps:bodyPr/>
                      </wps:wsp>
                      <wps:wsp>
                        <wps:cNvPr id="221" name="Elbow Connector 221"/>
                        <wps:cNvCnPr>
                          <a:stCxn id="202" idx="2"/>
                          <a:endCxn id="205" idx="0"/>
                        </wps:cNvCnPr>
                        <wps:spPr>
                          <a:xfrm rot="16200000" flipH="1">
                            <a:off x="2593607" y="774319"/>
                            <a:ext cx="180969" cy="3943"/>
                          </a:xfrm>
                          <a:prstGeom prst="bentConnector3">
                            <a:avLst/>
                          </a:prstGeom>
                        </wps:spPr>
                        <wps:style>
                          <a:lnRef idx="2">
                            <a:schemeClr val="dk1"/>
                          </a:lnRef>
                          <a:fillRef idx="0">
                            <a:schemeClr val="dk1"/>
                          </a:fillRef>
                          <a:effectRef idx="1">
                            <a:schemeClr val="dk1"/>
                          </a:effectRef>
                          <a:fontRef idx="minor">
                            <a:schemeClr val="tx1"/>
                          </a:fontRef>
                        </wps:style>
                        <wps:bodyPr/>
                      </wps:wsp>
                      <wps:wsp>
                        <wps:cNvPr id="223" name="Elbow Connector 223"/>
                        <wps:cNvCnPr>
                          <a:stCxn id="202" idx="3"/>
                          <a:endCxn id="206" idx="0"/>
                        </wps:cNvCnPr>
                        <wps:spPr>
                          <a:xfrm>
                            <a:off x="3504960" y="342907"/>
                            <a:ext cx="751263" cy="232057"/>
                          </a:xfrm>
                          <a:prstGeom prst="bentConnector2">
                            <a:avLst/>
                          </a:prstGeom>
                        </wps:spPr>
                        <wps:style>
                          <a:lnRef idx="2">
                            <a:schemeClr val="dk1"/>
                          </a:lnRef>
                          <a:fillRef idx="0">
                            <a:schemeClr val="dk1"/>
                          </a:fillRef>
                          <a:effectRef idx="1">
                            <a:schemeClr val="dk1"/>
                          </a:effectRef>
                          <a:fontRef idx="minor">
                            <a:schemeClr val="tx1"/>
                          </a:fontRef>
                        </wps:style>
                        <wps:bodyPr/>
                      </wps:wsp>
                      <wps:wsp>
                        <wps:cNvPr id="224" name="Straight Connector 224"/>
                        <wps:cNvCnPr>
                          <a:stCxn id="205" idx="2"/>
                          <a:endCxn id="210" idx="0"/>
                        </wps:cNvCnPr>
                        <wps:spPr>
                          <a:xfrm>
                            <a:off x="2686063" y="1733550"/>
                            <a:ext cx="5379" cy="557710"/>
                          </a:xfrm>
                          <a:prstGeom prst="line">
                            <a:avLst/>
                          </a:prstGeom>
                        </wps:spPr>
                        <wps:style>
                          <a:lnRef idx="2">
                            <a:schemeClr val="dk1"/>
                          </a:lnRef>
                          <a:fillRef idx="0">
                            <a:schemeClr val="dk1"/>
                          </a:fillRef>
                          <a:effectRef idx="1">
                            <a:schemeClr val="dk1"/>
                          </a:effectRef>
                          <a:fontRef idx="minor">
                            <a:schemeClr val="tx1"/>
                          </a:fontRef>
                        </wps:style>
                        <wps:bodyPr/>
                      </wps:wsp>
                      <wps:wsp>
                        <wps:cNvPr id="225" name="Straight Connector 225"/>
                        <wps:cNvCnPr>
                          <a:stCxn id="208" idx="3"/>
                        </wps:cNvCnPr>
                        <wps:spPr>
                          <a:xfrm>
                            <a:off x="1472633" y="1900516"/>
                            <a:ext cx="1218625" cy="0"/>
                          </a:xfrm>
                          <a:prstGeom prst="line">
                            <a:avLst/>
                          </a:prstGeom>
                        </wps:spPr>
                        <wps:style>
                          <a:lnRef idx="2">
                            <a:schemeClr val="dk1"/>
                          </a:lnRef>
                          <a:fillRef idx="0">
                            <a:schemeClr val="dk1"/>
                          </a:fillRef>
                          <a:effectRef idx="1">
                            <a:schemeClr val="dk1"/>
                          </a:effectRef>
                          <a:fontRef idx="minor">
                            <a:schemeClr val="tx1"/>
                          </a:fontRef>
                        </wps:style>
                        <wps:bodyPr/>
                      </wps:wsp>
                    </wpc:wpc>
                  </a:graphicData>
                </a:graphic>
              </wp:inline>
            </w:drawing>
          </mc:Choice>
          <mc:Fallback>
            <w:pict>
              <v:group w14:anchorId="05910D86" id="Canvas 226" o:spid="_x0000_s1038" editas="canvas" style="width:440.85pt;height:423.85pt;mso-position-horizontal-relative:char;mso-position-vertical-relative:line" coordsize="55981,53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sRrKwYAALsoAAAOAAAAZHJzL2Uyb0RvYy54bWzsWtty2zYQfe9M/4HD90YE79REzniU3mYy&#10;SSZOm2eIBCW2JMCCsCX367tY8GLLoiwpbpwZyw8ySACL257dxVm+frOpSuuGyaYQfGaTV45tMZ6K&#10;rODLmf3H519+im2rUZRntBSczexb1thvLn784fW6njJXrESZMWmBEN5M1/XMXilVTyeTJl2xijav&#10;RM04VOZCVlTBo1xOMknXIL0qJ67jhJO1kFktRcqaBt6+NZX2BcrPc5aqD3neMGWVMxvmpvBX4u9C&#10;/04uXtPpUtJ6VaTtNOgJs6howWHQXtRbqqh1LYsHoqoilaIRuXqVimoi8rxIGa4BVkOcrdXMKb+h&#10;DS4mhd3pJgilJ5S7WMIegMjpGg6DYRmOoqn7Q2m+brCrFa0ZrqGZpu9vPkqryGa267i2xWkFKvFJ&#10;XPOMZdYnOCzKlyWzdGU7EehxVX+U7VMDRb3Lm1xW+j/sn7UBtYuDxI3heG9ndmSOlG2Uleqq0A9C&#10;XZVCXRgHsYNnPhlk1LJRvzJRWbows6WejZ4KHie9edcoGBzad+3gYV03UzMVLKnbkunZlPwTy2F1&#10;MKyLvVGL2byU1g0F/aNpyrgipmpFM2ZeBw786VnDIH0PfEKBWnJelGUvuxWgEfJQthHTttddGYKg&#10;7+zsm5jp3PfAkQVXfeeq4ELuElDCqtqRTftuk8zW6F1Sm8UGT55gU/1qIbJbUAcpDCqbOv2lgDN4&#10;Rxv1kUqAIRwbmBb1AX7yUqxntmhLtrUS8t9d73V70Feota01wHpmN/9cU8lsq/ydgyYnxPe1HcAH&#10;KMi7bxf44AeRCzX8upoLODUCBqxOsajbq7Ir5lJUX8D6XOoRoYryFMad2aorzpUxNGC9UnZ5iY0A&#10;9TVV7/iVxrA5Sa1YnzdfqKxbFVSgvO9Fhxs63VJC01YfDheX10rkBWrosKPt5gOGNbC/CZi9fWD2&#10;tG7oiRwEZpc4vucFCGbPdxPH30I0cT0nSQyi3TiIgg48nVXokPqkiD4AdbvhutcUPAbXA0Y9Aa7Z&#10;30fAtTfFzw5XgCUYyl2Q/Rq4pkq+QMD6+wCLiDsYsIQ4XgTywMESJyJBjBoDnqdzwb4bxASOSLtg&#10;KCcR+uizCx733ydg+igX3FvkQzF9sEttnef/4FZfJk7BD45HycFxjhUuGIEXIlDjMIyicMuxegEh&#10;PgyocYoN0A6ccfp8OO0N8ZPjdNyXfm34+zJxCrAaxykC7WB/6oWhFzvAmwAMg8hPwgcBcOwnvT8N&#10;Qj9KNJDPOH0+nPaG+Clw6oUY5por6j1/2tY8zTX1ZeIUYDWO0/gof0oixwuMOyVRFIQudr8T93qO&#10;60UwoPanrg9hL6rJGafPh9PeED8FTu9RSQSIxd1307M/3UdxdyxX6x07dli7t1GcQuUxhBKI0gB0&#10;E+KG2HOAaODFbhwDeaUhCqwSCYF4OtaXaiZumbXTpdlftpVXJbCXwPlaJAzDTiLSeOinO4KqY0mR&#10;1dY70Jyp5KPusUgk6I07FM+7KOMzlfw9UclIvWNe6OdyIdbWXHAO2RghLReqBtzPuUkFNWq+4UNK&#10;CbMvyG4Cynk21AFBhXWGLG7NjRGCyLuTWTIZCeJok66Nel4W9Z8dW9+mnGLX6zJOSFJv36UdHatB&#10;6kAblsiNw8d8/wIyQ/1SDWW8RfvrHNXpBmOgfHez1DvzQkOn8YTSToZ66HgCk6U2j7LTBu7aUOuz&#10;+4aJDheO1Pilh9rZ57UgzbFPOzt69K52AutypHaGmgzvtPO3Le0EkhX0L0LHF0W+R/CGOPg9iFaS&#10;sE2heImPdOB4XHpPNz3M/511Mx9LdD6fbvZJuIe62RO+j+gmttuynHDFOVQ3dSjUGkgvcIC6MLEX&#10;WsitxHwUQDjWRl5gS53gkaTAPSU8G0gTpH6HStgnlq6UpMVype558J7QHNHDzg7usJH6SnCCHrph&#10;HDpa0cARkwgSyyZdPNjCwAP+DP10EESRuVuM28Ky4PpjlgdJ+bN3Hj71eD4L2GdLdipfz9KNKB9Q&#10;Nahgxh3uDRHvGDriR2DIWgVLHCcg27GgS+LQbfMqJvwc/frorF4nBX8QBsL3a3WKt+v2az79Cd7d&#10;ZwwWh28OL/4DAAD//wMAUEsDBBQABgAIAAAAIQCONLsP2wAAAAUBAAAPAAAAZHJzL2Rvd25yZXYu&#10;eG1sTI9BS8NAEIXvgv9hGcGb3VSkCTGbUhQpIh5s9T7NTpNgdjZkN2n01zt6qZfhDW9475tiPbtO&#10;TTSE1rOB5SIBRVx523Jt4H3/dJOBChHZYueZDHxRgHV5eVFgbv2J32jaxVpJCIccDTQx9rnWoWrI&#10;YVj4nli8ox8cRlmHWtsBTxLuOn2bJCvtsGVpaLCnh4aqz93oDOC0mSp3fF69VOPHN6eP233/ujXm&#10;+mre3IOKNMfzMfziCzqUwnTwI9ugOgPySPyb4mXZMgV1EHGXpqDLQv+nL38AAAD//wMAUEsBAi0A&#10;FAAGAAgAAAAhALaDOJL+AAAA4QEAABMAAAAAAAAAAAAAAAAAAAAAAFtDb250ZW50X1R5cGVzXS54&#10;bWxQSwECLQAUAAYACAAAACEAOP0h/9YAAACUAQAACwAAAAAAAAAAAAAAAAAvAQAAX3JlbHMvLnJl&#10;bHNQSwECLQAUAAYACAAAACEAdbbEaysGAAC7KAAADgAAAAAAAAAAAAAAAAAuAgAAZHJzL2Uyb0Rv&#10;Yy54bWxQSwECLQAUAAYACAAAACEAjjS7D9sAAAAFAQAADwAAAAAAAAAAAAAAAACFCAAAZHJzL2Rv&#10;d25yZXYueG1sUEsFBgAAAAAEAAQA8wAAAI0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width:55981;height:53828;visibility:visible;mso-wrap-style:square">
                  <v:fill o:detectmouseclick="t"/>
                  <v:path o:connecttype="none"/>
                </v:shape>
                <v:roundrect id="Rounded Rectangle 202" o:spid="_x0000_s1040" style="position:absolute;left:18592;width:16457;height:68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JExAAAANwAAAAPAAAAZHJzL2Rvd25yZXYueG1sRI/dagIx&#10;FITvC32HcITeaeJSS1mNIqU/WqTgzwMcNsfN4uZk3URd394IQi+HmfmGmcw6V4sztaHyrGE4UCCI&#10;C28qLjXstl/9dxAhIhusPZOGKwWYTZ+fJpgbf+E1nTexFAnCIUcNNsYmlzIUlhyGgW+Ik7f3rcOY&#10;ZFtK0+IlwV0tM6XepMOK04LFhj4sFYfNyWkY/XyflriKCztfdp+vdPz9U+qo9Uuvm49BROrif/jR&#10;XhgNmcrgfiYdATm9AQAA//8DAFBLAQItABQABgAIAAAAIQDb4fbL7gAAAIUBAAATAAAAAAAAAAAA&#10;AAAAAAAAAABbQ29udGVudF9UeXBlc10ueG1sUEsBAi0AFAAGAAgAAAAhAFr0LFu/AAAAFQEAAAsA&#10;AAAAAAAAAAAAAAAAHwEAAF9yZWxzLy5yZWxzUEsBAi0AFAAGAAgAAAAhAP6W4kTEAAAA3AAAAA8A&#10;AAAAAAAAAAAAAAAABwIAAGRycy9kb3ducmV2LnhtbFBLBQYAAAAAAwADALcAAAD4AgAAAAA=&#10;" fillcolor="#4f81bd [3204]" strokecolor="#243f60 [1604]" strokeweight="2pt">
                  <v:textbox inset=",0">
                    <w:txbxContent>
                      <w:p w14:paraId="7AA5B3FB" w14:textId="77777777" w:rsidR="00FF1A52" w:rsidRPr="0021634C" w:rsidRDefault="00FF1A52" w:rsidP="00806112">
                        <w:pPr>
                          <w:jc w:val="center"/>
                          <w:rPr>
                            <w:rFonts w:ascii="Arial" w:hAnsi="Arial" w:cs="Arial"/>
                            <w:b/>
                          </w:rPr>
                        </w:pPr>
                        <w:r>
                          <w:rPr>
                            <w:rFonts w:ascii="Arial" w:hAnsi="Arial"/>
                            <w:b/>
                          </w:rPr>
                          <w:t>The Council</w:t>
                        </w:r>
                      </w:p>
                    </w:txbxContent>
                  </v:textbox>
                </v:roundrect>
                <v:roundrect id="Rounded Rectangle 203" o:spid="_x0000_s1041" style="position:absolute;left:21043;top:3429;width:11231;height:2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luxgAAANwAAAAPAAAAZHJzL2Rvd25yZXYueG1sRI9dS8Mw&#10;FIbvBf9DOAPvXLoNhq3LhggDQXHu48a7Y3Jsis1J18S22683wmCXL+/Hw7tYDa4WHbWh8qxgMs5A&#10;EGtvKi4VHPbr+wcQISIbrD2TghMFWC1vbxZYGN/zlrpdLEUa4VCgAhtjU0gZtCWHYewb4uR9+9Zh&#10;TLItpWmxT+OultMsm0uHFSeCxYaeLemf3a9LkGOn83z7dXiLm89hpt8/zva1V+puNDw9gog0xGv4&#10;0n4xCqbZDP7PpCMgl38AAAD//wMAUEsBAi0AFAAGAAgAAAAhANvh9svuAAAAhQEAABMAAAAAAAAA&#10;AAAAAAAAAAAAAFtDb250ZW50X1R5cGVzXS54bWxQSwECLQAUAAYACAAAACEAWvQsW78AAAAVAQAA&#10;CwAAAAAAAAAAAAAAAAAfAQAAX3JlbHMvLnJlbHNQSwECLQAUAAYACAAAACEASkV5bsYAAADc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inset=",2mm,,0">
                    <w:txbxContent>
                      <w:p w14:paraId="2F78DB51" w14:textId="77777777" w:rsidR="00FF1A52" w:rsidRPr="00445E1D" w:rsidRDefault="00FF1A52" w:rsidP="00806112">
                        <w:pPr>
                          <w:jc w:val="center"/>
                          <w:rPr>
                            <w:rFonts w:ascii="Arial" w:hAnsi="Arial" w:cs="Arial"/>
                            <w:b/>
                            <w:sz w:val="18"/>
                            <w:szCs w:val="16"/>
                          </w:rPr>
                        </w:pPr>
                        <w:r>
                          <w:rPr>
                            <w:rFonts w:ascii="Arial" w:hAnsi="Arial"/>
                            <w:b/>
                            <w:sz w:val="18"/>
                            <w:szCs w:val="16"/>
                          </w:rPr>
                          <w:t>Presidency</w:t>
                        </w:r>
                      </w:p>
                    </w:txbxContent>
                  </v:textbox>
                </v:roundrect>
                <v:roundrect id="Rounded Rectangle 204" o:spid="_x0000_s1042" style="position:absolute;left:1103;top:10715;width:14258;height:42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Ou+vgAAANwAAAAPAAAAZHJzL2Rvd25yZXYueG1sRI/NCsIw&#10;EITvgu8QVvAimvqDaDWKCP5crT7A0qxtsdmUJtX69kYQPA4z8w2z3ramFE+qXWFZwXgUgSBOrS44&#10;U3C7HoYLEM4jaywtk4I3Odhuup01xtq++ELPxGciQNjFqCD3voqldGlOBt3IVsTBu9vaoA+yzqSu&#10;8RXgppSTKJpLgwWHhRwr2ueUPpLGKFg2p3dSyPv0in7QHMkuE8y0Uv1eu1uB8NT6f/jXPmsFk2gG&#10;3zPhCMjNBwAA//8DAFBLAQItABQABgAIAAAAIQDb4fbL7gAAAIUBAAATAAAAAAAAAAAAAAAAAAAA&#10;AABbQ29udGVudF9UeXBlc10ueG1sUEsBAi0AFAAGAAgAAAAhAFr0LFu/AAAAFQEAAAsAAAAAAAAA&#10;AAAAAAAAHwEAAF9yZWxzLy5yZWxzUEsBAi0AFAAGAAgAAAAhACLc676+AAAA3AAAAA8AAAAAAAAA&#10;AAAAAAAABwIAAGRycy9kb3ducmV2LnhtbFBLBQYAAAAAAwADALcAAADyAgAAAAA=&#10;" fillcolor="#4f81bd [3204]" strokecolor="#243f60 [1604]" strokeweight="2pt">
                  <v:textbox>
                    <w:txbxContent>
                      <w:p w14:paraId="0A5DA022"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rPr>
                        </w:pPr>
                        <w:r>
                          <w:rPr>
                            <w:rFonts w:ascii="Arial" w:hAnsi="Arial"/>
                            <w:b/>
                            <w:sz w:val="18"/>
                            <w:szCs w:val="18"/>
                          </w:rPr>
                          <w:t>Office of the Disciplinary Counsel</w:t>
                        </w:r>
                      </w:p>
                    </w:txbxContent>
                  </v:textbox>
                </v:roundrect>
                <v:roundrect id="Rounded Rectangle 205" o:spid="_x0000_s1043" style="position:absolute;left:20105;top:8667;width:13511;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WppwgAAANwAAAAPAAAAZHJzL2Rvd25yZXYueG1sRI9bi8Iw&#10;EIXfF/wPYQTf1tTCLm41iloWhAXBy+Lr0IxNsZmUJmr990YQfDycy8eZzjtbiyu1vnKsYDRMQBAX&#10;TldcKjjsfz/HIHxA1lg7JgV38jCf9T6mmGl34y1dd6EUcYR9hgpMCE0mpS8MWfRD1xBH7+RaiyHK&#10;tpS6xVsct7VMk+RbWqw4Egw2tDJUnHcXG7mH/00jl+fL8S939JNbk+b7pVKDfreYgAjUhXf41V5r&#10;BWnyBc8z8QjI2QMAAP//AwBQSwECLQAUAAYACAAAACEA2+H2y+4AAACFAQAAEwAAAAAAAAAAAAAA&#10;AAAAAAAAW0NvbnRlbnRfVHlwZXNdLnhtbFBLAQItABQABgAIAAAAIQBa9CxbvwAAABUBAAALAAAA&#10;AAAAAAAAAAAAAB8BAABfcmVscy8ucmVsc1BLAQItABQABgAIAAAAIQC0IWppwgAAANwAAAAPAAAA&#10;AAAAAAAAAAAAAAcCAABkcnMvZG93bnJldi54bWxQSwUGAAAAAAMAAwC3AAAA9gIAAAAA&#10;" fillcolor="#4f81bd [3204]" strokecolor="#243f60 [1604]" strokeweight="2pt">
                  <v:textbox inset=",2mm">
                    <w:txbxContent>
                      <w:p w14:paraId="378D5402" w14:textId="77777777" w:rsidR="00FF1A52" w:rsidRDefault="00FF1A52" w:rsidP="00806112">
                        <w:pPr>
                          <w:pStyle w:val="NormalWeb"/>
                          <w:spacing w:before="0" w:beforeAutospacing="0" w:after="200" w:afterAutospacing="0" w:line="276" w:lineRule="auto"/>
                          <w:jc w:val="center"/>
                          <w:rPr>
                            <w:rFonts w:ascii="Arial" w:eastAsia="Calibri" w:hAnsi="Arial" w:cs="Arial"/>
                            <w:b/>
                            <w:sz w:val="18"/>
                            <w:szCs w:val="18"/>
                          </w:rPr>
                        </w:pPr>
                        <w:r>
                          <w:rPr>
                            <w:rFonts w:ascii="Arial" w:hAnsi="Arial"/>
                            <w:b/>
                            <w:sz w:val="18"/>
                            <w:szCs w:val="18"/>
                          </w:rPr>
                          <w:t>Secretariat Director and Deputy Director</w:t>
                        </w:r>
                      </w:p>
                      <w:p w14:paraId="43DC9AE8" w14:textId="77777777" w:rsidR="00FF1A52" w:rsidRDefault="00FF1A52" w:rsidP="00806112">
                        <w:pPr>
                          <w:pStyle w:val="NormalWeb"/>
                          <w:spacing w:before="0" w:beforeAutospacing="0" w:after="200" w:afterAutospacing="0" w:line="276" w:lineRule="auto"/>
                          <w:jc w:val="center"/>
                          <w:rPr>
                            <w:rFonts w:ascii="Arial" w:eastAsia="Calibri" w:hAnsi="Arial" w:cs="Arial"/>
                            <w:b/>
                            <w:sz w:val="18"/>
                            <w:szCs w:val="18"/>
                            <w:lang w:val="bs-Latn-BA"/>
                          </w:rPr>
                        </w:pPr>
                      </w:p>
                      <w:p w14:paraId="012F8962"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lang w:val="bs-Latn-BA"/>
                          </w:rPr>
                        </w:pPr>
                      </w:p>
                    </w:txbxContent>
                  </v:textbox>
                </v:roundrect>
                <v:roundrect id="Rounded Rectangle 206" o:spid="_x0000_s1044" style="position:absolute;left:36638;top:5749;width:11849;height:45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ezQxQAAANwAAAAPAAAAZHJzL2Rvd25yZXYueG1sRI9La8Mw&#10;EITvhfwHsYFcQiPHBZO6VkIIbUgPgbx6X6z1g1grIymJ+++rQqHHYWa+YYrVYDpxJ+dbywrmswQE&#10;cWl1y7WCy/njeQHCB2SNnWVS8E0eVsvRU4G5tg8+0v0UahEh7HNU0ITQ51L6siGDfmZ74uhV1hkM&#10;UbpaaoePCDedTJMkkwZbjgsN9rRpqLyebkbBptvv0q+MLwf3Oq+2/HL7fB+mSk3Gw/oNRKAh/If/&#10;2jutIE0y+D0Tj4Bc/gAAAP//AwBQSwECLQAUAAYACAAAACEA2+H2y+4AAACFAQAAEwAAAAAAAAAA&#10;AAAAAAAAAAAAW0NvbnRlbnRfVHlwZXNdLnhtbFBLAQItABQABgAIAAAAIQBa9CxbvwAAABUBAAAL&#10;AAAAAAAAAAAAAAAAAB8BAABfcmVscy8ucmVsc1BLAQItABQABgAIAAAAIQA9rezQxQAAANwAAAAP&#10;AAAAAAAAAAAAAAAAAAcCAABkcnMvZG93bnJldi54bWxQSwUGAAAAAAMAAwC3AAAA+QIAAAAA&#10;" fillcolor="#4f81bd [3204]" strokecolor="#243f60 [1604]" strokeweight="2pt">
                  <v:textbox inset="1mm,,1mm">
                    <w:txbxContent>
                      <w:p w14:paraId="3EF35E0E"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rPr>
                        </w:pPr>
                        <w:r>
                          <w:rPr>
                            <w:rFonts w:ascii="Arial" w:hAnsi="Arial"/>
                            <w:b/>
                            <w:sz w:val="18"/>
                            <w:szCs w:val="18"/>
                          </w:rPr>
                          <w:t>Cabinet of the Presidency</w:t>
                        </w:r>
                      </w:p>
                    </w:txbxContent>
                  </v:textbox>
                </v:roundrect>
                <v:roundrect id="Rounded Rectangle 208" o:spid="_x0000_s1045" style="position:absolute;left:1703;top:17756;width:13024;height:24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yrlwQAAANwAAAAPAAAAZHJzL2Rvd25yZXYueG1sRE/dasIw&#10;FL4X9g7hDLzTZA6kdkYZZcK8Uuse4NAc227NSZdErW9vLgQvP77/5XqwnbiQD61jDW9TBYK4cqbl&#10;WsPPcTPJQISIbLBzTBpuFGC9ehktMTfuyge6lLEWKYRDjhqaGPtcylA1ZDFMXU+cuJPzFmOCvpbG&#10;4zWF207OlJpLiy2nhgZ7Khqq/sqz1fBeZNn+qy7Ub+Gz4RD+d7vt4qT1+HX4/AARaYhP8cP9bTTM&#10;VFqbzqQjIFd3AAAA//8DAFBLAQItABQABgAIAAAAIQDb4fbL7gAAAIUBAAATAAAAAAAAAAAAAAAA&#10;AAAAAABbQ29udGVudF9UeXBlc10ueG1sUEsBAi0AFAAGAAgAAAAhAFr0LFu/AAAAFQEAAAsAAAAA&#10;AAAAAAAAAAAAHwEAAF9yZWxzLy5yZWxzUEsBAi0AFAAGAAgAAAAhAJNLKuXBAAAA3AAAAA8AAAAA&#10;AAAAAAAAAAAABwIAAGRycy9kb3ducmV2LnhtbFBLBQYAAAAAAwADALcAAAD1AgAAAAA=&#10;" fillcolor="#4f81bd [3204]" strokecolor="#243f60 [1604]" strokeweight="2pt">
                  <v:textbox inset=",.5mm">
                    <w:txbxContent>
                      <w:p w14:paraId="63B2F5E8" w14:textId="77777777" w:rsidR="00FF1A52" w:rsidRPr="006C33FC" w:rsidRDefault="00FF1A52" w:rsidP="00806112">
                        <w:pPr>
                          <w:pStyle w:val="NormalWeb"/>
                          <w:spacing w:before="0" w:beforeAutospacing="0" w:after="200" w:afterAutospacing="0" w:line="276" w:lineRule="auto"/>
                          <w:jc w:val="center"/>
                          <w:rPr>
                            <w:rFonts w:ascii="Arial" w:hAnsi="Arial" w:cs="Arial"/>
                            <w:b/>
                            <w:sz w:val="18"/>
                            <w:szCs w:val="18"/>
                          </w:rPr>
                        </w:pPr>
                        <w:r>
                          <w:rPr>
                            <w:rFonts w:ascii="Arial" w:hAnsi="Arial"/>
                            <w:b/>
                            <w:sz w:val="18"/>
                            <w:szCs w:val="18"/>
                          </w:rPr>
                          <w:t>Projects</w:t>
                        </w:r>
                      </w:p>
                    </w:txbxContent>
                  </v:textbox>
                </v:roundrect>
                <v:roundrect id="Rounded Rectangle 210" o:spid="_x0000_s1046" style="position:absolute;top:22912;width:53828;height:3091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U91wQAAANwAAAAPAAAAZHJzL2Rvd25yZXYueG1sRE/dasIw&#10;FL4X9g7hDLzTRFEZnVFkzF9ksG4PcGjOmrLmpDZR69ubC8HLj+9/vuxcLS7UhsqzhtFQgSAuvKm4&#10;1PD7sx68gQgR2WDtmTTcKMBy8dKbY2b8lb/pksdSpBAOGWqwMTaZlKGw5DAMfUOcuD/fOowJtqU0&#10;LV5TuKvlWKmZdFhxarDY0Iel4j8/Ow3T7ea8x2Pc2dW++5zQ6fCl1Enr/mu3egcRqYtP8cO9MxrG&#10;ozQ/nUlHQC7uAAAA//8DAFBLAQItABQABgAIAAAAIQDb4fbL7gAAAIUBAAATAAAAAAAAAAAAAAAA&#10;AAAAAABbQ29udGVudF9UeXBlc10ueG1sUEsBAi0AFAAGAAgAAAAhAFr0LFu/AAAAFQEAAAsAAAAA&#10;AAAAAAAAAAAAHwEAAF9yZWxzLy5yZWxzUEsBAi0AFAAGAAgAAAAhAOTRT3XBAAAA3AAAAA8AAAAA&#10;AAAAAAAAAAAABwIAAGRycy9kb3ducmV2LnhtbFBLBQYAAAAAAwADALcAAAD1AgAAAAA=&#10;" fillcolor="#4f81bd [3204]" strokecolor="#243f60 [1604]" strokeweight="2pt">
                  <v:textbox inset=",0">
                    <w:txbxContent>
                      <w:p w14:paraId="407F9F8D" w14:textId="77777777" w:rsidR="00FF1A52" w:rsidRDefault="00FF1A52" w:rsidP="00806112">
                        <w:pPr>
                          <w:jc w:val="center"/>
                          <w:rPr>
                            <w:rFonts w:ascii="Arial" w:hAnsi="Arial" w:cs="Arial"/>
                            <w:b/>
                          </w:rPr>
                        </w:pPr>
                        <w:r>
                          <w:rPr>
                            <w:rFonts w:ascii="Arial" w:hAnsi="Arial"/>
                            <w:b/>
                          </w:rPr>
                          <w:t>Secretariat</w:t>
                        </w:r>
                      </w:p>
                      <w:p w14:paraId="7B18C0E8" w14:textId="77777777" w:rsidR="00FF1A52" w:rsidRDefault="00FF1A52" w:rsidP="00806112">
                        <w:pPr>
                          <w:jc w:val="center"/>
                          <w:rPr>
                            <w:rFonts w:ascii="Arial" w:hAnsi="Arial" w:cs="Arial"/>
                            <w:b/>
                            <w:lang w:val="bs-Latn-BA"/>
                          </w:rPr>
                        </w:pPr>
                      </w:p>
                      <w:p w14:paraId="7FAD7891" w14:textId="77777777" w:rsidR="00FF1A52" w:rsidRDefault="00FF1A52" w:rsidP="00806112">
                        <w:pPr>
                          <w:jc w:val="center"/>
                          <w:rPr>
                            <w:rFonts w:ascii="Arial" w:hAnsi="Arial" w:cs="Arial"/>
                            <w:b/>
                            <w:lang w:val="bs-Latn-BA"/>
                          </w:rPr>
                        </w:pPr>
                      </w:p>
                      <w:p w14:paraId="3CF74F48" w14:textId="77777777" w:rsidR="00FF1A52" w:rsidRDefault="00FF1A52" w:rsidP="00806112">
                        <w:pPr>
                          <w:jc w:val="center"/>
                          <w:rPr>
                            <w:rFonts w:ascii="Arial" w:hAnsi="Arial" w:cs="Arial"/>
                            <w:b/>
                            <w:lang w:val="bs-Latn-BA"/>
                          </w:rPr>
                        </w:pPr>
                      </w:p>
                      <w:p w14:paraId="76A959B1" w14:textId="77777777" w:rsidR="00FF1A52" w:rsidRDefault="00FF1A52" w:rsidP="00806112">
                        <w:pPr>
                          <w:jc w:val="center"/>
                          <w:rPr>
                            <w:rFonts w:ascii="Arial" w:hAnsi="Arial" w:cs="Arial"/>
                            <w:b/>
                            <w:lang w:val="bs-Latn-BA"/>
                          </w:rPr>
                        </w:pPr>
                      </w:p>
                    </w:txbxContent>
                  </v:textbox>
                </v:roundrect>
                <v:shapetype id="_x0000_t33" coordsize="21600,21600" o:spt="33" o:oned="t" path="m,l21600,r,21600e" filled="f">
                  <v:stroke joinstyle="miter"/>
                  <v:path arrowok="t" fillok="f" o:connecttype="none"/>
                  <o:lock v:ext="edit" shapetype="t"/>
                </v:shapetype>
                <v:shape id="Elbow Connector 220" o:spid="_x0000_s1047" type="#_x0000_t33" style="position:absolute;left:8232;top:3429;width:10360;height:7286;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AQsvwAAANwAAAAPAAAAZHJzL2Rvd25yZXYueG1sRE9NS8Qw&#10;EL0L/ocwgjebWmHRutliRcHrbj3obWjGpNpMSidu67/fHBY8Pt73tlnDqI40yxDZwG1RgiLuox3Y&#10;GXjvXm/uQUlCtjhGJgN/JNDsLi+2WNu48J6Oh+RUDmGp0YBPaaq1lt5TQCniRJy5rzgHTBnOTtsZ&#10;lxweRl2V5UYHHDg3eJzo2VP/c/gNBqQS99k6Xu5efPfdyUO7bD72xlxfrU+PoBKt6V98dr9ZA1WV&#10;5+cz+Qjo3QkAAP//AwBQSwECLQAUAAYACAAAACEA2+H2y+4AAACFAQAAEwAAAAAAAAAAAAAAAAAA&#10;AAAAW0NvbnRlbnRfVHlwZXNdLnhtbFBLAQItABQABgAIAAAAIQBa9CxbvwAAABUBAAALAAAAAAAA&#10;AAAAAAAAAB8BAABfcmVscy8ucmVsc1BLAQItABQABgAIAAAAIQAdhAQsvwAAANwAAAAPAAAAAAAA&#10;AAAAAAAAAAcCAABkcnMvZG93bnJldi54bWxQSwUGAAAAAAMAAwC3AAAA8wIAAAAA&#10;" strokecolor="black [3200]" strokeweight="2pt">
                  <v:shadow on="t" color="black" opacity="24903f" origin=",.5" offset="0,.55556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21" o:spid="_x0000_s1048" type="#_x0000_t34" style="position:absolute;left:25936;top:7743;width:1809;height:3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knzwwAAANwAAAAPAAAAZHJzL2Rvd25yZXYueG1sRI/BbsIw&#10;EETvlfgHaytxKw45QEgxqFQgceilEO5LvE2ixOvIdkP4+xoJqcfRzLzRrLej6cRAzjeWFcxnCQji&#10;0uqGKwXF+fCWgfABWWNnmRTcycN2M3lZY67tjb9pOIVKRAj7HBXUIfS5lL6syaCf2Z44ej/WGQxR&#10;ukpqh7cIN51Mk2QhDTYcF2rs6bOmsj39GgVuP2Q07i5tJtPV16pdXou+WCo1fR0/3kEEGsN/+Nk+&#10;agVpOofHmXgE5OYPAAD//wMAUEsBAi0AFAAGAAgAAAAhANvh9svuAAAAhQEAABMAAAAAAAAAAAAA&#10;AAAAAAAAAFtDb250ZW50X1R5cGVzXS54bWxQSwECLQAUAAYACAAAACEAWvQsW78AAAAVAQAACwAA&#10;AAAAAAAAAAAAAAAfAQAAX3JlbHMvLnJlbHNQSwECLQAUAAYACAAAACEAXiJJ88MAAADcAAAADwAA&#10;AAAAAAAAAAAAAAAHAgAAZHJzL2Rvd25yZXYueG1sUEsFBgAAAAADAAMAtwAAAPcCAAAAAA==&#10;" strokecolor="black [3200]" strokeweight="2pt">
                  <v:shadow on="t" color="black" opacity="24903f" origin=",.5" offset="0,.55556mm"/>
                </v:shape>
                <v:shape id="Elbow Connector 223" o:spid="_x0000_s1049" type="#_x0000_t33" style="position:absolute;left:35049;top:3429;width:7513;height:232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yTxgAAANwAAAAPAAAAZHJzL2Rvd25yZXYueG1sRI/NbsIw&#10;EITvlfoO1lbiBg6hNCXFIITE343SXnpbxds4bbwOsQvh7TESUo+jmflGM513thYnan3lWMFwkIAg&#10;LpyuuFTw+bHqv4LwAVlj7ZgUXMjDfPb4MMVcuzO/0+kQShEh7HNUYEJocil9YciiH7iGOHrfrrUY&#10;omxLqVs8R7itZZokL9JixXHBYENLQ8Xv4c8q+Cm/mtX+eTJcm93xOOFNtnbjTKneU7d4AxGoC//h&#10;e3urFaTpCG5n4hGQsysAAAD//wMAUEsBAi0AFAAGAAgAAAAhANvh9svuAAAAhQEAABMAAAAAAAAA&#10;AAAAAAAAAAAAAFtDb250ZW50X1R5cGVzXS54bWxQSwECLQAUAAYACAAAACEAWvQsW78AAAAVAQAA&#10;CwAAAAAAAAAAAAAAAAAfAQAAX3JlbHMvLnJlbHNQSwECLQAUAAYACAAAACEAvyWsk8YAAADcAAAA&#10;DwAAAAAAAAAAAAAAAAAHAgAAZHJzL2Rvd25yZXYueG1sUEsFBgAAAAADAAMAtwAAAPoCAAAAAA==&#10;" strokecolor="black [3200]" strokeweight="2pt">
                  <v:shadow on="t" color="black" opacity="24903f" origin=",.5" offset="0,.55556mm"/>
                </v:shape>
                <v:line id="Straight Connector 224" o:spid="_x0000_s1050" style="position:absolute;visibility:visible;mso-wrap-style:square" from="26860,17335" to="26914,22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3f5xQAAANwAAAAPAAAAZHJzL2Rvd25yZXYueG1sRI/RSgMx&#10;FETfBf8hXMG3NttQpa5NixQstQi1qx9w3Vx3g5ubJYnt9u+bQsHHYWbOMPPl4DpxoBCtZw2TcQGC&#10;uPbGcqPh6/N1NAMRE7LBzjNpOFGE5eL2Zo6l8Ufe06FKjcgQjiVqaFPqSylj3ZLDOPY9cfZ+fHCY&#10;sgyNNAGPGe46qYriUTq0nBda7GnVUv1b/TkN9nvfbdXmbRds9TSZpYf1++pDaX1/N7w8g0g0pP/w&#10;tb0xGpSawuVMPgJycQYAAP//AwBQSwECLQAUAAYACAAAACEA2+H2y+4AAACFAQAAEwAAAAAAAAAA&#10;AAAAAAAAAAAAW0NvbnRlbnRfVHlwZXNdLnhtbFBLAQItABQABgAIAAAAIQBa9CxbvwAAABUBAAAL&#10;AAAAAAAAAAAAAAAAAB8BAABfcmVscy8ucmVsc1BLAQItABQABgAIAAAAIQDkk3f5xQAAANwAAAAP&#10;AAAAAAAAAAAAAAAAAAcCAABkcnMvZG93bnJldi54bWxQSwUGAAAAAAMAAwC3AAAA+QIAAAAA&#10;" strokecolor="black [3200]" strokeweight="2pt">
                  <v:shadow on="t" color="black" opacity="24903f" origin=",.5" offset="0,.55556mm"/>
                </v:line>
                <v:line id="Straight Connector 225" o:spid="_x0000_s1051" style="position:absolute;visibility:visible;mso-wrap-style:square" from="14726,19005" to="26912,19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9JixQAAANwAAAAPAAAAZHJzL2Rvd25yZXYueG1sRI/RagIx&#10;FETfhf5DuAXfataARbdGKUKLLUJ17Qfcbm53Qzc3SxJ1+/emUPBxmJkzzHI9uE6cKUTrWcN0UoAg&#10;rr2x3Gj4PL48zEHEhGyw80wafinCenU3WmJp/IUPdK5SIzKEY4ka2pT6UspYt+QwTnxPnL1vHxym&#10;LEMjTcBLhrtOqqJ4lA4t54UWe9q0VP9UJ6fBfh26d7V9+wi2Wkznafa62+yV1uP74fkJRKIh3cL/&#10;7a3RoNQM/s7kIyBXVwAAAP//AwBQSwECLQAUAAYACAAAACEA2+H2y+4AAACFAQAAEwAAAAAAAAAA&#10;AAAAAAAAAAAAW0NvbnRlbnRfVHlwZXNdLnhtbFBLAQItABQABgAIAAAAIQBa9CxbvwAAABUBAAAL&#10;AAAAAAAAAAAAAAAAAB8BAABfcmVscy8ucmVsc1BLAQItABQABgAIAAAAIQCL39JixQAAANwAAAAP&#10;AAAAAAAAAAAAAAAAAAcCAABkcnMvZG93bnJldi54bWxQSwUGAAAAAAMAAwC3AAAA+QIAAAAA&#10;" strokecolor="black [3200]" strokeweight="2pt">
                  <v:shadow on="t" color="black" opacity="24903f" origin=",.5" offset="0,.55556mm"/>
                </v:line>
                <w10:anchorlock/>
              </v:group>
            </w:pict>
          </mc:Fallback>
        </mc:AlternateContent>
      </w:r>
    </w:p>
    <w:p w14:paraId="719C6959" w14:textId="23BEEE83" w:rsidR="00806112" w:rsidRPr="001A0537" w:rsidRDefault="00806112" w:rsidP="00806112">
      <w:pPr>
        <w:pStyle w:val="Tekst"/>
        <w:rPr>
          <w:rFonts w:cs="Arial"/>
          <w:b/>
          <w:bCs/>
          <w:kern w:val="32"/>
          <w:sz w:val="32"/>
          <w:szCs w:val="32"/>
        </w:rPr>
      </w:pPr>
      <w:r>
        <w:t>On 31 December, 2021, the HJPC had 147 employees, with 75 financed from the HJPC BiH budget and 72 hired for the implementation of project activities by the HJPC BiH and financed by donors. As at 31 December 2018, there were sixteen (16) competitions under way to fill vacancies (8 for budget-funded positions &amp; 8 for projects), eight initiated through public vacancy announcements for civil service positions (7) one vacancy announcement for a permanent employee position</w:t>
      </w:r>
      <w:r w:rsidR="008C1CA7">
        <w:t xml:space="preserve"> - </w:t>
      </w:r>
      <w:r>
        <w:t xml:space="preserve">of the limited 84 positions for the HJPC BiH, as well as eight competitions for fixed-term project positions as funded by donors. The Book of Rules on Internal Organisation </w:t>
      </w:r>
      <w:r>
        <w:lastRenderedPageBreak/>
        <w:t>and the Systematisation of Posts of the HJPC BiH provides for 142 posts with indefinite durations. In line with budget-related savings measures for BiH institutions as elaborated in the Letter of Intent for a ”stand-by“ arrangement sent to the International Monetary Fund (IMF) and which limits employments in BiH institutions to 2009 levels, the maximum number of employees for the HJPC BiH stands at 84.</w:t>
      </w:r>
      <w:r>
        <w:br w:type="page"/>
      </w:r>
    </w:p>
    <w:p w14:paraId="188280EF" w14:textId="0B3D2285" w:rsidR="00C01F2A" w:rsidRPr="001A0537" w:rsidRDefault="00164ADB" w:rsidP="00C01F2A">
      <w:pPr>
        <w:pStyle w:val="PRVINASLOV"/>
      </w:pPr>
      <w:bookmarkStart w:id="9" w:name="_Toc97722041"/>
      <w:bookmarkStart w:id="10" w:name="_Toc112852405"/>
      <w:r>
        <w:lastRenderedPageBreak/>
        <w:t>HJPC</w:t>
      </w:r>
      <w:r w:rsidR="00F11840">
        <w:t xml:space="preserve"> BiH</w:t>
      </w:r>
      <w:r>
        <w:t xml:space="preserve"> FINANCIAL OPERATIONS</w:t>
      </w:r>
      <w:bookmarkEnd w:id="9"/>
      <w:bookmarkEnd w:id="10"/>
      <w:r>
        <w:t xml:space="preserve"> </w:t>
      </w:r>
    </w:p>
    <w:p w14:paraId="6198FF34" w14:textId="663C5C8F" w:rsidR="00BC65E2" w:rsidRPr="001A0537" w:rsidRDefault="00BC65E2" w:rsidP="00BC65E2">
      <w:pPr>
        <w:pStyle w:val="Tekst"/>
      </w:pPr>
      <w:r>
        <w:t xml:space="preserve">The HJPC BiH finances part of its activities with funds from the approved budgets for BiH institutions, while project activities are directed at judicial reform and are funded by donors. </w:t>
      </w:r>
    </w:p>
    <w:p w14:paraId="45835870" w14:textId="3A17DBEF" w:rsidR="00BC65E2" w:rsidRPr="001A0537" w:rsidRDefault="00BC65E2" w:rsidP="00C01F2A">
      <w:pPr>
        <w:pStyle w:val="DRUGINASLOV"/>
      </w:pPr>
      <w:bookmarkStart w:id="11" w:name="_Toc383086857"/>
      <w:bookmarkStart w:id="12" w:name="_Toc97722042"/>
      <w:bookmarkStart w:id="13" w:name="_Toc112852406"/>
      <w:r>
        <w:t>Funding HJPC BiH activities</w:t>
      </w:r>
      <w:bookmarkEnd w:id="11"/>
      <w:bookmarkEnd w:id="12"/>
      <w:bookmarkEnd w:id="13"/>
    </w:p>
    <w:p w14:paraId="5AE4A5C4" w14:textId="435E61AE" w:rsidR="00BC65E2" w:rsidRPr="001A0537" w:rsidRDefault="00913AD1" w:rsidP="00BC65E2">
      <w:pPr>
        <w:pStyle w:val="Tekst"/>
      </w:pPr>
      <w:r>
        <w:t>In accordance with the Law on the Budget for Institutions of BiH and International Obligations of BiH</w:t>
      </w:r>
      <w:r w:rsidR="00BC65E2" w:rsidRPr="00653E39">
        <w:rPr>
          <w:vertAlign w:val="superscript"/>
          <w:lang w:val="hr-BA"/>
        </w:rPr>
        <w:footnoteReference w:id="1"/>
      </w:r>
      <w:r>
        <w:t xml:space="preserve">, the approved 2021 budget for HJPC BiH expenditures is 5,094,000 KM. Budget expenditure in 2021 amounted to 4,928,563 KM or 97%. Additional approved funds under the current budgetary reserve amounting to 156,000 KM were also fully expended. </w:t>
      </w:r>
    </w:p>
    <w:p w14:paraId="10B82B52" w14:textId="77777777" w:rsidR="00C01F2A" w:rsidRPr="001A0537" w:rsidRDefault="00C01F2A" w:rsidP="00BC65E2">
      <w:pPr>
        <w:pStyle w:val="Tekst"/>
        <w:rPr>
          <w:lang w:val="hr-BA"/>
        </w:rPr>
      </w:pPr>
    </w:p>
    <w:p w14:paraId="04629779" w14:textId="4F17E7E2" w:rsidR="00BC65E2" w:rsidRPr="001A0537" w:rsidRDefault="0062416E" w:rsidP="0062416E">
      <w:pPr>
        <w:pStyle w:val="Caption"/>
        <w:keepNext/>
      </w:pPr>
      <w:r>
        <w:t xml:space="preserve">Table </w:t>
      </w:r>
      <w:r w:rsidR="006D1459">
        <w:fldChar w:fldCharType="begin"/>
      </w:r>
      <w:r w:rsidR="006D1459">
        <w:instrText xml:space="preserve"> SEQ Tablica \* ARABIC </w:instrText>
      </w:r>
      <w:r w:rsidR="006D1459">
        <w:fldChar w:fldCharType="separate"/>
      </w:r>
      <w:r w:rsidR="002B094A">
        <w:t>1</w:t>
      </w:r>
      <w:r w:rsidR="006D1459">
        <w:fldChar w:fldCharType="end"/>
      </w:r>
      <w:r>
        <w:t>: Budget expenditure per item</w:t>
      </w:r>
    </w:p>
    <w:tbl>
      <w:tblPr>
        <w:tblW w:w="8217" w:type="dxa"/>
        <w:tblLook w:val="04A0" w:firstRow="1" w:lastRow="0" w:firstColumn="1" w:lastColumn="0" w:noHBand="0" w:noVBand="1"/>
      </w:tblPr>
      <w:tblGrid>
        <w:gridCol w:w="4390"/>
        <w:gridCol w:w="1275"/>
        <w:gridCol w:w="1276"/>
        <w:gridCol w:w="1276"/>
      </w:tblGrid>
      <w:tr w:rsidR="00BC65E2" w:rsidRPr="001A0537" w14:paraId="380FD5F2" w14:textId="77777777" w:rsidTr="00D55AE4">
        <w:trPr>
          <w:trHeight w:val="510"/>
        </w:trPr>
        <w:tc>
          <w:tcPr>
            <w:tcW w:w="439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59B6A7" w14:textId="77777777" w:rsidR="00BC65E2" w:rsidRPr="001A0537" w:rsidRDefault="00BC65E2" w:rsidP="00D55AE4">
            <w:pPr>
              <w:jc w:val="center"/>
              <w:rPr>
                <w:rFonts w:ascii="Arial" w:hAnsi="Arial" w:cs="Arial"/>
                <w:b/>
                <w:bCs/>
                <w:sz w:val="20"/>
                <w:szCs w:val="20"/>
              </w:rPr>
            </w:pPr>
            <w:r>
              <w:rPr>
                <w:rFonts w:ascii="Arial" w:hAnsi="Arial"/>
                <w:b/>
                <w:bCs/>
                <w:sz w:val="20"/>
                <w:szCs w:val="20"/>
              </w:rPr>
              <w:t>EXPENDITURES</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6DC0F942" w14:textId="77777777" w:rsidR="00BC65E2" w:rsidRPr="001A0537" w:rsidRDefault="00BC65E2" w:rsidP="00D55AE4">
            <w:pPr>
              <w:jc w:val="center"/>
              <w:rPr>
                <w:rFonts w:ascii="Arial" w:hAnsi="Arial" w:cs="Arial"/>
                <w:b/>
                <w:bCs/>
                <w:sz w:val="20"/>
                <w:szCs w:val="20"/>
              </w:rPr>
            </w:pPr>
            <w:r>
              <w:rPr>
                <w:rFonts w:ascii="Arial" w:hAnsi="Arial"/>
                <w:b/>
                <w:bCs/>
                <w:sz w:val="20"/>
                <w:szCs w:val="20"/>
              </w:rPr>
              <w:t>Approved budget</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1F275BF4" w14:textId="77777777" w:rsidR="00BC65E2" w:rsidRPr="001A0537" w:rsidRDefault="00BC65E2" w:rsidP="00D55AE4">
            <w:pPr>
              <w:jc w:val="center"/>
              <w:rPr>
                <w:rFonts w:ascii="Arial" w:hAnsi="Arial" w:cs="Arial"/>
                <w:b/>
                <w:bCs/>
                <w:sz w:val="20"/>
                <w:szCs w:val="20"/>
              </w:rPr>
            </w:pPr>
            <w:r>
              <w:rPr>
                <w:rFonts w:ascii="Arial" w:hAnsi="Arial"/>
                <w:b/>
                <w:bCs/>
                <w:sz w:val="20"/>
                <w:szCs w:val="20"/>
              </w:rPr>
              <w:t>Budget execution</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43FF6699" w14:textId="77777777" w:rsidR="00BC65E2" w:rsidRPr="001A0537" w:rsidRDefault="00BC65E2" w:rsidP="00D55AE4">
            <w:pPr>
              <w:jc w:val="center"/>
              <w:rPr>
                <w:rFonts w:ascii="Arial" w:hAnsi="Arial" w:cs="Arial"/>
                <w:b/>
                <w:bCs/>
                <w:sz w:val="20"/>
                <w:szCs w:val="20"/>
              </w:rPr>
            </w:pPr>
            <w:r>
              <w:rPr>
                <w:rFonts w:ascii="Arial" w:hAnsi="Arial"/>
                <w:b/>
                <w:bCs/>
                <w:sz w:val="20"/>
                <w:szCs w:val="20"/>
              </w:rPr>
              <w:t>Index</w:t>
            </w:r>
          </w:p>
        </w:tc>
      </w:tr>
      <w:tr w:rsidR="00BC65E2" w:rsidRPr="001A0537" w14:paraId="5AF3AE55" w14:textId="77777777" w:rsidTr="00D55AE4">
        <w:trPr>
          <w:trHeight w:val="296"/>
        </w:trPr>
        <w:tc>
          <w:tcPr>
            <w:tcW w:w="4390" w:type="dxa"/>
            <w:tcBorders>
              <w:top w:val="nil"/>
              <w:left w:val="single" w:sz="4" w:space="0" w:color="auto"/>
              <w:bottom w:val="single" w:sz="4" w:space="0" w:color="auto"/>
              <w:right w:val="single" w:sz="4" w:space="0" w:color="auto"/>
            </w:tcBorders>
            <w:shd w:val="clear" w:color="000000" w:fill="F2F2F2"/>
            <w:vAlign w:val="center"/>
            <w:hideMark/>
          </w:tcPr>
          <w:p w14:paraId="528F8100" w14:textId="77777777" w:rsidR="00BC65E2" w:rsidRPr="001A0537" w:rsidRDefault="00BC65E2" w:rsidP="00D55AE4">
            <w:pPr>
              <w:rPr>
                <w:rFonts w:ascii="Arial" w:hAnsi="Arial" w:cs="Arial"/>
                <w:b/>
                <w:bCs/>
                <w:sz w:val="20"/>
                <w:szCs w:val="20"/>
              </w:rPr>
            </w:pPr>
            <w:r>
              <w:rPr>
                <w:rFonts w:ascii="Arial" w:hAnsi="Arial"/>
                <w:b/>
                <w:bCs/>
                <w:sz w:val="20"/>
                <w:szCs w:val="20"/>
              </w:rPr>
              <w:t>I CURRENT EXPENDITURES</w:t>
            </w:r>
          </w:p>
        </w:tc>
        <w:tc>
          <w:tcPr>
            <w:tcW w:w="1275" w:type="dxa"/>
            <w:tcBorders>
              <w:top w:val="nil"/>
              <w:left w:val="nil"/>
              <w:bottom w:val="single" w:sz="4" w:space="0" w:color="auto"/>
              <w:right w:val="single" w:sz="4" w:space="0" w:color="auto"/>
            </w:tcBorders>
            <w:shd w:val="clear" w:color="000000" w:fill="F2F2F2"/>
            <w:vAlign w:val="center"/>
            <w:hideMark/>
          </w:tcPr>
          <w:p w14:paraId="6654BFE7" w14:textId="77777777" w:rsidR="00BC65E2" w:rsidRPr="001A0537" w:rsidRDefault="00BC65E2" w:rsidP="00D55AE4">
            <w:pPr>
              <w:jc w:val="right"/>
              <w:rPr>
                <w:rFonts w:ascii="Arial" w:hAnsi="Arial" w:cs="Arial"/>
                <w:b/>
                <w:bCs/>
                <w:sz w:val="20"/>
                <w:szCs w:val="20"/>
              </w:rPr>
            </w:pPr>
            <w:r>
              <w:rPr>
                <w:rFonts w:ascii="Arial" w:hAnsi="Arial"/>
                <w:b/>
                <w:bCs/>
                <w:sz w:val="20"/>
                <w:szCs w:val="20"/>
              </w:rPr>
              <w:t>5,094,000</w:t>
            </w:r>
          </w:p>
        </w:tc>
        <w:tc>
          <w:tcPr>
            <w:tcW w:w="1276" w:type="dxa"/>
            <w:tcBorders>
              <w:top w:val="nil"/>
              <w:left w:val="nil"/>
              <w:bottom w:val="single" w:sz="4" w:space="0" w:color="auto"/>
              <w:right w:val="single" w:sz="4" w:space="0" w:color="auto"/>
            </w:tcBorders>
            <w:shd w:val="clear" w:color="000000" w:fill="F2F2F2"/>
            <w:vAlign w:val="center"/>
          </w:tcPr>
          <w:p w14:paraId="5C52F821" w14:textId="77777777" w:rsidR="00BC65E2" w:rsidRPr="001A0537" w:rsidRDefault="00BC65E2" w:rsidP="00D55AE4">
            <w:pPr>
              <w:jc w:val="right"/>
              <w:rPr>
                <w:rFonts w:ascii="Arial" w:hAnsi="Arial" w:cs="Arial"/>
                <w:b/>
                <w:bCs/>
                <w:sz w:val="20"/>
                <w:szCs w:val="20"/>
              </w:rPr>
            </w:pPr>
            <w:r>
              <w:rPr>
                <w:rFonts w:ascii="Arial" w:hAnsi="Arial"/>
                <w:b/>
                <w:bCs/>
                <w:sz w:val="20"/>
                <w:szCs w:val="20"/>
              </w:rPr>
              <w:t>4,928,563</w:t>
            </w:r>
          </w:p>
        </w:tc>
        <w:tc>
          <w:tcPr>
            <w:tcW w:w="1276" w:type="dxa"/>
            <w:tcBorders>
              <w:top w:val="nil"/>
              <w:left w:val="nil"/>
              <w:bottom w:val="single" w:sz="4" w:space="0" w:color="auto"/>
              <w:right w:val="single" w:sz="4" w:space="0" w:color="auto"/>
            </w:tcBorders>
            <w:shd w:val="clear" w:color="000000" w:fill="F2F2F2"/>
            <w:vAlign w:val="center"/>
            <w:hideMark/>
          </w:tcPr>
          <w:p w14:paraId="7605E373" w14:textId="77777777" w:rsidR="00BC65E2" w:rsidRPr="001A0537" w:rsidRDefault="00BC65E2" w:rsidP="00D55AE4">
            <w:pPr>
              <w:jc w:val="center"/>
              <w:rPr>
                <w:rFonts w:ascii="Arial" w:hAnsi="Arial" w:cs="Arial"/>
                <w:b/>
                <w:bCs/>
                <w:sz w:val="20"/>
                <w:szCs w:val="20"/>
              </w:rPr>
            </w:pPr>
            <w:r>
              <w:rPr>
                <w:rFonts w:ascii="Arial" w:hAnsi="Arial"/>
                <w:b/>
                <w:bCs/>
                <w:sz w:val="20"/>
                <w:szCs w:val="20"/>
              </w:rPr>
              <w:t>97%</w:t>
            </w:r>
          </w:p>
        </w:tc>
      </w:tr>
      <w:tr w:rsidR="00BC65E2" w:rsidRPr="001A0537" w14:paraId="67DF9EB1"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5173E0F3" w14:textId="77777777" w:rsidR="00BC65E2" w:rsidRPr="001A0537" w:rsidRDefault="00BC65E2" w:rsidP="00D55AE4">
            <w:pPr>
              <w:rPr>
                <w:rFonts w:ascii="Arial" w:hAnsi="Arial" w:cs="Arial"/>
                <w:sz w:val="20"/>
                <w:szCs w:val="20"/>
              </w:rPr>
            </w:pPr>
            <w:r>
              <w:rPr>
                <w:rFonts w:ascii="Arial" w:hAnsi="Arial"/>
                <w:sz w:val="20"/>
                <w:szCs w:val="20"/>
              </w:rPr>
              <w:t>Gross salaries and other payments</w:t>
            </w:r>
          </w:p>
        </w:tc>
        <w:tc>
          <w:tcPr>
            <w:tcW w:w="1275" w:type="dxa"/>
            <w:tcBorders>
              <w:top w:val="nil"/>
              <w:left w:val="nil"/>
              <w:bottom w:val="single" w:sz="4" w:space="0" w:color="auto"/>
              <w:right w:val="single" w:sz="4" w:space="0" w:color="auto"/>
            </w:tcBorders>
            <w:shd w:val="clear" w:color="auto" w:fill="auto"/>
            <w:vAlign w:val="center"/>
            <w:hideMark/>
          </w:tcPr>
          <w:p w14:paraId="65899D98" w14:textId="77777777" w:rsidR="00BC65E2" w:rsidRPr="001A0537" w:rsidRDefault="00BC65E2" w:rsidP="00D55AE4">
            <w:pPr>
              <w:jc w:val="right"/>
              <w:rPr>
                <w:rFonts w:ascii="Arial" w:hAnsi="Arial" w:cs="Arial"/>
                <w:sz w:val="20"/>
                <w:szCs w:val="20"/>
              </w:rPr>
            </w:pPr>
            <w:r>
              <w:rPr>
                <w:rFonts w:ascii="Arial" w:hAnsi="Arial"/>
                <w:sz w:val="20"/>
                <w:szCs w:val="20"/>
              </w:rPr>
              <w:t>3,577,000</w:t>
            </w:r>
          </w:p>
        </w:tc>
        <w:tc>
          <w:tcPr>
            <w:tcW w:w="1276" w:type="dxa"/>
            <w:tcBorders>
              <w:top w:val="nil"/>
              <w:left w:val="nil"/>
              <w:bottom w:val="single" w:sz="4" w:space="0" w:color="auto"/>
              <w:right w:val="single" w:sz="4" w:space="0" w:color="auto"/>
            </w:tcBorders>
            <w:shd w:val="clear" w:color="auto" w:fill="auto"/>
            <w:vAlign w:val="center"/>
          </w:tcPr>
          <w:p w14:paraId="6B6FCFD2" w14:textId="77777777" w:rsidR="00BC65E2" w:rsidRPr="001A0537" w:rsidRDefault="00BC65E2" w:rsidP="00D55AE4">
            <w:pPr>
              <w:jc w:val="right"/>
              <w:rPr>
                <w:rFonts w:ascii="Arial" w:hAnsi="Arial" w:cs="Arial"/>
                <w:sz w:val="20"/>
                <w:szCs w:val="20"/>
              </w:rPr>
            </w:pPr>
            <w:r>
              <w:rPr>
                <w:rFonts w:ascii="Arial" w:hAnsi="Arial"/>
                <w:sz w:val="20"/>
                <w:szCs w:val="20"/>
              </w:rPr>
              <w:t>3,524,427</w:t>
            </w:r>
          </w:p>
        </w:tc>
        <w:tc>
          <w:tcPr>
            <w:tcW w:w="1276" w:type="dxa"/>
            <w:tcBorders>
              <w:top w:val="nil"/>
              <w:left w:val="nil"/>
              <w:bottom w:val="single" w:sz="4" w:space="0" w:color="auto"/>
              <w:right w:val="single" w:sz="4" w:space="0" w:color="auto"/>
            </w:tcBorders>
            <w:shd w:val="clear" w:color="auto" w:fill="auto"/>
            <w:vAlign w:val="center"/>
            <w:hideMark/>
          </w:tcPr>
          <w:p w14:paraId="3B8491F1" w14:textId="77777777" w:rsidR="00BC65E2" w:rsidRPr="001A0537" w:rsidRDefault="00BC65E2" w:rsidP="00D55AE4">
            <w:pPr>
              <w:jc w:val="center"/>
              <w:rPr>
                <w:rFonts w:ascii="Arial" w:hAnsi="Arial" w:cs="Arial"/>
                <w:sz w:val="20"/>
                <w:szCs w:val="20"/>
                <w:highlight w:val="yellow"/>
              </w:rPr>
            </w:pPr>
            <w:r>
              <w:rPr>
                <w:rFonts w:ascii="Arial" w:hAnsi="Arial"/>
                <w:sz w:val="20"/>
                <w:szCs w:val="20"/>
              </w:rPr>
              <w:t>99%</w:t>
            </w:r>
          </w:p>
        </w:tc>
      </w:tr>
      <w:tr w:rsidR="00BC65E2" w:rsidRPr="001A0537" w14:paraId="65BCB8B1"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08D7EBD5" w14:textId="77777777" w:rsidR="00BC65E2" w:rsidRPr="001A0537" w:rsidRDefault="00BC65E2" w:rsidP="00D55AE4">
            <w:pPr>
              <w:rPr>
                <w:rFonts w:ascii="Arial" w:hAnsi="Arial" w:cs="Arial"/>
                <w:sz w:val="20"/>
                <w:szCs w:val="20"/>
              </w:rPr>
            </w:pPr>
            <w:r>
              <w:rPr>
                <w:rFonts w:ascii="Arial" w:hAnsi="Arial"/>
                <w:sz w:val="20"/>
                <w:szCs w:val="20"/>
              </w:rPr>
              <w:t>Employee reimbursements</w:t>
            </w:r>
          </w:p>
        </w:tc>
        <w:tc>
          <w:tcPr>
            <w:tcW w:w="1275" w:type="dxa"/>
            <w:tcBorders>
              <w:top w:val="nil"/>
              <w:left w:val="nil"/>
              <w:bottom w:val="single" w:sz="4" w:space="0" w:color="auto"/>
              <w:right w:val="single" w:sz="4" w:space="0" w:color="auto"/>
            </w:tcBorders>
            <w:shd w:val="clear" w:color="auto" w:fill="auto"/>
            <w:vAlign w:val="center"/>
            <w:hideMark/>
          </w:tcPr>
          <w:p w14:paraId="5E7F03B3" w14:textId="77777777" w:rsidR="00BC65E2" w:rsidRPr="001A0537" w:rsidRDefault="00BC65E2" w:rsidP="00D55AE4">
            <w:pPr>
              <w:jc w:val="right"/>
              <w:rPr>
                <w:rFonts w:ascii="Arial" w:hAnsi="Arial" w:cs="Arial"/>
                <w:sz w:val="20"/>
                <w:szCs w:val="20"/>
              </w:rPr>
            </w:pPr>
            <w:r>
              <w:rPr>
                <w:rFonts w:ascii="Arial" w:hAnsi="Arial"/>
                <w:sz w:val="20"/>
                <w:szCs w:val="20"/>
              </w:rPr>
              <w:t>146,000</w:t>
            </w:r>
          </w:p>
        </w:tc>
        <w:tc>
          <w:tcPr>
            <w:tcW w:w="1276" w:type="dxa"/>
            <w:tcBorders>
              <w:top w:val="nil"/>
              <w:left w:val="nil"/>
              <w:bottom w:val="single" w:sz="4" w:space="0" w:color="auto"/>
              <w:right w:val="single" w:sz="4" w:space="0" w:color="auto"/>
            </w:tcBorders>
            <w:shd w:val="clear" w:color="auto" w:fill="auto"/>
            <w:vAlign w:val="center"/>
          </w:tcPr>
          <w:p w14:paraId="49BDC225" w14:textId="77777777" w:rsidR="00BC65E2" w:rsidRPr="001A0537" w:rsidRDefault="00BC65E2" w:rsidP="00D55AE4">
            <w:pPr>
              <w:jc w:val="right"/>
              <w:rPr>
                <w:rFonts w:ascii="Arial" w:hAnsi="Arial" w:cs="Arial"/>
                <w:sz w:val="20"/>
                <w:szCs w:val="20"/>
              </w:rPr>
            </w:pPr>
            <w:r>
              <w:rPr>
                <w:rFonts w:ascii="Arial" w:hAnsi="Arial"/>
                <w:sz w:val="20"/>
                <w:szCs w:val="20"/>
              </w:rPr>
              <w:t>135,619</w:t>
            </w:r>
          </w:p>
        </w:tc>
        <w:tc>
          <w:tcPr>
            <w:tcW w:w="1276" w:type="dxa"/>
            <w:tcBorders>
              <w:top w:val="nil"/>
              <w:left w:val="nil"/>
              <w:bottom w:val="single" w:sz="4" w:space="0" w:color="auto"/>
              <w:right w:val="single" w:sz="4" w:space="0" w:color="auto"/>
            </w:tcBorders>
            <w:shd w:val="clear" w:color="auto" w:fill="auto"/>
            <w:vAlign w:val="center"/>
            <w:hideMark/>
          </w:tcPr>
          <w:p w14:paraId="0FCDD04C" w14:textId="77777777" w:rsidR="00BC65E2" w:rsidRPr="001A0537" w:rsidRDefault="00BC65E2" w:rsidP="00D55AE4">
            <w:pPr>
              <w:jc w:val="center"/>
              <w:rPr>
                <w:rFonts w:ascii="Arial" w:hAnsi="Arial" w:cs="Arial"/>
                <w:sz w:val="20"/>
                <w:szCs w:val="20"/>
                <w:highlight w:val="yellow"/>
              </w:rPr>
            </w:pPr>
            <w:r>
              <w:rPr>
                <w:rFonts w:ascii="Arial" w:hAnsi="Arial"/>
                <w:sz w:val="20"/>
                <w:szCs w:val="20"/>
              </w:rPr>
              <w:t>93%</w:t>
            </w:r>
          </w:p>
        </w:tc>
      </w:tr>
      <w:tr w:rsidR="00BC65E2" w:rsidRPr="001A0537" w14:paraId="348A3789"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14064A47" w14:textId="77777777" w:rsidR="00BC65E2" w:rsidRPr="001A0537" w:rsidRDefault="00BC65E2" w:rsidP="00D55AE4">
            <w:pPr>
              <w:rPr>
                <w:rFonts w:ascii="Arial" w:hAnsi="Arial" w:cs="Arial"/>
                <w:sz w:val="20"/>
                <w:szCs w:val="20"/>
              </w:rPr>
            </w:pPr>
            <w:r>
              <w:rPr>
                <w:rFonts w:ascii="Arial" w:hAnsi="Arial"/>
                <w:sz w:val="20"/>
                <w:szCs w:val="20"/>
              </w:rPr>
              <w:t>Travel expenses</w:t>
            </w:r>
          </w:p>
        </w:tc>
        <w:tc>
          <w:tcPr>
            <w:tcW w:w="1275" w:type="dxa"/>
            <w:tcBorders>
              <w:top w:val="nil"/>
              <w:left w:val="nil"/>
              <w:bottom w:val="single" w:sz="4" w:space="0" w:color="auto"/>
              <w:right w:val="single" w:sz="4" w:space="0" w:color="auto"/>
            </w:tcBorders>
            <w:shd w:val="clear" w:color="auto" w:fill="auto"/>
            <w:vAlign w:val="center"/>
            <w:hideMark/>
          </w:tcPr>
          <w:p w14:paraId="505C2F74" w14:textId="77777777" w:rsidR="00BC65E2" w:rsidRPr="001A0537" w:rsidRDefault="00BC65E2" w:rsidP="00D55AE4">
            <w:pPr>
              <w:jc w:val="right"/>
              <w:rPr>
                <w:rFonts w:ascii="Arial" w:hAnsi="Arial" w:cs="Arial"/>
                <w:sz w:val="20"/>
                <w:szCs w:val="20"/>
              </w:rPr>
            </w:pPr>
            <w:r>
              <w:rPr>
                <w:rFonts w:ascii="Arial" w:hAnsi="Arial"/>
                <w:sz w:val="20"/>
                <w:szCs w:val="20"/>
              </w:rPr>
              <w:t>126,000</w:t>
            </w:r>
          </w:p>
        </w:tc>
        <w:tc>
          <w:tcPr>
            <w:tcW w:w="1276" w:type="dxa"/>
            <w:tcBorders>
              <w:top w:val="nil"/>
              <w:left w:val="nil"/>
              <w:bottom w:val="single" w:sz="4" w:space="0" w:color="auto"/>
              <w:right w:val="single" w:sz="4" w:space="0" w:color="auto"/>
            </w:tcBorders>
            <w:shd w:val="clear" w:color="auto" w:fill="auto"/>
            <w:vAlign w:val="center"/>
          </w:tcPr>
          <w:p w14:paraId="7B954EAD" w14:textId="77777777" w:rsidR="00BC65E2" w:rsidRPr="001A0537" w:rsidRDefault="00BC65E2" w:rsidP="00D55AE4">
            <w:pPr>
              <w:jc w:val="right"/>
              <w:rPr>
                <w:rFonts w:ascii="Arial" w:hAnsi="Arial" w:cs="Arial"/>
                <w:sz w:val="20"/>
                <w:szCs w:val="20"/>
              </w:rPr>
            </w:pPr>
            <w:r>
              <w:rPr>
                <w:rFonts w:ascii="Arial" w:hAnsi="Arial"/>
                <w:sz w:val="20"/>
                <w:szCs w:val="20"/>
              </w:rPr>
              <w:t>116,875</w:t>
            </w:r>
          </w:p>
        </w:tc>
        <w:tc>
          <w:tcPr>
            <w:tcW w:w="1276" w:type="dxa"/>
            <w:tcBorders>
              <w:top w:val="nil"/>
              <w:left w:val="nil"/>
              <w:bottom w:val="single" w:sz="4" w:space="0" w:color="auto"/>
              <w:right w:val="single" w:sz="4" w:space="0" w:color="auto"/>
            </w:tcBorders>
            <w:shd w:val="clear" w:color="auto" w:fill="auto"/>
            <w:vAlign w:val="center"/>
            <w:hideMark/>
          </w:tcPr>
          <w:p w14:paraId="29F84560" w14:textId="77777777" w:rsidR="00BC65E2" w:rsidRPr="001A0537" w:rsidRDefault="00BC65E2" w:rsidP="00D55AE4">
            <w:pPr>
              <w:jc w:val="center"/>
              <w:rPr>
                <w:rFonts w:ascii="Arial" w:hAnsi="Arial" w:cs="Arial"/>
                <w:sz w:val="20"/>
                <w:szCs w:val="20"/>
                <w:highlight w:val="yellow"/>
              </w:rPr>
            </w:pPr>
            <w:r>
              <w:rPr>
                <w:rFonts w:ascii="Arial" w:hAnsi="Arial"/>
                <w:sz w:val="20"/>
                <w:szCs w:val="20"/>
              </w:rPr>
              <w:t>93%</w:t>
            </w:r>
          </w:p>
        </w:tc>
      </w:tr>
      <w:tr w:rsidR="00BC65E2" w:rsidRPr="001A0537" w14:paraId="259CEF1E"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35815D6F" w14:textId="77777777" w:rsidR="00BC65E2" w:rsidRPr="001A0537" w:rsidRDefault="00BC65E2" w:rsidP="00D55AE4">
            <w:pPr>
              <w:rPr>
                <w:rFonts w:ascii="Arial" w:hAnsi="Arial" w:cs="Arial"/>
                <w:sz w:val="20"/>
                <w:szCs w:val="20"/>
              </w:rPr>
            </w:pPr>
            <w:r>
              <w:rPr>
                <w:rFonts w:ascii="Arial" w:hAnsi="Arial"/>
                <w:sz w:val="20"/>
                <w:szCs w:val="20"/>
              </w:rPr>
              <w:t>Telephone and postal services</w:t>
            </w:r>
          </w:p>
        </w:tc>
        <w:tc>
          <w:tcPr>
            <w:tcW w:w="1275" w:type="dxa"/>
            <w:tcBorders>
              <w:top w:val="nil"/>
              <w:left w:val="nil"/>
              <w:bottom w:val="single" w:sz="4" w:space="0" w:color="auto"/>
              <w:right w:val="single" w:sz="4" w:space="0" w:color="auto"/>
            </w:tcBorders>
            <w:shd w:val="clear" w:color="auto" w:fill="auto"/>
            <w:vAlign w:val="center"/>
            <w:hideMark/>
          </w:tcPr>
          <w:p w14:paraId="3EEA3CEC" w14:textId="77777777" w:rsidR="00BC65E2" w:rsidRPr="001A0537" w:rsidRDefault="00BC65E2" w:rsidP="00D55AE4">
            <w:pPr>
              <w:jc w:val="right"/>
              <w:rPr>
                <w:rFonts w:ascii="Arial" w:hAnsi="Arial" w:cs="Arial"/>
                <w:sz w:val="20"/>
                <w:szCs w:val="20"/>
              </w:rPr>
            </w:pPr>
            <w:r>
              <w:rPr>
                <w:rFonts w:ascii="Arial" w:hAnsi="Arial"/>
                <w:sz w:val="20"/>
                <w:szCs w:val="20"/>
              </w:rPr>
              <w:t>48,000</w:t>
            </w:r>
          </w:p>
        </w:tc>
        <w:tc>
          <w:tcPr>
            <w:tcW w:w="1276" w:type="dxa"/>
            <w:tcBorders>
              <w:top w:val="nil"/>
              <w:left w:val="nil"/>
              <w:bottom w:val="single" w:sz="4" w:space="0" w:color="auto"/>
              <w:right w:val="single" w:sz="4" w:space="0" w:color="auto"/>
            </w:tcBorders>
            <w:shd w:val="clear" w:color="auto" w:fill="auto"/>
            <w:vAlign w:val="center"/>
          </w:tcPr>
          <w:p w14:paraId="3B2FFC28" w14:textId="77777777" w:rsidR="00BC65E2" w:rsidRPr="001A0537" w:rsidRDefault="00BC65E2" w:rsidP="00D55AE4">
            <w:pPr>
              <w:jc w:val="right"/>
              <w:rPr>
                <w:rFonts w:ascii="Arial" w:hAnsi="Arial" w:cs="Arial"/>
                <w:sz w:val="20"/>
                <w:szCs w:val="20"/>
              </w:rPr>
            </w:pPr>
            <w:r>
              <w:rPr>
                <w:rFonts w:ascii="Arial" w:hAnsi="Arial"/>
                <w:sz w:val="20"/>
                <w:szCs w:val="20"/>
              </w:rPr>
              <w:t>43,486</w:t>
            </w:r>
          </w:p>
        </w:tc>
        <w:tc>
          <w:tcPr>
            <w:tcW w:w="1276" w:type="dxa"/>
            <w:tcBorders>
              <w:top w:val="nil"/>
              <w:left w:val="nil"/>
              <w:bottom w:val="single" w:sz="4" w:space="0" w:color="auto"/>
              <w:right w:val="single" w:sz="4" w:space="0" w:color="auto"/>
            </w:tcBorders>
            <w:shd w:val="clear" w:color="auto" w:fill="auto"/>
            <w:vAlign w:val="center"/>
            <w:hideMark/>
          </w:tcPr>
          <w:p w14:paraId="3AE95CE1" w14:textId="77777777" w:rsidR="00BC65E2" w:rsidRPr="001A0537" w:rsidRDefault="00BC65E2" w:rsidP="00D55AE4">
            <w:pPr>
              <w:jc w:val="center"/>
              <w:rPr>
                <w:rFonts w:ascii="Arial" w:hAnsi="Arial" w:cs="Arial"/>
                <w:sz w:val="20"/>
                <w:szCs w:val="20"/>
              </w:rPr>
            </w:pPr>
            <w:r>
              <w:rPr>
                <w:rFonts w:ascii="Arial" w:hAnsi="Arial"/>
                <w:sz w:val="20"/>
                <w:szCs w:val="20"/>
              </w:rPr>
              <w:t>91%</w:t>
            </w:r>
          </w:p>
        </w:tc>
      </w:tr>
      <w:tr w:rsidR="00BC65E2" w:rsidRPr="001A0537" w14:paraId="536AF614"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108E2167" w14:textId="77777777" w:rsidR="00BC65E2" w:rsidRPr="001A0537" w:rsidRDefault="00BC65E2" w:rsidP="00D55AE4">
            <w:pPr>
              <w:rPr>
                <w:rFonts w:ascii="Arial" w:hAnsi="Arial" w:cs="Arial"/>
                <w:sz w:val="20"/>
                <w:szCs w:val="20"/>
              </w:rPr>
            </w:pPr>
            <w:r>
              <w:rPr>
                <w:rFonts w:ascii="Arial" w:hAnsi="Arial"/>
                <w:sz w:val="20"/>
                <w:szCs w:val="20"/>
              </w:rPr>
              <w:t xml:space="preserve">Power and utilities </w:t>
            </w:r>
          </w:p>
        </w:tc>
        <w:tc>
          <w:tcPr>
            <w:tcW w:w="1275" w:type="dxa"/>
            <w:tcBorders>
              <w:top w:val="nil"/>
              <w:left w:val="nil"/>
              <w:bottom w:val="single" w:sz="4" w:space="0" w:color="auto"/>
              <w:right w:val="single" w:sz="4" w:space="0" w:color="auto"/>
            </w:tcBorders>
            <w:shd w:val="clear" w:color="auto" w:fill="auto"/>
            <w:vAlign w:val="center"/>
            <w:hideMark/>
          </w:tcPr>
          <w:p w14:paraId="37A4152E" w14:textId="77777777" w:rsidR="00BC65E2" w:rsidRPr="001A0537" w:rsidRDefault="00BC65E2" w:rsidP="00D55AE4">
            <w:pPr>
              <w:jc w:val="right"/>
              <w:rPr>
                <w:rFonts w:ascii="Arial" w:hAnsi="Arial" w:cs="Arial"/>
                <w:sz w:val="20"/>
                <w:szCs w:val="20"/>
              </w:rPr>
            </w:pPr>
            <w:r>
              <w:rPr>
                <w:rFonts w:ascii="Arial" w:hAnsi="Arial"/>
                <w:sz w:val="20"/>
                <w:szCs w:val="20"/>
              </w:rPr>
              <w:t>75,000</w:t>
            </w:r>
          </w:p>
        </w:tc>
        <w:tc>
          <w:tcPr>
            <w:tcW w:w="1276" w:type="dxa"/>
            <w:tcBorders>
              <w:top w:val="nil"/>
              <w:left w:val="nil"/>
              <w:bottom w:val="single" w:sz="4" w:space="0" w:color="auto"/>
              <w:right w:val="single" w:sz="4" w:space="0" w:color="auto"/>
            </w:tcBorders>
            <w:shd w:val="clear" w:color="auto" w:fill="auto"/>
            <w:vAlign w:val="center"/>
          </w:tcPr>
          <w:p w14:paraId="2CCD585C" w14:textId="77777777" w:rsidR="00BC65E2" w:rsidRPr="001A0537" w:rsidRDefault="00BC65E2" w:rsidP="00D55AE4">
            <w:pPr>
              <w:jc w:val="right"/>
              <w:rPr>
                <w:rFonts w:ascii="Arial" w:hAnsi="Arial" w:cs="Arial"/>
                <w:sz w:val="20"/>
                <w:szCs w:val="20"/>
              </w:rPr>
            </w:pPr>
            <w:r>
              <w:rPr>
                <w:rFonts w:ascii="Arial" w:hAnsi="Arial"/>
                <w:sz w:val="20"/>
                <w:szCs w:val="20"/>
              </w:rPr>
              <w:t>63,476</w:t>
            </w:r>
          </w:p>
        </w:tc>
        <w:tc>
          <w:tcPr>
            <w:tcW w:w="1276" w:type="dxa"/>
            <w:tcBorders>
              <w:top w:val="nil"/>
              <w:left w:val="nil"/>
              <w:bottom w:val="single" w:sz="4" w:space="0" w:color="auto"/>
              <w:right w:val="single" w:sz="4" w:space="0" w:color="auto"/>
            </w:tcBorders>
            <w:shd w:val="clear" w:color="auto" w:fill="auto"/>
            <w:vAlign w:val="center"/>
            <w:hideMark/>
          </w:tcPr>
          <w:p w14:paraId="5CC3824F" w14:textId="77777777" w:rsidR="00BC65E2" w:rsidRPr="001A0537" w:rsidRDefault="00BC65E2" w:rsidP="00D55AE4">
            <w:pPr>
              <w:jc w:val="center"/>
              <w:rPr>
                <w:rFonts w:ascii="Arial" w:hAnsi="Arial" w:cs="Arial"/>
                <w:sz w:val="20"/>
                <w:szCs w:val="20"/>
              </w:rPr>
            </w:pPr>
            <w:r>
              <w:rPr>
                <w:rFonts w:ascii="Arial" w:hAnsi="Arial"/>
                <w:sz w:val="20"/>
                <w:szCs w:val="20"/>
              </w:rPr>
              <w:t>85%</w:t>
            </w:r>
          </w:p>
        </w:tc>
      </w:tr>
      <w:tr w:rsidR="00BC65E2" w:rsidRPr="001A0537" w14:paraId="1CE4AE5B"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496F2DE3" w14:textId="77777777" w:rsidR="00BC65E2" w:rsidRPr="001A0537" w:rsidRDefault="00BC65E2" w:rsidP="00D55AE4">
            <w:pPr>
              <w:rPr>
                <w:rFonts w:ascii="Arial" w:hAnsi="Arial" w:cs="Arial"/>
                <w:sz w:val="20"/>
                <w:szCs w:val="20"/>
              </w:rPr>
            </w:pPr>
            <w:r>
              <w:rPr>
                <w:rFonts w:ascii="Arial" w:hAnsi="Arial"/>
                <w:sz w:val="20"/>
                <w:szCs w:val="20"/>
              </w:rPr>
              <w:t>Supplies</w:t>
            </w:r>
          </w:p>
        </w:tc>
        <w:tc>
          <w:tcPr>
            <w:tcW w:w="1275" w:type="dxa"/>
            <w:tcBorders>
              <w:top w:val="nil"/>
              <w:left w:val="nil"/>
              <w:bottom w:val="single" w:sz="4" w:space="0" w:color="auto"/>
              <w:right w:val="single" w:sz="4" w:space="0" w:color="auto"/>
            </w:tcBorders>
            <w:shd w:val="clear" w:color="auto" w:fill="auto"/>
            <w:vAlign w:val="center"/>
            <w:hideMark/>
          </w:tcPr>
          <w:p w14:paraId="49404863" w14:textId="77777777" w:rsidR="00BC65E2" w:rsidRPr="001A0537" w:rsidRDefault="00BC65E2" w:rsidP="00D55AE4">
            <w:pPr>
              <w:jc w:val="right"/>
              <w:rPr>
                <w:rFonts w:ascii="Arial" w:hAnsi="Arial" w:cs="Arial"/>
                <w:sz w:val="20"/>
                <w:szCs w:val="20"/>
              </w:rPr>
            </w:pPr>
            <w:r>
              <w:rPr>
                <w:rFonts w:ascii="Arial" w:hAnsi="Arial"/>
                <w:sz w:val="20"/>
                <w:szCs w:val="20"/>
              </w:rPr>
              <w:t>9,000</w:t>
            </w:r>
          </w:p>
        </w:tc>
        <w:tc>
          <w:tcPr>
            <w:tcW w:w="1276" w:type="dxa"/>
            <w:tcBorders>
              <w:top w:val="nil"/>
              <w:left w:val="nil"/>
              <w:bottom w:val="single" w:sz="4" w:space="0" w:color="auto"/>
              <w:right w:val="single" w:sz="4" w:space="0" w:color="auto"/>
            </w:tcBorders>
            <w:shd w:val="clear" w:color="auto" w:fill="auto"/>
            <w:vAlign w:val="center"/>
          </w:tcPr>
          <w:p w14:paraId="4225DF86" w14:textId="77777777" w:rsidR="00BC65E2" w:rsidRPr="001A0537" w:rsidRDefault="00BC65E2" w:rsidP="00D55AE4">
            <w:pPr>
              <w:jc w:val="right"/>
              <w:rPr>
                <w:rFonts w:ascii="Arial" w:hAnsi="Arial" w:cs="Arial"/>
                <w:sz w:val="20"/>
                <w:szCs w:val="20"/>
              </w:rPr>
            </w:pPr>
            <w:r>
              <w:rPr>
                <w:rFonts w:ascii="Arial" w:hAnsi="Arial"/>
                <w:sz w:val="20"/>
                <w:szCs w:val="20"/>
              </w:rPr>
              <w:t>8,978</w:t>
            </w:r>
          </w:p>
        </w:tc>
        <w:tc>
          <w:tcPr>
            <w:tcW w:w="1276" w:type="dxa"/>
            <w:tcBorders>
              <w:top w:val="nil"/>
              <w:left w:val="nil"/>
              <w:bottom w:val="single" w:sz="4" w:space="0" w:color="auto"/>
              <w:right w:val="single" w:sz="4" w:space="0" w:color="auto"/>
            </w:tcBorders>
            <w:shd w:val="clear" w:color="auto" w:fill="auto"/>
            <w:vAlign w:val="center"/>
            <w:hideMark/>
          </w:tcPr>
          <w:p w14:paraId="41FCDE30" w14:textId="77777777" w:rsidR="00BC65E2" w:rsidRPr="001A0537" w:rsidRDefault="00BC65E2" w:rsidP="00D55AE4">
            <w:pPr>
              <w:jc w:val="center"/>
              <w:rPr>
                <w:rFonts w:ascii="Arial" w:hAnsi="Arial" w:cs="Arial"/>
                <w:sz w:val="20"/>
                <w:szCs w:val="20"/>
              </w:rPr>
            </w:pPr>
            <w:r>
              <w:rPr>
                <w:rFonts w:ascii="Arial" w:hAnsi="Arial"/>
                <w:sz w:val="20"/>
                <w:szCs w:val="20"/>
              </w:rPr>
              <w:t>100%</w:t>
            </w:r>
          </w:p>
        </w:tc>
      </w:tr>
      <w:tr w:rsidR="00BC65E2" w:rsidRPr="001A0537" w14:paraId="0CF20664"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0C01A783" w14:textId="77777777" w:rsidR="00BC65E2" w:rsidRPr="001A0537" w:rsidRDefault="00BC65E2" w:rsidP="00D55AE4">
            <w:pPr>
              <w:rPr>
                <w:rFonts w:ascii="Arial" w:hAnsi="Arial" w:cs="Arial"/>
                <w:sz w:val="20"/>
                <w:szCs w:val="20"/>
              </w:rPr>
            </w:pPr>
            <w:r>
              <w:rPr>
                <w:rFonts w:ascii="Arial" w:hAnsi="Arial"/>
                <w:sz w:val="20"/>
                <w:szCs w:val="20"/>
              </w:rPr>
              <w:t>Transportation and fuel</w:t>
            </w:r>
          </w:p>
        </w:tc>
        <w:tc>
          <w:tcPr>
            <w:tcW w:w="1275" w:type="dxa"/>
            <w:tcBorders>
              <w:top w:val="nil"/>
              <w:left w:val="nil"/>
              <w:bottom w:val="single" w:sz="4" w:space="0" w:color="auto"/>
              <w:right w:val="single" w:sz="4" w:space="0" w:color="auto"/>
            </w:tcBorders>
            <w:shd w:val="clear" w:color="auto" w:fill="auto"/>
            <w:vAlign w:val="center"/>
            <w:hideMark/>
          </w:tcPr>
          <w:p w14:paraId="368406E3" w14:textId="77777777" w:rsidR="00BC65E2" w:rsidRPr="001A0537" w:rsidRDefault="00BC65E2" w:rsidP="00D55AE4">
            <w:pPr>
              <w:jc w:val="right"/>
              <w:rPr>
                <w:rFonts w:ascii="Arial" w:hAnsi="Arial" w:cs="Arial"/>
                <w:sz w:val="20"/>
                <w:szCs w:val="20"/>
              </w:rPr>
            </w:pPr>
            <w:r>
              <w:rPr>
                <w:rFonts w:ascii="Arial" w:hAnsi="Arial"/>
                <w:sz w:val="20"/>
                <w:szCs w:val="20"/>
              </w:rPr>
              <w:t>41,000</w:t>
            </w:r>
          </w:p>
        </w:tc>
        <w:tc>
          <w:tcPr>
            <w:tcW w:w="1276" w:type="dxa"/>
            <w:tcBorders>
              <w:top w:val="nil"/>
              <w:left w:val="nil"/>
              <w:bottom w:val="single" w:sz="4" w:space="0" w:color="auto"/>
              <w:right w:val="single" w:sz="4" w:space="0" w:color="auto"/>
            </w:tcBorders>
            <w:shd w:val="clear" w:color="auto" w:fill="auto"/>
            <w:vAlign w:val="center"/>
          </w:tcPr>
          <w:p w14:paraId="0208F215" w14:textId="77777777" w:rsidR="00BC65E2" w:rsidRPr="001A0537" w:rsidRDefault="00BC65E2" w:rsidP="00D55AE4">
            <w:pPr>
              <w:jc w:val="right"/>
              <w:rPr>
                <w:rFonts w:ascii="Arial" w:hAnsi="Arial" w:cs="Arial"/>
                <w:sz w:val="20"/>
                <w:szCs w:val="20"/>
              </w:rPr>
            </w:pPr>
            <w:r>
              <w:rPr>
                <w:rFonts w:ascii="Arial" w:hAnsi="Arial"/>
                <w:sz w:val="20"/>
                <w:szCs w:val="20"/>
              </w:rPr>
              <w:t>35,786</w:t>
            </w:r>
          </w:p>
        </w:tc>
        <w:tc>
          <w:tcPr>
            <w:tcW w:w="1276" w:type="dxa"/>
            <w:tcBorders>
              <w:top w:val="nil"/>
              <w:left w:val="nil"/>
              <w:bottom w:val="single" w:sz="4" w:space="0" w:color="auto"/>
              <w:right w:val="single" w:sz="4" w:space="0" w:color="auto"/>
            </w:tcBorders>
            <w:shd w:val="clear" w:color="auto" w:fill="auto"/>
            <w:vAlign w:val="center"/>
            <w:hideMark/>
          </w:tcPr>
          <w:p w14:paraId="2C3BCB46" w14:textId="77777777" w:rsidR="00BC65E2" w:rsidRPr="001A0537" w:rsidRDefault="00BC65E2" w:rsidP="00D55AE4">
            <w:pPr>
              <w:jc w:val="center"/>
              <w:rPr>
                <w:rFonts w:ascii="Arial" w:hAnsi="Arial" w:cs="Arial"/>
                <w:sz w:val="20"/>
                <w:szCs w:val="20"/>
              </w:rPr>
            </w:pPr>
            <w:r>
              <w:rPr>
                <w:rFonts w:ascii="Arial" w:hAnsi="Arial"/>
                <w:sz w:val="20"/>
                <w:szCs w:val="20"/>
              </w:rPr>
              <w:t>87%</w:t>
            </w:r>
          </w:p>
        </w:tc>
      </w:tr>
      <w:tr w:rsidR="00BC65E2" w:rsidRPr="001A0537" w14:paraId="47EE1D00"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3BEBD929" w14:textId="77777777" w:rsidR="00BC65E2" w:rsidRPr="001A0537" w:rsidRDefault="00BC65E2" w:rsidP="00D55AE4">
            <w:pPr>
              <w:rPr>
                <w:rFonts w:ascii="Arial" w:hAnsi="Arial" w:cs="Arial"/>
                <w:sz w:val="20"/>
                <w:szCs w:val="20"/>
              </w:rPr>
            </w:pPr>
            <w:r>
              <w:rPr>
                <w:rFonts w:ascii="Arial" w:hAnsi="Arial"/>
                <w:sz w:val="20"/>
                <w:szCs w:val="20"/>
              </w:rPr>
              <w:t>Lease and rent</w:t>
            </w:r>
          </w:p>
        </w:tc>
        <w:tc>
          <w:tcPr>
            <w:tcW w:w="1275" w:type="dxa"/>
            <w:tcBorders>
              <w:top w:val="nil"/>
              <w:left w:val="nil"/>
              <w:bottom w:val="single" w:sz="4" w:space="0" w:color="auto"/>
              <w:right w:val="single" w:sz="4" w:space="0" w:color="auto"/>
            </w:tcBorders>
            <w:shd w:val="clear" w:color="auto" w:fill="auto"/>
            <w:vAlign w:val="center"/>
            <w:hideMark/>
          </w:tcPr>
          <w:p w14:paraId="61F6C186" w14:textId="77777777" w:rsidR="00BC65E2" w:rsidRPr="001A0537" w:rsidRDefault="00BC65E2" w:rsidP="00D55AE4">
            <w:pPr>
              <w:jc w:val="right"/>
              <w:rPr>
                <w:rFonts w:ascii="Arial" w:hAnsi="Arial" w:cs="Arial"/>
                <w:sz w:val="20"/>
                <w:szCs w:val="20"/>
              </w:rPr>
            </w:pPr>
            <w:r>
              <w:rPr>
                <w:rFonts w:ascii="Arial" w:hAnsi="Arial"/>
                <w:sz w:val="20"/>
                <w:szCs w:val="20"/>
              </w:rPr>
              <w:t>1,000</w:t>
            </w:r>
          </w:p>
        </w:tc>
        <w:tc>
          <w:tcPr>
            <w:tcW w:w="1276" w:type="dxa"/>
            <w:tcBorders>
              <w:top w:val="nil"/>
              <w:left w:val="nil"/>
              <w:bottom w:val="single" w:sz="4" w:space="0" w:color="auto"/>
              <w:right w:val="single" w:sz="4" w:space="0" w:color="auto"/>
            </w:tcBorders>
            <w:shd w:val="clear" w:color="auto" w:fill="auto"/>
            <w:vAlign w:val="center"/>
          </w:tcPr>
          <w:p w14:paraId="526B2465" w14:textId="77777777" w:rsidR="00BC65E2" w:rsidRPr="001A0537" w:rsidRDefault="00BC65E2" w:rsidP="00D55AE4">
            <w:pPr>
              <w:jc w:val="right"/>
              <w:rPr>
                <w:rFonts w:ascii="Arial" w:hAnsi="Arial" w:cs="Arial"/>
                <w:sz w:val="20"/>
                <w:szCs w:val="20"/>
              </w:rPr>
            </w:pPr>
            <w:r>
              <w:rPr>
                <w:rFonts w:ascii="Arial" w:hAnsi="Arial"/>
                <w:sz w:val="20"/>
                <w:szCs w:val="20"/>
              </w:rPr>
              <w:t>49</w:t>
            </w:r>
          </w:p>
        </w:tc>
        <w:tc>
          <w:tcPr>
            <w:tcW w:w="1276" w:type="dxa"/>
            <w:tcBorders>
              <w:top w:val="nil"/>
              <w:left w:val="nil"/>
              <w:bottom w:val="single" w:sz="4" w:space="0" w:color="auto"/>
              <w:right w:val="single" w:sz="4" w:space="0" w:color="auto"/>
            </w:tcBorders>
            <w:shd w:val="clear" w:color="auto" w:fill="auto"/>
            <w:vAlign w:val="center"/>
            <w:hideMark/>
          </w:tcPr>
          <w:p w14:paraId="7360140D" w14:textId="77777777" w:rsidR="00BC65E2" w:rsidRPr="001A0537" w:rsidRDefault="00BC65E2" w:rsidP="00D55AE4">
            <w:pPr>
              <w:jc w:val="center"/>
              <w:rPr>
                <w:rFonts w:ascii="Arial" w:hAnsi="Arial" w:cs="Arial"/>
                <w:sz w:val="20"/>
                <w:szCs w:val="20"/>
                <w:highlight w:val="yellow"/>
              </w:rPr>
            </w:pPr>
            <w:r>
              <w:rPr>
                <w:rFonts w:ascii="Arial" w:hAnsi="Arial"/>
                <w:sz w:val="20"/>
                <w:szCs w:val="20"/>
              </w:rPr>
              <w:t>5%</w:t>
            </w:r>
          </w:p>
        </w:tc>
      </w:tr>
      <w:tr w:rsidR="00BC65E2" w:rsidRPr="001A0537" w14:paraId="13BB4429"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14DB6098" w14:textId="77777777" w:rsidR="00BC65E2" w:rsidRPr="001A0537" w:rsidRDefault="00BC65E2" w:rsidP="00D55AE4">
            <w:pPr>
              <w:rPr>
                <w:rFonts w:ascii="Arial" w:hAnsi="Arial" w:cs="Arial"/>
                <w:sz w:val="20"/>
                <w:szCs w:val="20"/>
              </w:rPr>
            </w:pPr>
            <w:r>
              <w:rPr>
                <w:rFonts w:ascii="Arial" w:hAnsi="Arial"/>
                <w:sz w:val="20"/>
                <w:szCs w:val="20"/>
              </w:rPr>
              <w:t>General maintenance</w:t>
            </w:r>
          </w:p>
        </w:tc>
        <w:tc>
          <w:tcPr>
            <w:tcW w:w="1275" w:type="dxa"/>
            <w:tcBorders>
              <w:top w:val="nil"/>
              <w:left w:val="nil"/>
              <w:bottom w:val="single" w:sz="4" w:space="0" w:color="auto"/>
              <w:right w:val="single" w:sz="4" w:space="0" w:color="auto"/>
            </w:tcBorders>
            <w:shd w:val="clear" w:color="auto" w:fill="auto"/>
            <w:vAlign w:val="center"/>
            <w:hideMark/>
          </w:tcPr>
          <w:p w14:paraId="3F1567A8" w14:textId="77777777" w:rsidR="00BC65E2" w:rsidRPr="001A0537" w:rsidRDefault="00BC65E2" w:rsidP="00D55AE4">
            <w:pPr>
              <w:jc w:val="right"/>
              <w:rPr>
                <w:rFonts w:ascii="Arial" w:hAnsi="Arial" w:cs="Arial"/>
                <w:sz w:val="20"/>
                <w:szCs w:val="20"/>
              </w:rPr>
            </w:pPr>
            <w:r>
              <w:rPr>
                <w:rFonts w:ascii="Arial" w:hAnsi="Arial"/>
                <w:sz w:val="20"/>
                <w:szCs w:val="20"/>
              </w:rPr>
              <w:t>616,000</w:t>
            </w:r>
          </w:p>
        </w:tc>
        <w:tc>
          <w:tcPr>
            <w:tcW w:w="1276" w:type="dxa"/>
            <w:tcBorders>
              <w:top w:val="nil"/>
              <w:left w:val="nil"/>
              <w:bottom w:val="single" w:sz="4" w:space="0" w:color="auto"/>
              <w:right w:val="single" w:sz="4" w:space="0" w:color="auto"/>
            </w:tcBorders>
            <w:shd w:val="clear" w:color="auto" w:fill="auto"/>
            <w:vAlign w:val="center"/>
          </w:tcPr>
          <w:p w14:paraId="333679F7" w14:textId="77777777" w:rsidR="00BC65E2" w:rsidRPr="001A0537" w:rsidRDefault="00BC65E2" w:rsidP="00D55AE4">
            <w:pPr>
              <w:jc w:val="right"/>
              <w:rPr>
                <w:rFonts w:ascii="Arial" w:hAnsi="Arial" w:cs="Arial"/>
                <w:sz w:val="20"/>
                <w:szCs w:val="20"/>
              </w:rPr>
            </w:pPr>
            <w:r>
              <w:rPr>
                <w:rFonts w:ascii="Arial" w:hAnsi="Arial"/>
                <w:sz w:val="20"/>
                <w:szCs w:val="20"/>
              </w:rPr>
              <w:t>593,100</w:t>
            </w:r>
          </w:p>
        </w:tc>
        <w:tc>
          <w:tcPr>
            <w:tcW w:w="1276" w:type="dxa"/>
            <w:tcBorders>
              <w:top w:val="nil"/>
              <w:left w:val="nil"/>
              <w:bottom w:val="single" w:sz="4" w:space="0" w:color="auto"/>
              <w:right w:val="single" w:sz="4" w:space="0" w:color="auto"/>
            </w:tcBorders>
            <w:shd w:val="clear" w:color="auto" w:fill="auto"/>
            <w:vAlign w:val="center"/>
            <w:hideMark/>
          </w:tcPr>
          <w:p w14:paraId="4BF1BBB7" w14:textId="77777777" w:rsidR="00BC65E2" w:rsidRPr="001A0537" w:rsidRDefault="00BC65E2" w:rsidP="00D55AE4">
            <w:pPr>
              <w:jc w:val="center"/>
              <w:rPr>
                <w:rFonts w:ascii="Arial" w:hAnsi="Arial" w:cs="Arial"/>
                <w:sz w:val="20"/>
                <w:szCs w:val="20"/>
              </w:rPr>
            </w:pPr>
            <w:r>
              <w:rPr>
                <w:rFonts w:ascii="Arial" w:hAnsi="Arial"/>
                <w:sz w:val="20"/>
                <w:szCs w:val="20"/>
              </w:rPr>
              <w:t>96%</w:t>
            </w:r>
          </w:p>
        </w:tc>
      </w:tr>
      <w:tr w:rsidR="00BC65E2" w:rsidRPr="001A0537" w14:paraId="2BA84965"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123282DC" w14:textId="77777777" w:rsidR="00BC65E2" w:rsidRPr="001A0537" w:rsidRDefault="00BC65E2" w:rsidP="00D55AE4">
            <w:pPr>
              <w:rPr>
                <w:rFonts w:ascii="Arial" w:hAnsi="Arial" w:cs="Arial"/>
                <w:sz w:val="20"/>
                <w:szCs w:val="20"/>
              </w:rPr>
            </w:pPr>
            <w:r>
              <w:rPr>
                <w:rFonts w:ascii="Arial" w:hAnsi="Arial"/>
                <w:sz w:val="20"/>
                <w:szCs w:val="20"/>
              </w:rPr>
              <w:t>Insurance and payment operations</w:t>
            </w:r>
          </w:p>
        </w:tc>
        <w:tc>
          <w:tcPr>
            <w:tcW w:w="1275" w:type="dxa"/>
            <w:tcBorders>
              <w:top w:val="nil"/>
              <w:left w:val="nil"/>
              <w:bottom w:val="single" w:sz="4" w:space="0" w:color="auto"/>
              <w:right w:val="single" w:sz="4" w:space="0" w:color="auto"/>
            </w:tcBorders>
            <w:shd w:val="clear" w:color="auto" w:fill="auto"/>
            <w:vAlign w:val="center"/>
            <w:hideMark/>
          </w:tcPr>
          <w:p w14:paraId="36D2DA9C" w14:textId="77777777" w:rsidR="00BC65E2" w:rsidRPr="001A0537" w:rsidRDefault="00BC65E2" w:rsidP="00D55AE4">
            <w:pPr>
              <w:jc w:val="right"/>
              <w:rPr>
                <w:rFonts w:ascii="Arial" w:hAnsi="Arial" w:cs="Arial"/>
                <w:sz w:val="20"/>
                <w:szCs w:val="20"/>
              </w:rPr>
            </w:pPr>
            <w:r>
              <w:rPr>
                <w:rFonts w:ascii="Arial" w:hAnsi="Arial"/>
                <w:sz w:val="20"/>
                <w:szCs w:val="20"/>
              </w:rPr>
              <w:t>6,000</w:t>
            </w:r>
          </w:p>
        </w:tc>
        <w:tc>
          <w:tcPr>
            <w:tcW w:w="1276" w:type="dxa"/>
            <w:tcBorders>
              <w:top w:val="nil"/>
              <w:left w:val="nil"/>
              <w:bottom w:val="single" w:sz="4" w:space="0" w:color="auto"/>
              <w:right w:val="single" w:sz="4" w:space="0" w:color="auto"/>
            </w:tcBorders>
            <w:shd w:val="clear" w:color="auto" w:fill="auto"/>
            <w:vAlign w:val="center"/>
          </w:tcPr>
          <w:p w14:paraId="52195E59" w14:textId="77777777" w:rsidR="00BC65E2" w:rsidRPr="001A0537" w:rsidRDefault="00BC65E2" w:rsidP="00D55AE4">
            <w:pPr>
              <w:jc w:val="right"/>
              <w:rPr>
                <w:rFonts w:ascii="Arial" w:hAnsi="Arial" w:cs="Arial"/>
                <w:sz w:val="20"/>
                <w:szCs w:val="20"/>
              </w:rPr>
            </w:pPr>
            <w:r>
              <w:rPr>
                <w:rFonts w:ascii="Arial" w:hAnsi="Arial"/>
                <w:sz w:val="20"/>
                <w:szCs w:val="20"/>
              </w:rPr>
              <w:t>3,112</w:t>
            </w:r>
          </w:p>
        </w:tc>
        <w:tc>
          <w:tcPr>
            <w:tcW w:w="1276" w:type="dxa"/>
            <w:tcBorders>
              <w:top w:val="nil"/>
              <w:left w:val="nil"/>
              <w:bottom w:val="single" w:sz="4" w:space="0" w:color="auto"/>
              <w:right w:val="single" w:sz="4" w:space="0" w:color="auto"/>
            </w:tcBorders>
            <w:shd w:val="clear" w:color="auto" w:fill="auto"/>
            <w:vAlign w:val="center"/>
            <w:hideMark/>
          </w:tcPr>
          <w:p w14:paraId="324567B5" w14:textId="77777777" w:rsidR="00BC65E2" w:rsidRPr="001A0537" w:rsidRDefault="00BC65E2" w:rsidP="00D55AE4">
            <w:pPr>
              <w:jc w:val="center"/>
              <w:rPr>
                <w:rFonts w:ascii="Arial" w:hAnsi="Arial" w:cs="Arial"/>
                <w:sz w:val="20"/>
                <w:szCs w:val="20"/>
              </w:rPr>
            </w:pPr>
            <w:r>
              <w:rPr>
                <w:rFonts w:ascii="Arial" w:hAnsi="Arial"/>
                <w:sz w:val="20"/>
                <w:szCs w:val="20"/>
              </w:rPr>
              <w:t>52%</w:t>
            </w:r>
          </w:p>
        </w:tc>
      </w:tr>
      <w:tr w:rsidR="00BC65E2" w:rsidRPr="001A0537" w14:paraId="1CFCAA78"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72147BD5" w14:textId="77777777" w:rsidR="00BC65E2" w:rsidRPr="001A0537" w:rsidRDefault="00BC65E2" w:rsidP="00D55AE4">
            <w:pPr>
              <w:rPr>
                <w:rFonts w:ascii="Arial" w:hAnsi="Arial" w:cs="Arial"/>
                <w:sz w:val="20"/>
                <w:szCs w:val="20"/>
              </w:rPr>
            </w:pPr>
            <w:r>
              <w:rPr>
                <w:rFonts w:ascii="Arial" w:hAnsi="Arial"/>
                <w:sz w:val="20"/>
                <w:szCs w:val="20"/>
              </w:rPr>
              <w:t>Contracted services</w:t>
            </w:r>
          </w:p>
        </w:tc>
        <w:tc>
          <w:tcPr>
            <w:tcW w:w="1275" w:type="dxa"/>
            <w:tcBorders>
              <w:top w:val="nil"/>
              <w:left w:val="nil"/>
              <w:bottom w:val="single" w:sz="4" w:space="0" w:color="auto"/>
              <w:right w:val="single" w:sz="4" w:space="0" w:color="auto"/>
            </w:tcBorders>
            <w:shd w:val="clear" w:color="auto" w:fill="auto"/>
            <w:vAlign w:val="center"/>
            <w:hideMark/>
          </w:tcPr>
          <w:p w14:paraId="16DF99E9" w14:textId="77777777" w:rsidR="00BC65E2" w:rsidRPr="001A0537" w:rsidRDefault="00BC65E2" w:rsidP="00D55AE4">
            <w:pPr>
              <w:jc w:val="right"/>
              <w:rPr>
                <w:rFonts w:ascii="Arial" w:hAnsi="Arial" w:cs="Arial"/>
                <w:sz w:val="20"/>
                <w:szCs w:val="20"/>
              </w:rPr>
            </w:pPr>
            <w:r>
              <w:rPr>
                <w:rFonts w:ascii="Arial" w:hAnsi="Arial"/>
                <w:sz w:val="20"/>
                <w:szCs w:val="20"/>
              </w:rPr>
              <w:t>449,000</w:t>
            </w:r>
          </w:p>
        </w:tc>
        <w:tc>
          <w:tcPr>
            <w:tcW w:w="1276" w:type="dxa"/>
            <w:tcBorders>
              <w:top w:val="nil"/>
              <w:left w:val="nil"/>
              <w:bottom w:val="single" w:sz="4" w:space="0" w:color="auto"/>
              <w:right w:val="single" w:sz="4" w:space="0" w:color="auto"/>
            </w:tcBorders>
            <w:shd w:val="clear" w:color="auto" w:fill="auto"/>
            <w:vAlign w:val="center"/>
          </w:tcPr>
          <w:p w14:paraId="1B20391E" w14:textId="77777777" w:rsidR="00BC65E2" w:rsidRPr="001A0537" w:rsidRDefault="00BC65E2" w:rsidP="00D55AE4">
            <w:pPr>
              <w:jc w:val="right"/>
              <w:rPr>
                <w:rFonts w:ascii="Arial" w:hAnsi="Arial" w:cs="Arial"/>
                <w:sz w:val="20"/>
                <w:szCs w:val="20"/>
              </w:rPr>
            </w:pPr>
            <w:r>
              <w:rPr>
                <w:rFonts w:ascii="Arial" w:hAnsi="Arial"/>
                <w:sz w:val="20"/>
                <w:szCs w:val="20"/>
              </w:rPr>
              <w:t>403,656</w:t>
            </w:r>
          </w:p>
        </w:tc>
        <w:tc>
          <w:tcPr>
            <w:tcW w:w="1276" w:type="dxa"/>
            <w:tcBorders>
              <w:top w:val="nil"/>
              <w:left w:val="nil"/>
              <w:bottom w:val="single" w:sz="4" w:space="0" w:color="auto"/>
              <w:right w:val="single" w:sz="4" w:space="0" w:color="auto"/>
            </w:tcBorders>
            <w:shd w:val="clear" w:color="auto" w:fill="auto"/>
            <w:vAlign w:val="center"/>
            <w:hideMark/>
          </w:tcPr>
          <w:p w14:paraId="3E3BF397" w14:textId="77777777" w:rsidR="00BC65E2" w:rsidRPr="001A0537" w:rsidRDefault="00BC65E2" w:rsidP="00D55AE4">
            <w:pPr>
              <w:jc w:val="center"/>
              <w:rPr>
                <w:rFonts w:ascii="Arial" w:hAnsi="Arial" w:cs="Arial"/>
                <w:sz w:val="20"/>
                <w:szCs w:val="20"/>
                <w:highlight w:val="yellow"/>
              </w:rPr>
            </w:pPr>
            <w:r>
              <w:rPr>
                <w:rFonts w:ascii="Arial" w:hAnsi="Arial"/>
                <w:sz w:val="20"/>
                <w:szCs w:val="20"/>
              </w:rPr>
              <w:t>90%</w:t>
            </w:r>
          </w:p>
        </w:tc>
      </w:tr>
      <w:tr w:rsidR="00BC65E2" w:rsidRPr="001A0537" w14:paraId="7EC0F9CB"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2424836E" w14:textId="77777777" w:rsidR="00BC65E2" w:rsidRPr="001A0537" w:rsidRDefault="00BC65E2" w:rsidP="00D55AE4">
            <w:pPr>
              <w:rPr>
                <w:rFonts w:ascii="Arial" w:hAnsi="Arial" w:cs="Arial"/>
                <w:b/>
                <w:bCs/>
                <w:sz w:val="20"/>
                <w:szCs w:val="20"/>
              </w:rPr>
            </w:pPr>
            <w:r>
              <w:rPr>
                <w:rFonts w:ascii="Arial" w:hAnsi="Arial"/>
                <w:b/>
                <w:bCs/>
                <w:sz w:val="20"/>
                <w:szCs w:val="20"/>
              </w:rPr>
              <w:t>II CURRENT BUDGETARY RESERVE</w:t>
            </w:r>
          </w:p>
        </w:tc>
        <w:tc>
          <w:tcPr>
            <w:tcW w:w="1275" w:type="dxa"/>
            <w:tcBorders>
              <w:top w:val="nil"/>
              <w:left w:val="nil"/>
              <w:bottom w:val="single" w:sz="4" w:space="0" w:color="auto"/>
              <w:right w:val="single" w:sz="4" w:space="0" w:color="auto"/>
            </w:tcBorders>
            <w:shd w:val="clear" w:color="auto" w:fill="auto"/>
            <w:vAlign w:val="center"/>
            <w:hideMark/>
          </w:tcPr>
          <w:p w14:paraId="27D2D187" w14:textId="77777777" w:rsidR="00BC65E2" w:rsidRPr="001A0537" w:rsidRDefault="00BC65E2" w:rsidP="00D55AE4">
            <w:pPr>
              <w:jc w:val="right"/>
              <w:rPr>
                <w:rFonts w:ascii="Arial" w:hAnsi="Arial" w:cs="Arial"/>
                <w:b/>
                <w:bCs/>
                <w:sz w:val="20"/>
                <w:szCs w:val="20"/>
              </w:rPr>
            </w:pPr>
            <w:r>
              <w:rPr>
                <w:rFonts w:ascii="Arial" w:hAnsi="Arial"/>
                <w:b/>
                <w:bCs/>
                <w:sz w:val="20"/>
                <w:szCs w:val="20"/>
              </w:rPr>
              <w:t>156,000</w:t>
            </w:r>
          </w:p>
        </w:tc>
        <w:tc>
          <w:tcPr>
            <w:tcW w:w="1276" w:type="dxa"/>
            <w:tcBorders>
              <w:top w:val="nil"/>
              <w:left w:val="nil"/>
              <w:bottom w:val="single" w:sz="4" w:space="0" w:color="auto"/>
              <w:right w:val="single" w:sz="4" w:space="0" w:color="auto"/>
            </w:tcBorders>
            <w:shd w:val="clear" w:color="auto" w:fill="auto"/>
            <w:vAlign w:val="center"/>
          </w:tcPr>
          <w:p w14:paraId="5DBCF538" w14:textId="77777777" w:rsidR="00BC65E2" w:rsidRPr="001A0537" w:rsidRDefault="00BC65E2" w:rsidP="00D55AE4">
            <w:pPr>
              <w:jc w:val="right"/>
              <w:rPr>
                <w:rFonts w:ascii="Arial" w:hAnsi="Arial" w:cs="Arial"/>
                <w:b/>
                <w:bCs/>
                <w:sz w:val="20"/>
                <w:szCs w:val="20"/>
              </w:rPr>
            </w:pPr>
            <w:r>
              <w:rPr>
                <w:rFonts w:ascii="Arial" w:hAnsi="Arial"/>
                <w:b/>
                <w:bCs/>
                <w:sz w:val="20"/>
                <w:szCs w:val="20"/>
              </w:rPr>
              <w:t>156,000</w:t>
            </w:r>
          </w:p>
        </w:tc>
        <w:tc>
          <w:tcPr>
            <w:tcW w:w="1276" w:type="dxa"/>
            <w:tcBorders>
              <w:top w:val="nil"/>
              <w:left w:val="nil"/>
              <w:bottom w:val="single" w:sz="4" w:space="0" w:color="auto"/>
              <w:right w:val="single" w:sz="4" w:space="0" w:color="auto"/>
            </w:tcBorders>
            <w:shd w:val="clear" w:color="auto" w:fill="auto"/>
            <w:vAlign w:val="center"/>
            <w:hideMark/>
          </w:tcPr>
          <w:p w14:paraId="351842A1" w14:textId="77777777" w:rsidR="00BC65E2" w:rsidRPr="001A0537" w:rsidRDefault="00BC65E2" w:rsidP="00D55AE4">
            <w:pPr>
              <w:jc w:val="center"/>
              <w:rPr>
                <w:rFonts w:ascii="Arial" w:hAnsi="Arial" w:cs="Arial"/>
                <w:b/>
                <w:bCs/>
                <w:sz w:val="20"/>
                <w:szCs w:val="20"/>
              </w:rPr>
            </w:pPr>
            <w:r>
              <w:rPr>
                <w:rFonts w:ascii="Arial" w:hAnsi="Arial"/>
                <w:b/>
                <w:bCs/>
                <w:sz w:val="20"/>
                <w:szCs w:val="20"/>
              </w:rPr>
              <w:t>100%</w:t>
            </w:r>
          </w:p>
        </w:tc>
      </w:tr>
      <w:tr w:rsidR="00BC65E2" w:rsidRPr="001A0537" w14:paraId="76F93B24" w14:textId="77777777" w:rsidTr="00D55AE4">
        <w:trPr>
          <w:trHeight w:val="296"/>
        </w:trPr>
        <w:tc>
          <w:tcPr>
            <w:tcW w:w="4390" w:type="dxa"/>
            <w:tcBorders>
              <w:top w:val="nil"/>
              <w:left w:val="single" w:sz="4" w:space="0" w:color="auto"/>
              <w:bottom w:val="single" w:sz="4" w:space="0" w:color="auto"/>
              <w:right w:val="single" w:sz="4" w:space="0" w:color="auto"/>
            </w:tcBorders>
            <w:shd w:val="clear" w:color="auto" w:fill="auto"/>
            <w:vAlign w:val="center"/>
            <w:hideMark/>
          </w:tcPr>
          <w:p w14:paraId="4C3BE2BF" w14:textId="77777777" w:rsidR="00BC65E2" w:rsidRPr="001A0537" w:rsidRDefault="00BC65E2" w:rsidP="00D55AE4">
            <w:pPr>
              <w:rPr>
                <w:rFonts w:ascii="Arial" w:hAnsi="Arial" w:cs="Arial"/>
                <w:b/>
                <w:bCs/>
                <w:sz w:val="20"/>
                <w:szCs w:val="20"/>
              </w:rPr>
            </w:pPr>
            <w:r>
              <w:rPr>
                <w:rFonts w:ascii="Arial" w:hAnsi="Arial"/>
                <w:b/>
                <w:bCs/>
                <w:sz w:val="20"/>
                <w:szCs w:val="20"/>
              </w:rPr>
              <w:t>TOTAL</w:t>
            </w:r>
          </w:p>
        </w:tc>
        <w:tc>
          <w:tcPr>
            <w:tcW w:w="1275" w:type="dxa"/>
            <w:tcBorders>
              <w:top w:val="nil"/>
              <w:left w:val="nil"/>
              <w:bottom w:val="single" w:sz="4" w:space="0" w:color="auto"/>
              <w:right w:val="single" w:sz="4" w:space="0" w:color="auto"/>
            </w:tcBorders>
            <w:shd w:val="clear" w:color="auto" w:fill="auto"/>
            <w:vAlign w:val="center"/>
          </w:tcPr>
          <w:p w14:paraId="307698EC" w14:textId="77777777" w:rsidR="00BC65E2" w:rsidRPr="001A0537" w:rsidRDefault="00BC65E2" w:rsidP="00D55AE4">
            <w:pPr>
              <w:jc w:val="right"/>
              <w:rPr>
                <w:rFonts w:ascii="Arial" w:hAnsi="Arial" w:cs="Arial"/>
                <w:b/>
                <w:bCs/>
                <w:sz w:val="20"/>
                <w:szCs w:val="20"/>
              </w:rPr>
            </w:pPr>
            <w:r>
              <w:rPr>
                <w:rFonts w:ascii="Arial" w:hAnsi="Arial"/>
                <w:b/>
                <w:bCs/>
                <w:sz w:val="20"/>
                <w:szCs w:val="20"/>
              </w:rPr>
              <w:t>5,250,000</w:t>
            </w:r>
          </w:p>
        </w:tc>
        <w:tc>
          <w:tcPr>
            <w:tcW w:w="1276" w:type="dxa"/>
            <w:tcBorders>
              <w:top w:val="nil"/>
              <w:left w:val="nil"/>
              <w:bottom w:val="single" w:sz="4" w:space="0" w:color="auto"/>
              <w:right w:val="single" w:sz="4" w:space="0" w:color="auto"/>
            </w:tcBorders>
            <w:shd w:val="clear" w:color="auto" w:fill="auto"/>
            <w:vAlign w:val="center"/>
          </w:tcPr>
          <w:p w14:paraId="50D55FEA" w14:textId="77777777" w:rsidR="00BC65E2" w:rsidRPr="001A0537" w:rsidRDefault="00BC65E2" w:rsidP="00D55AE4">
            <w:pPr>
              <w:jc w:val="right"/>
              <w:rPr>
                <w:rFonts w:ascii="Arial" w:hAnsi="Arial" w:cs="Arial"/>
                <w:b/>
                <w:bCs/>
                <w:sz w:val="20"/>
                <w:szCs w:val="20"/>
              </w:rPr>
            </w:pPr>
            <w:r>
              <w:rPr>
                <w:rFonts w:ascii="Arial" w:hAnsi="Arial"/>
                <w:b/>
                <w:bCs/>
                <w:sz w:val="20"/>
                <w:szCs w:val="20"/>
              </w:rPr>
              <w:t>5,084,563</w:t>
            </w:r>
          </w:p>
        </w:tc>
        <w:tc>
          <w:tcPr>
            <w:tcW w:w="1276" w:type="dxa"/>
            <w:tcBorders>
              <w:top w:val="nil"/>
              <w:left w:val="nil"/>
              <w:bottom w:val="single" w:sz="4" w:space="0" w:color="auto"/>
              <w:right w:val="single" w:sz="4" w:space="0" w:color="auto"/>
            </w:tcBorders>
            <w:shd w:val="clear" w:color="auto" w:fill="auto"/>
            <w:vAlign w:val="center"/>
          </w:tcPr>
          <w:p w14:paraId="24CD671B" w14:textId="77777777" w:rsidR="00BC65E2" w:rsidRPr="001A0537" w:rsidRDefault="00BC65E2" w:rsidP="00D55AE4">
            <w:pPr>
              <w:jc w:val="center"/>
              <w:rPr>
                <w:rFonts w:ascii="Arial" w:hAnsi="Arial" w:cs="Arial"/>
                <w:b/>
                <w:bCs/>
                <w:sz w:val="20"/>
                <w:szCs w:val="20"/>
              </w:rPr>
            </w:pPr>
            <w:r>
              <w:rPr>
                <w:rFonts w:ascii="Arial" w:hAnsi="Arial"/>
                <w:b/>
                <w:bCs/>
                <w:sz w:val="20"/>
                <w:szCs w:val="20"/>
              </w:rPr>
              <w:t>97%</w:t>
            </w:r>
          </w:p>
        </w:tc>
      </w:tr>
    </w:tbl>
    <w:p w14:paraId="525EC718" w14:textId="77777777" w:rsidR="00BC65E2" w:rsidRPr="001A0537" w:rsidRDefault="00BC65E2" w:rsidP="00BC65E2">
      <w:pPr>
        <w:pStyle w:val="Tekst"/>
        <w:rPr>
          <w:rFonts w:cs="Arial"/>
          <w:szCs w:val="22"/>
          <w:lang w:val="hr-BA"/>
        </w:rPr>
      </w:pPr>
    </w:p>
    <w:p w14:paraId="1908B6AB" w14:textId="77777777" w:rsidR="00BC65E2" w:rsidRPr="001A0537" w:rsidRDefault="00BC65E2" w:rsidP="00C01F2A">
      <w:pPr>
        <w:pStyle w:val="DRUGINASLOV"/>
      </w:pPr>
      <w:bookmarkStart w:id="14" w:name="_Toc383086859"/>
      <w:bookmarkStart w:id="15" w:name="_Toc97722043"/>
      <w:bookmarkStart w:id="16" w:name="_Toc112852407"/>
      <w:r>
        <w:t>Financing project activities focused on judicial reform with donor funds</w:t>
      </w:r>
      <w:bookmarkEnd w:id="14"/>
      <w:bookmarkEnd w:id="15"/>
      <w:bookmarkEnd w:id="16"/>
    </w:p>
    <w:p w14:paraId="7E547484" w14:textId="63A1C8EC" w:rsidR="00BC65E2" w:rsidRPr="001A0537" w:rsidRDefault="00E065EB" w:rsidP="00BC65E2">
      <w:pPr>
        <w:pStyle w:val="Tekst"/>
      </w:pPr>
      <w:r>
        <w:t>Article 15, paragraph 9 of the Law on the HJPC BiH</w:t>
      </w:r>
      <w:r w:rsidR="00BC65E2" w:rsidRPr="001A0537">
        <w:rPr>
          <w:rStyle w:val="FootnoteReference"/>
          <w:lang w:val="hr-BA"/>
        </w:rPr>
        <w:footnoteReference w:id="2"/>
      </w:r>
      <w:r>
        <w:t xml:space="preserve"> stipulates that: “The Council may receive donations from international donors to its operational budget and for special judicial reform projects outside the operational budget of the Council. Such funds shall be transferred to a special purpose account with the Central Bank of Bosnia and Herzegovina. The funds shall be spent upon the order of the Director of the Secretariat in accordance with regulations for the </w:t>
      </w:r>
      <w:r>
        <w:lastRenderedPageBreak/>
        <w:t>execution of donor funds issued by the Council and in accordance with the conditions of the grant agreement with the donor.</w:t>
      </w:r>
      <w:r w:rsidR="003E06D6">
        <w:t>”</w:t>
      </w:r>
    </w:p>
    <w:p w14:paraId="0906E737" w14:textId="77777777" w:rsidR="00BC65E2" w:rsidRPr="001A0537" w:rsidRDefault="003974F3" w:rsidP="00BC65E2">
      <w:pPr>
        <w:pStyle w:val="Tekst"/>
      </w:pPr>
      <w:r>
        <w:t>In 2021, donor funds were used to finance five projects dealing with judicial reform and aimed at strengthening the capacities of the judiciary.</w:t>
      </w:r>
    </w:p>
    <w:p w14:paraId="68E0D4D0" w14:textId="77777777" w:rsidR="00BC65E2" w:rsidRPr="001A0537" w:rsidRDefault="00BC65E2" w:rsidP="00BC65E2">
      <w:pPr>
        <w:pStyle w:val="Tekst"/>
        <w:rPr>
          <w:lang w:val="hr-BA"/>
        </w:rPr>
      </w:pPr>
    </w:p>
    <w:p w14:paraId="1451135F" w14:textId="77777777" w:rsidR="0062416E" w:rsidRPr="001A0537" w:rsidRDefault="00BC65E2" w:rsidP="00BC65E2">
      <w:pPr>
        <w:pStyle w:val="Tabelaidijagramnaslov"/>
      </w:pPr>
      <w:bookmarkStart w:id="17" w:name="_Toc383086860"/>
      <w:r>
        <w:br w:type="page"/>
      </w:r>
    </w:p>
    <w:p w14:paraId="0560D4E5" w14:textId="2F8F5FB1" w:rsidR="00BC65E2" w:rsidRPr="001A0537" w:rsidRDefault="0062416E" w:rsidP="0062416E">
      <w:pPr>
        <w:pStyle w:val="Caption"/>
        <w:keepNext/>
      </w:pPr>
      <w:r>
        <w:lastRenderedPageBreak/>
        <w:t xml:space="preserve">Table </w:t>
      </w:r>
      <w:r w:rsidR="006D1459">
        <w:fldChar w:fldCharType="begin"/>
      </w:r>
      <w:r w:rsidR="006D1459">
        <w:instrText xml:space="preserve"> SEQ Tablica \* ARABIC </w:instrText>
      </w:r>
      <w:r w:rsidR="006D1459">
        <w:fldChar w:fldCharType="separate"/>
      </w:r>
      <w:r w:rsidR="002B094A">
        <w:t>2</w:t>
      </w:r>
      <w:r w:rsidR="006D1459">
        <w:fldChar w:fldCharType="end"/>
      </w:r>
      <w:r>
        <w:t>: Overview of donors and the total available funds for each project in 2021</w:t>
      </w:r>
    </w:p>
    <w:tbl>
      <w:tblPr>
        <w:tblW w:w="8921" w:type="dxa"/>
        <w:tblLook w:val="04A0" w:firstRow="1" w:lastRow="0" w:firstColumn="1" w:lastColumn="0" w:noHBand="0" w:noVBand="1"/>
      </w:tblPr>
      <w:tblGrid>
        <w:gridCol w:w="2258"/>
        <w:gridCol w:w="2127"/>
        <w:gridCol w:w="4536"/>
      </w:tblGrid>
      <w:tr w:rsidR="00BC65E2" w:rsidRPr="001A0537" w14:paraId="576EEFC9" w14:textId="77777777" w:rsidTr="00D55AE4">
        <w:trPr>
          <w:trHeight w:val="925"/>
        </w:trPr>
        <w:tc>
          <w:tcPr>
            <w:tcW w:w="2258" w:type="dxa"/>
            <w:tcBorders>
              <w:top w:val="single" w:sz="8" w:space="0" w:color="auto"/>
              <w:left w:val="single" w:sz="8" w:space="0" w:color="auto"/>
              <w:bottom w:val="nil"/>
              <w:right w:val="single" w:sz="8" w:space="0" w:color="auto"/>
            </w:tcBorders>
            <w:shd w:val="clear" w:color="auto" w:fill="auto"/>
            <w:vAlign w:val="center"/>
            <w:hideMark/>
          </w:tcPr>
          <w:p w14:paraId="6ED3FD33" w14:textId="77777777" w:rsidR="00BC65E2" w:rsidRPr="001A0537" w:rsidRDefault="00BC65E2" w:rsidP="00D55AE4">
            <w:pPr>
              <w:jc w:val="center"/>
              <w:rPr>
                <w:rFonts w:ascii="Arial" w:hAnsi="Arial" w:cs="Arial"/>
                <w:b/>
                <w:color w:val="000000"/>
                <w:sz w:val="20"/>
                <w:szCs w:val="20"/>
              </w:rPr>
            </w:pPr>
            <w:r>
              <w:rPr>
                <w:rFonts w:ascii="Arial" w:hAnsi="Arial"/>
                <w:b/>
                <w:color w:val="000000"/>
                <w:sz w:val="20"/>
                <w:szCs w:val="20"/>
              </w:rPr>
              <w:t>Total funds available in 2021 (KM)</w:t>
            </w:r>
            <w:r>
              <w:rPr>
                <w:rFonts w:ascii="Arial" w:hAnsi="Arial"/>
                <w:b/>
                <w:color w:val="000000"/>
                <w:sz w:val="20"/>
                <w:szCs w:val="20"/>
              </w:rPr>
              <w:br/>
            </w:r>
          </w:p>
        </w:tc>
        <w:tc>
          <w:tcPr>
            <w:tcW w:w="2127" w:type="dxa"/>
            <w:tcBorders>
              <w:top w:val="single" w:sz="8" w:space="0" w:color="auto"/>
              <w:left w:val="nil"/>
              <w:bottom w:val="nil"/>
              <w:right w:val="single" w:sz="8" w:space="0" w:color="auto"/>
            </w:tcBorders>
            <w:shd w:val="clear" w:color="auto" w:fill="auto"/>
            <w:vAlign w:val="center"/>
            <w:hideMark/>
          </w:tcPr>
          <w:p w14:paraId="55A58D94" w14:textId="77777777" w:rsidR="00BC65E2" w:rsidRPr="001A0537" w:rsidRDefault="00BC65E2" w:rsidP="00D55AE4">
            <w:pPr>
              <w:jc w:val="center"/>
              <w:rPr>
                <w:rFonts w:ascii="Arial" w:hAnsi="Arial" w:cs="Arial"/>
                <w:b/>
                <w:color w:val="000000"/>
                <w:sz w:val="20"/>
                <w:szCs w:val="20"/>
              </w:rPr>
            </w:pPr>
            <w:r>
              <w:rPr>
                <w:rFonts w:ascii="Arial" w:hAnsi="Arial"/>
                <w:b/>
                <w:color w:val="000000"/>
                <w:sz w:val="20"/>
                <w:szCs w:val="20"/>
              </w:rPr>
              <w:t>Total expended in 2021 (KM)</w:t>
            </w:r>
          </w:p>
        </w:tc>
        <w:tc>
          <w:tcPr>
            <w:tcW w:w="4536" w:type="dxa"/>
            <w:tcBorders>
              <w:top w:val="single" w:sz="8" w:space="0" w:color="auto"/>
              <w:left w:val="nil"/>
              <w:bottom w:val="nil"/>
              <w:right w:val="single" w:sz="8" w:space="0" w:color="auto"/>
            </w:tcBorders>
            <w:shd w:val="clear" w:color="auto" w:fill="auto"/>
            <w:vAlign w:val="center"/>
            <w:hideMark/>
          </w:tcPr>
          <w:p w14:paraId="4B3550F0" w14:textId="77777777" w:rsidR="00BC65E2" w:rsidRPr="001A0537" w:rsidRDefault="00BC65E2" w:rsidP="00D55AE4">
            <w:pPr>
              <w:jc w:val="center"/>
              <w:rPr>
                <w:rFonts w:ascii="Arial" w:hAnsi="Arial" w:cs="Arial"/>
                <w:b/>
                <w:color w:val="000000"/>
                <w:sz w:val="20"/>
                <w:szCs w:val="20"/>
              </w:rPr>
            </w:pPr>
            <w:r>
              <w:rPr>
                <w:rFonts w:ascii="Arial" w:hAnsi="Arial"/>
                <w:b/>
                <w:color w:val="000000"/>
                <w:sz w:val="20"/>
                <w:szCs w:val="20"/>
              </w:rPr>
              <w:t>Project implementation period</w:t>
            </w:r>
          </w:p>
        </w:tc>
      </w:tr>
      <w:tr w:rsidR="00BC65E2" w:rsidRPr="001A0537" w14:paraId="3B6DE2D5" w14:textId="77777777" w:rsidTr="00D55AE4">
        <w:trPr>
          <w:trHeight w:val="624"/>
        </w:trPr>
        <w:tc>
          <w:tcPr>
            <w:tcW w:w="89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F1E1BD" w14:textId="77777777" w:rsidR="00BC65E2" w:rsidRPr="001A0537" w:rsidRDefault="00BC65E2" w:rsidP="00D55AE4">
            <w:pPr>
              <w:rPr>
                <w:rFonts w:ascii="Arial" w:hAnsi="Arial" w:cs="Arial"/>
                <w:color w:val="000000"/>
                <w:sz w:val="20"/>
                <w:szCs w:val="20"/>
              </w:rPr>
            </w:pPr>
            <w:r>
              <w:rPr>
                <w:rFonts w:ascii="Arial" w:hAnsi="Arial"/>
                <w:color w:val="000000"/>
                <w:sz w:val="20"/>
                <w:szCs w:val="20"/>
              </w:rPr>
              <w:t xml:space="preserve">EU donation (IPA 2017) for the Project - Building an Effective and Citizen-friendly Judiciary </w:t>
            </w:r>
          </w:p>
        </w:tc>
      </w:tr>
      <w:tr w:rsidR="00BC65E2" w:rsidRPr="001A0537" w14:paraId="00179BDC" w14:textId="77777777" w:rsidTr="00D55AE4">
        <w:trPr>
          <w:trHeight w:val="278"/>
        </w:trPr>
        <w:tc>
          <w:tcPr>
            <w:tcW w:w="2258" w:type="dxa"/>
            <w:tcBorders>
              <w:top w:val="nil"/>
              <w:left w:val="single" w:sz="8" w:space="0" w:color="auto"/>
              <w:bottom w:val="single" w:sz="8" w:space="0" w:color="auto"/>
              <w:right w:val="single" w:sz="8" w:space="0" w:color="auto"/>
            </w:tcBorders>
            <w:shd w:val="clear" w:color="auto" w:fill="auto"/>
            <w:vAlign w:val="center"/>
            <w:hideMark/>
          </w:tcPr>
          <w:p w14:paraId="01A3D0B0"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4,845,142</w:t>
            </w:r>
          </w:p>
        </w:tc>
        <w:tc>
          <w:tcPr>
            <w:tcW w:w="2127" w:type="dxa"/>
            <w:tcBorders>
              <w:top w:val="nil"/>
              <w:left w:val="nil"/>
              <w:bottom w:val="single" w:sz="8" w:space="0" w:color="auto"/>
              <w:right w:val="single" w:sz="8" w:space="0" w:color="auto"/>
            </w:tcBorders>
            <w:shd w:val="clear" w:color="auto" w:fill="auto"/>
            <w:vAlign w:val="center"/>
            <w:hideMark/>
          </w:tcPr>
          <w:p w14:paraId="0489921C"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4,028,339</w:t>
            </w:r>
          </w:p>
        </w:tc>
        <w:tc>
          <w:tcPr>
            <w:tcW w:w="4536" w:type="dxa"/>
            <w:tcBorders>
              <w:top w:val="nil"/>
              <w:left w:val="nil"/>
              <w:bottom w:val="single" w:sz="8" w:space="0" w:color="auto"/>
              <w:right w:val="single" w:sz="8" w:space="0" w:color="auto"/>
            </w:tcBorders>
            <w:shd w:val="clear" w:color="auto" w:fill="auto"/>
            <w:vAlign w:val="center"/>
            <w:hideMark/>
          </w:tcPr>
          <w:p w14:paraId="2CB6E90E" w14:textId="77777777" w:rsidR="00BC65E2" w:rsidRPr="001A0537" w:rsidRDefault="00483F55" w:rsidP="00D55AE4">
            <w:pPr>
              <w:jc w:val="center"/>
              <w:rPr>
                <w:rFonts w:ascii="Arial" w:hAnsi="Arial" w:cs="Arial"/>
                <w:color w:val="000000"/>
                <w:sz w:val="20"/>
                <w:szCs w:val="20"/>
              </w:rPr>
            </w:pPr>
            <w:r>
              <w:rPr>
                <w:rFonts w:ascii="Arial" w:hAnsi="Arial"/>
                <w:color w:val="000000"/>
                <w:sz w:val="20"/>
                <w:szCs w:val="20"/>
              </w:rPr>
              <w:t>September 2018 – January 2022</w:t>
            </w:r>
          </w:p>
        </w:tc>
      </w:tr>
      <w:tr w:rsidR="00BC65E2" w:rsidRPr="001A0537" w14:paraId="64E3959F" w14:textId="77777777" w:rsidTr="00D55AE4">
        <w:trPr>
          <w:trHeight w:val="624"/>
        </w:trPr>
        <w:tc>
          <w:tcPr>
            <w:tcW w:w="89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C2EBFA" w14:textId="77777777" w:rsidR="00BC65E2" w:rsidRPr="001A0537" w:rsidRDefault="00BC65E2" w:rsidP="00D55AE4">
            <w:pPr>
              <w:rPr>
                <w:rFonts w:ascii="Arial" w:hAnsi="Arial" w:cs="Arial"/>
                <w:color w:val="000000"/>
                <w:sz w:val="20"/>
                <w:szCs w:val="20"/>
              </w:rPr>
            </w:pPr>
            <w:r>
              <w:rPr>
                <w:rFonts w:ascii="Arial" w:hAnsi="Arial"/>
                <w:color w:val="000000"/>
                <w:sz w:val="20"/>
                <w:szCs w:val="20"/>
              </w:rPr>
              <w:t>Donation from the Kingdom of Norway for the Project - Improving Judicial Quality</w:t>
            </w:r>
          </w:p>
        </w:tc>
      </w:tr>
      <w:tr w:rsidR="00BC65E2" w:rsidRPr="001A0537" w14:paraId="4B9397CB" w14:textId="77777777" w:rsidTr="00D55AE4">
        <w:trPr>
          <w:trHeight w:val="284"/>
        </w:trPr>
        <w:tc>
          <w:tcPr>
            <w:tcW w:w="2258" w:type="dxa"/>
            <w:tcBorders>
              <w:top w:val="nil"/>
              <w:left w:val="single" w:sz="8" w:space="0" w:color="auto"/>
              <w:bottom w:val="single" w:sz="8" w:space="0" w:color="auto"/>
              <w:right w:val="single" w:sz="8" w:space="0" w:color="auto"/>
            </w:tcBorders>
            <w:shd w:val="clear" w:color="auto" w:fill="auto"/>
            <w:vAlign w:val="center"/>
            <w:hideMark/>
          </w:tcPr>
          <w:p w14:paraId="09EFE2A6"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2,225,674</w:t>
            </w:r>
          </w:p>
        </w:tc>
        <w:tc>
          <w:tcPr>
            <w:tcW w:w="2127" w:type="dxa"/>
            <w:tcBorders>
              <w:top w:val="nil"/>
              <w:left w:val="nil"/>
              <w:bottom w:val="single" w:sz="8" w:space="0" w:color="auto"/>
              <w:right w:val="single" w:sz="8" w:space="0" w:color="auto"/>
            </w:tcBorders>
            <w:shd w:val="clear" w:color="auto" w:fill="auto"/>
            <w:vAlign w:val="center"/>
            <w:hideMark/>
          </w:tcPr>
          <w:p w14:paraId="52D6A90F"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1,642,580</w:t>
            </w:r>
          </w:p>
        </w:tc>
        <w:tc>
          <w:tcPr>
            <w:tcW w:w="4536" w:type="dxa"/>
            <w:tcBorders>
              <w:top w:val="nil"/>
              <w:left w:val="nil"/>
              <w:bottom w:val="single" w:sz="8" w:space="0" w:color="auto"/>
              <w:right w:val="single" w:sz="8" w:space="0" w:color="auto"/>
            </w:tcBorders>
            <w:shd w:val="clear" w:color="auto" w:fill="auto"/>
            <w:vAlign w:val="center"/>
            <w:hideMark/>
          </w:tcPr>
          <w:p w14:paraId="10208B7B" w14:textId="77777777" w:rsidR="00BC65E2" w:rsidRPr="001A0537" w:rsidRDefault="00483F55" w:rsidP="00D55AE4">
            <w:pPr>
              <w:jc w:val="center"/>
              <w:rPr>
                <w:rFonts w:ascii="Arial" w:hAnsi="Arial" w:cs="Arial"/>
                <w:color w:val="000000"/>
                <w:sz w:val="20"/>
                <w:szCs w:val="20"/>
              </w:rPr>
            </w:pPr>
            <w:r>
              <w:rPr>
                <w:rFonts w:ascii="Arial" w:hAnsi="Arial"/>
                <w:color w:val="000000"/>
                <w:sz w:val="20"/>
                <w:szCs w:val="20"/>
              </w:rPr>
              <w:t>January 2019 - February 2022</w:t>
            </w:r>
          </w:p>
        </w:tc>
      </w:tr>
      <w:tr w:rsidR="00BC65E2" w:rsidRPr="001A0537" w14:paraId="5CEEA6BB" w14:textId="77777777" w:rsidTr="00D55AE4">
        <w:trPr>
          <w:trHeight w:val="624"/>
        </w:trPr>
        <w:tc>
          <w:tcPr>
            <w:tcW w:w="89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3323BB" w14:textId="77777777" w:rsidR="00BC65E2" w:rsidRPr="001A0537" w:rsidRDefault="00BC65E2" w:rsidP="00D55AE4">
            <w:pPr>
              <w:rPr>
                <w:rFonts w:ascii="Arial" w:hAnsi="Arial" w:cs="Arial"/>
                <w:color w:val="000000"/>
                <w:sz w:val="20"/>
                <w:szCs w:val="20"/>
              </w:rPr>
            </w:pPr>
            <w:r>
              <w:rPr>
                <w:rFonts w:ascii="Arial" w:hAnsi="Arial"/>
                <w:color w:val="000000"/>
                <w:sz w:val="20"/>
                <w:szCs w:val="20"/>
              </w:rPr>
              <w:t>Donation from the Swiss Government for the Project - Support for the Judiciary of Bosnia and Herzegovina - Strengthening the Capacity of Prosecutors in the Criminal Justice System, phase III</w:t>
            </w:r>
          </w:p>
        </w:tc>
      </w:tr>
      <w:tr w:rsidR="00BC65E2" w:rsidRPr="001A0537" w14:paraId="4D5A41F1" w14:textId="77777777" w:rsidTr="00D55AE4">
        <w:trPr>
          <w:trHeight w:val="278"/>
        </w:trPr>
        <w:tc>
          <w:tcPr>
            <w:tcW w:w="2258" w:type="dxa"/>
            <w:tcBorders>
              <w:top w:val="nil"/>
              <w:left w:val="single" w:sz="8" w:space="0" w:color="auto"/>
              <w:bottom w:val="single" w:sz="8" w:space="0" w:color="auto"/>
              <w:right w:val="single" w:sz="8" w:space="0" w:color="auto"/>
            </w:tcBorders>
            <w:shd w:val="clear" w:color="auto" w:fill="auto"/>
            <w:vAlign w:val="center"/>
            <w:hideMark/>
          </w:tcPr>
          <w:p w14:paraId="4A7F400E"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1,937,830</w:t>
            </w:r>
          </w:p>
        </w:tc>
        <w:tc>
          <w:tcPr>
            <w:tcW w:w="2127" w:type="dxa"/>
            <w:tcBorders>
              <w:top w:val="nil"/>
              <w:left w:val="nil"/>
              <w:bottom w:val="single" w:sz="8" w:space="0" w:color="auto"/>
              <w:right w:val="single" w:sz="8" w:space="0" w:color="auto"/>
            </w:tcBorders>
            <w:shd w:val="clear" w:color="auto" w:fill="auto"/>
            <w:vAlign w:val="center"/>
            <w:hideMark/>
          </w:tcPr>
          <w:p w14:paraId="0EC9370D"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1,084,342</w:t>
            </w:r>
          </w:p>
        </w:tc>
        <w:tc>
          <w:tcPr>
            <w:tcW w:w="4536" w:type="dxa"/>
            <w:tcBorders>
              <w:top w:val="nil"/>
              <w:left w:val="nil"/>
              <w:bottom w:val="single" w:sz="8" w:space="0" w:color="auto"/>
              <w:right w:val="single" w:sz="8" w:space="0" w:color="auto"/>
            </w:tcBorders>
            <w:shd w:val="clear" w:color="auto" w:fill="auto"/>
            <w:vAlign w:val="center"/>
            <w:hideMark/>
          </w:tcPr>
          <w:p w14:paraId="585198A8" w14:textId="77777777" w:rsidR="00BC65E2" w:rsidRPr="001A0537" w:rsidRDefault="00483F55" w:rsidP="00D55AE4">
            <w:pPr>
              <w:jc w:val="center"/>
              <w:rPr>
                <w:rFonts w:ascii="Arial" w:hAnsi="Arial" w:cs="Arial"/>
                <w:color w:val="000000"/>
                <w:sz w:val="20"/>
                <w:szCs w:val="20"/>
              </w:rPr>
            </w:pPr>
            <w:r>
              <w:rPr>
                <w:rFonts w:ascii="Arial" w:hAnsi="Arial"/>
                <w:color w:val="000000"/>
                <w:sz w:val="20"/>
                <w:szCs w:val="20"/>
              </w:rPr>
              <w:t>January 2020 - December 2023</w:t>
            </w:r>
          </w:p>
        </w:tc>
      </w:tr>
      <w:tr w:rsidR="00BC65E2" w:rsidRPr="001A0537" w14:paraId="1EC2827C" w14:textId="77777777" w:rsidTr="00D55AE4">
        <w:trPr>
          <w:trHeight w:val="624"/>
        </w:trPr>
        <w:tc>
          <w:tcPr>
            <w:tcW w:w="89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A09D62" w14:textId="77777777" w:rsidR="00BC65E2" w:rsidRPr="001A0537" w:rsidRDefault="00BC65E2" w:rsidP="00D55AE4">
            <w:pPr>
              <w:rPr>
                <w:rFonts w:ascii="Arial" w:hAnsi="Arial" w:cs="Arial"/>
                <w:color w:val="000000"/>
                <w:sz w:val="20"/>
                <w:szCs w:val="20"/>
              </w:rPr>
            </w:pPr>
            <w:r>
              <w:rPr>
                <w:rFonts w:ascii="Arial" w:hAnsi="Arial"/>
                <w:color w:val="000000"/>
                <w:sz w:val="20"/>
                <w:szCs w:val="20"/>
              </w:rPr>
              <w:t>Donation from the Kingdom of Sweden for the Project - Improving the Efficiency of Courts and Accountability of Judges and Prosecutors in BiH, phase III</w:t>
            </w:r>
          </w:p>
        </w:tc>
      </w:tr>
      <w:tr w:rsidR="00BC65E2" w:rsidRPr="001A0537" w14:paraId="20E6225C" w14:textId="77777777" w:rsidTr="00D55AE4">
        <w:trPr>
          <w:trHeight w:val="284"/>
        </w:trPr>
        <w:tc>
          <w:tcPr>
            <w:tcW w:w="2258" w:type="dxa"/>
            <w:tcBorders>
              <w:top w:val="nil"/>
              <w:left w:val="single" w:sz="8" w:space="0" w:color="auto"/>
              <w:bottom w:val="single" w:sz="8" w:space="0" w:color="auto"/>
              <w:right w:val="single" w:sz="8" w:space="0" w:color="auto"/>
            </w:tcBorders>
            <w:shd w:val="clear" w:color="auto" w:fill="auto"/>
            <w:vAlign w:val="center"/>
            <w:hideMark/>
          </w:tcPr>
          <w:p w14:paraId="27148645"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856,968</w:t>
            </w:r>
          </w:p>
        </w:tc>
        <w:tc>
          <w:tcPr>
            <w:tcW w:w="2127" w:type="dxa"/>
            <w:tcBorders>
              <w:top w:val="nil"/>
              <w:left w:val="nil"/>
              <w:bottom w:val="single" w:sz="8" w:space="0" w:color="auto"/>
              <w:right w:val="single" w:sz="8" w:space="0" w:color="auto"/>
            </w:tcBorders>
            <w:shd w:val="clear" w:color="auto" w:fill="auto"/>
            <w:vAlign w:val="center"/>
            <w:hideMark/>
          </w:tcPr>
          <w:p w14:paraId="596FD9E2"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319,283</w:t>
            </w:r>
          </w:p>
        </w:tc>
        <w:tc>
          <w:tcPr>
            <w:tcW w:w="4536" w:type="dxa"/>
            <w:tcBorders>
              <w:top w:val="nil"/>
              <w:left w:val="nil"/>
              <w:bottom w:val="single" w:sz="8" w:space="0" w:color="auto"/>
              <w:right w:val="single" w:sz="8" w:space="0" w:color="auto"/>
            </w:tcBorders>
            <w:shd w:val="clear" w:color="auto" w:fill="auto"/>
            <w:vAlign w:val="center"/>
            <w:hideMark/>
          </w:tcPr>
          <w:p w14:paraId="3306A49E" w14:textId="77777777" w:rsidR="00BC65E2" w:rsidRPr="001A0537" w:rsidRDefault="008F1FF0" w:rsidP="00D55AE4">
            <w:pPr>
              <w:jc w:val="center"/>
              <w:rPr>
                <w:rFonts w:ascii="Arial" w:hAnsi="Arial" w:cs="Arial"/>
                <w:color w:val="000000"/>
                <w:sz w:val="20"/>
                <w:szCs w:val="20"/>
              </w:rPr>
            </w:pPr>
            <w:r>
              <w:rPr>
                <w:rFonts w:ascii="Arial" w:hAnsi="Arial"/>
                <w:color w:val="000000"/>
                <w:sz w:val="20"/>
                <w:szCs w:val="20"/>
              </w:rPr>
              <w:t>December 2020 – March 2024</w:t>
            </w:r>
          </w:p>
        </w:tc>
      </w:tr>
      <w:tr w:rsidR="00BC65E2" w:rsidRPr="001A0537" w14:paraId="7C404461" w14:textId="77777777" w:rsidTr="00D55AE4">
        <w:trPr>
          <w:trHeight w:val="624"/>
        </w:trPr>
        <w:tc>
          <w:tcPr>
            <w:tcW w:w="89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7C0D88C" w14:textId="77777777" w:rsidR="00BC65E2" w:rsidRPr="001A0537" w:rsidRDefault="00BC65E2" w:rsidP="00D55AE4">
            <w:pPr>
              <w:rPr>
                <w:rFonts w:ascii="Arial" w:hAnsi="Arial" w:cs="Arial"/>
                <w:color w:val="000000"/>
                <w:sz w:val="20"/>
                <w:szCs w:val="20"/>
              </w:rPr>
            </w:pPr>
            <w:r>
              <w:rPr>
                <w:rFonts w:ascii="Arial" w:hAnsi="Arial"/>
                <w:color w:val="000000"/>
                <w:sz w:val="20"/>
                <w:szCs w:val="20"/>
              </w:rPr>
              <w:t xml:space="preserve">EU donation (IPA 2019) for the Enhancing War Crimes Case Processing Project </w:t>
            </w:r>
          </w:p>
        </w:tc>
      </w:tr>
      <w:tr w:rsidR="00BC65E2" w:rsidRPr="001A0537" w14:paraId="3617F9C5" w14:textId="77777777" w:rsidTr="00D55AE4">
        <w:trPr>
          <w:trHeight w:val="284"/>
        </w:trPr>
        <w:tc>
          <w:tcPr>
            <w:tcW w:w="2258" w:type="dxa"/>
            <w:tcBorders>
              <w:top w:val="nil"/>
              <w:left w:val="single" w:sz="8" w:space="0" w:color="auto"/>
              <w:bottom w:val="single" w:sz="8" w:space="0" w:color="auto"/>
              <w:right w:val="single" w:sz="8" w:space="0" w:color="auto"/>
            </w:tcBorders>
            <w:shd w:val="clear" w:color="auto" w:fill="auto"/>
            <w:vAlign w:val="center"/>
            <w:hideMark/>
          </w:tcPr>
          <w:p w14:paraId="488C2F0E"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476,897</w:t>
            </w:r>
          </w:p>
        </w:tc>
        <w:tc>
          <w:tcPr>
            <w:tcW w:w="2127" w:type="dxa"/>
            <w:tcBorders>
              <w:top w:val="nil"/>
              <w:left w:val="nil"/>
              <w:bottom w:val="single" w:sz="8" w:space="0" w:color="auto"/>
              <w:right w:val="single" w:sz="8" w:space="0" w:color="auto"/>
            </w:tcBorders>
            <w:shd w:val="clear" w:color="auto" w:fill="auto"/>
            <w:vAlign w:val="center"/>
            <w:hideMark/>
          </w:tcPr>
          <w:p w14:paraId="44F602A1" w14:textId="77777777" w:rsidR="00BC65E2" w:rsidRPr="001A0537" w:rsidRDefault="00BC65E2" w:rsidP="00D55AE4">
            <w:pPr>
              <w:jc w:val="center"/>
              <w:rPr>
                <w:rFonts w:ascii="Arial" w:hAnsi="Arial" w:cs="Arial"/>
                <w:color w:val="000000"/>
                <w:sz w:val="20"/>
                <w:szCs w:val="20"/>
              </w:rPr>
            </w:pPr>
            <w:r>
              <w:rPr>
                <w:rFonts w:ascii="Arial" w:hAnsi="Arial"/>
                <w:color w:val="000000"/>
                <w:sz w:val="20"/>
                <w:szCs w:val="20"/>
              </w:rPr>
              <w:t>385,194</w:t>
            </w:r>
          </w:p>
        </w:tc>
        <w:tc>
          <w:tcPr>
            <w:tcW w:w="4536" w:type="dxa"/>
            <w:tcBorders>
              <w:top w:val="nil"/>
              <w:left w:val="nil"/>
              <w:bottom w:val="single" w:sz="8" w:space="0" w:color="auto"/>
              <w:right w:val="single" w:sz="8" w:space="0" w:color="auto"/>
            </w:tcBorders>
            <w:shd w:val="clear" w:color="auto" w:fill="auto"/>
            <w:vAlign w:val="center"/>
            <w:hideMark/>
          </w:tcPr>
          <w:p w14:paraId="2CCFAC76" w14:textId="77777777" w:rsidR="00BC65E2" w:rsidRPr="001A0537" w:rsidRDefault="008F1FF0" w:rsidP="00D55AE4">
            <w:pPr>
              <w:jc w:val="center"/>
              <w:rPr>
                <w:rFonts w:ascii="Arial" w:hAnsi="Arial" w:cs="Arial"/>
                <w:color w:val="000000"/>
                <w:sz w:val="20"/>
                <w:szCs w:val="20"/>
              </w:rPr>
            </w:pPr>
            <w:r>
              <w:rPr>
                <w:rFonts w:ascii="Arial" w:hAnsi="Arial"/>
                <w:color w:val="000000"/>
                <w:sz w:val="20"/>
                <w:szCs w:val="20"/>
              </w:rPr>
              <w:t>January 2021 - December 2022</w:t>
            </w:r>
          </w:p>
        </w:tc>
      </w:tr>
    </w:tbl>
    <w:p w14:paraId="50D5B84E" w14:textId="77777777" w:rsidR="00BC65E2" w:rsidRPr="001A0537" w:rsidRDefault="00BC65E2" w:rsidP="00BC65E2">
      <w:pPr>
        <w:pStyle w:val="Tekst"/>
        <w:rPr>
          <w:lang w:val="hr-BA"/>
        </w:rPr>
      </w:pPr>
    </w:p>
    <w:p w14:paraId="320C7BF4" w14:textId="77777777" w:rsidR="00BC65E2" w:rsidRPr="001A0537" w:rsidRDefault="00BC65E2" w:rsidP="00BC65E2">
      <w:pPr>
        <w:pStyle w:val="Tekst"/>
      </w:pPr>
      <w:r>
        <w:t>The major donor in 2021 was the European Union with 59% of the total donor funds expended. Significant funds for projects were also contributed by the Kingdom of Norway, the Kingdom of Sweden and the Swiss Agency for Development and Cooperation.</w:t>
      </w:r>
    </w:p>
    <w:p w14:paraId="23FBFD89" w14:textId="70682769" w:rsidR="00C01F2A" w:rsidRPr="001A0537" w:rsidRDefault="00BE3B39" w:rsidP="0062416E">
      <w:pPr>
        <w:pStyle w:val="Caption"/>
      </w:pPr>
      <w:r>
        <w:t>Graph</w:t>
      </w:r>
      <w:r w:rsidR="009E77AF">
        <w:t xml:space="preserve"> </w:t>
      </w:r>
      <w:r w:rsidR="006D1459">
        <w:fldChar w:fldCharType="begin"/>
      </w:r>
      <w:r w:rsidR="006D1459">
        <w:instrText xml:space="preserve"> SEQ Graph \* ARABIC </w:instrText>
      </w:r>
      <w:r w:rsidR="006D1459">
        <w:fldChar w:fldCharType="separate"/>
      </w:r>
      <w:r>
        <w:rPr>
          <w:noProof/>
        </w:rPr>
        <w:t>1</w:t>
      </w:r>
      <w:r w:rsidR="006D1459">
        <w:rPr>
          <w:noProof/>
        </w:rPr>
        <w:fldChar w:fldCharType="end"/>
      </w:r>
      <w:r w:rsidR="0062416E">
        <w:t>: D</w:t>
      </w:r>
      <w:r w:rsidR="009E77AF">
        <w:t>onors</w:t>
      </w:r>
    </w:p>
    <w:p w14:paraId="153A2599" w14:textId="77777777" w:rsidR="00BC65E2" w:rsidRPr="001A0537" w:rsidRDefault="00BC65E2" w:rsidP="00107057">
      <w:pPr>
        <w:jc w:val="center"/>
      </w:pPr>
      <w:r>
        <w:rPr>
          <w:noProof/>
          <w:lang w:val="bs-Latn-BA" w:eastAsia="bs-Latn-BA"/>
        </w:rPr>
        <w:lastRenderedPageBreak/>
        <w:drawing>
          <wp:inline distT="0" distB="0" distL="0" distR="0" wp14:anchorId="7B41B78C" wp14:editId="55B20D20">
            <wp:extent cx="4905375" cy="3886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C81069" w14:textId="77777777" w:rsidR="00B15A5A" w:rsidRDefault="00B15A5A">
      <w:pPr>
        <w:rPr>
          <w:rFonts w:ascii="Arial" w:hAnsi="Arial" w:cs="Arial"/>
          <w:b/>
          <w:iCs/>
          <w:kern w:val="32"/>
          <w:sz w:val="28"/>
          <w:szCs w:val="28"/>
          <w:lang w:eastAsia="hr-HR"/>
        </w:rPr>
      </w:pPr>
      <w:bookmarkStart w:id="18" w:name="_Toc97722044"/>
      <w:r>
        <w:br w:type="page"/>
      </w:r>
    </w:p>
    <w:p w14:paraId="72C1143A" w14:textId="48C78F0F" w:rsidR="00BC65E2" w:rsidRPr="001A0537" w:rsidRDefault="00BC65E2" w:rsidP="00C01F2A">
      <w:pPr>
        <w:pStyle w:val="DRUGINASLOV"/>
      </w:pPr>
      <w:bookmarkStart w:id="19" w:name="_Toc112852408"/>
      <w:r>
        <w:lastRenderedPageBreak/>
        <w:t>Investments in the Judiciary of Bosnia and Herzegovina</w:t>
      </w:r>
      <w:bookmarkEnd w:id="18"/>
      <w:bookmarkEnd w:id="19"/>
    </w:p>
    <w:p w14:paraId="7431F75E" w14:textId="2C427DEA" w:rsidR="00BC65E2" w:rsidRPr="001A0537" w:rsidRDefault="00BC65E2" w:rsidP="00BC65E2">
      <w:pPr>
        <w:pStyle w:val="Tekst"/>
      </w:pPr>
      <w:r>
        <w:t>Between 2004 and 2021, the HJPC BiH secured 117 million KM for project activities involving judicial institutions at all government levels. Th</w:t>
      </w:r>
      <w:r w:rsidR="00740CA9">
        <w:t>e</w:t>
      </w:r>
      <w:r>
        <w:t xml:space="preserve"> figure include</w:t>
      </w:r>
      <w:r w:rsidR="00740CA9">
        <w:t>s</w:t>
      </w:r>
      <w:r>
        <w:t xml:space="preserve"> projects that the HJPC BiH directly carried out as well as projects carried out by the EU Delegation to BiH with the HJPC BiH as a partner. </w:t>
      </w:r>
    </w:p>
    <w:p w14:paraId="3BEBCC8E" w14:textId="77777777" w:rsidR="00BC65E2" w:rsidRPr="001A0537" w:rsidRDefault="00BC65E2" w:rsidP="00BC65E2">
      <w:pPr>
        <w:pStyle w:val="Tekst"/>
      </w:pPr>
      <w:r>
        <w:t>The European Union is the largest single donor with 64 million KM, which was used to procure computer equipment, software and other equipment for the informatisation of the judiciary on all government levels as well as for renovating and furnishing judicial buildings. The EU is followed by the Kingdom of Norway with 15.3 million KM and the Kingdom of Sweden with 10.2 million KM.</w:t>
      </w:r>
    </w:p>
    <w:p w14:paraId="601343B8" w14:textId="77777777" w:rsidR="00BC65E2" w:rsidRPr="001A0537" w:rsidRDefault="00BC65E2" w:rsidP="00BC65E2">
      <w:pPr>
        <w:pStyle w:val="Tekst"/>
      </w:pPr>
      <w:r>
        <w:t>As for the breakdown of funds, 60.3 million KM was used for the procurement of equipment, 36.4 million KM for building renovation efforts and 5.9 million KM for the maintenance of the judicial information system.</w:t>
      </w:r>
    </w:p>
    <w:p w14:paraId="5E19C568" w14:textId="43EB7F6B" w:rsidR="00BC65E2" w:rsidRDefault="00BC65E2" w:rsidP="00BC65E2">
      <w:pPr>
        <w:pStyle w:val="Tekst"/>
      </w:pPr>
      <w:r>
        <w:t xml:space="preserve">During this period, 19.9 million KM were allocated to the HJPC from the budget of BiH institutions for purchasing computer equipment, software and other equipment within the Project for the Informatisation and Strengthening the Capacity of Judicial Institutions in BiH, as well as </w:t>
      </w:r>
      <w:r w:rsidR="00740CA9">
        <w:t xml:space="preserve">for </w:t>
      </w:r>
      <w:r>
        <w:t>the maintenance of the judicial information system and other current expenditures for the judiciary.</w:t>
      </w:r>
    </w:p>
    <w:p w14:paraId="1DB6FF46" w14:textId="77777777" w:rsidR="00BC65E2" w:rsidRPr="001A0537" w:rsidRDefault="00BC65E2" w:rsidP="00107057">
      <w:pPr>
        <w:pStyle w:val="DRUGINASLOV"/>
      </w:pPr>
      <w:bookmarkStart w:id="20" w:name="_Toc97722045"/>
      <w:bookmarkStart w:id="21" w:name="_Toc112852409"/>
      <w:r>
        <w:t>Audits</w:t>
      </w:r>
      <w:bookmarkEnd w:id="20"/>
      <w:bookmarkEnd w:id="21"/>
    </w:p>
    <w:p w14:paraId="106BE7C4" w14:textId="77777777" w:rsidR="00BC65E2" w:rsidRPr="001A0537" w:rsidRDefault="00BC65E2" w:rsidP="00BC65E2">
      <w:pPr>
        <w:pStyle w:val="Tekst"/>
      </w:pPr>
      <w:r>
        <w:t xml:space="preserve">In 2021, the Audit Office for BiH Institutions (hereinafter: AO) carried out the final audit for 2020, based on samplings of major items from current and capital expenditures, donations received and public procurements completed thus far. </w:t>
      </w:r>
    </w:p>
    <w:p w14:paraId="16A6FAAF" w14:textId="77777777" w:rsidR="00BC65E2" w:rsidRPr="001A0537" w:rsidRDefault="00BC65E2" w:rsidP="00BC65E2">
      <w:pPr>
        <w:spacing w:before="80"/>
        <w:jc w:val="both"/>
        <w:rPr>
          <w:rFonts w:ascii="Arial" w:hAnsi="Arial" w:cs="Arial"/>
          <w:sz w:val="22"/>
          <w:szCs w:val="22"/>
        </w:rPr>
      </w:pPr>
      <w:r>
        <w:rPr>
          <w:rFonts w:ascii="Arial" w:hAnsi="Arial"/>
          <w:sz w:val="22"/>
          <w:szCs w:val="22"/>
        </w:rPr>
        <w:t xml:space="preserve">In its 2020 Report, while stating an emphasis of matter, the AO gave the following </w:t>
      </w:r>
      <w:r>
        <w:rPr>
          <w:rFonts w:ascii="Arial" w:hAnsi="Arial"/>
          <w:b/>
          <w:bCs/>
          <w:sz w:val="22"/>
          <w:szCs w:val="22"/>
        </w:rPr>
        <w:t>positive</w:t>
      </w:r>
      <w:r>
        <w:rPr>
          <w:rFonts w:ascii="Arial" w:hAnsi="Arial"/>
          <w:sz w:val="22"/>
          <w:szCs w:val="22"/>
        </w:rPr>
        <w:t xml:space="preserve"> opinion: </w:t>
      </w:r>
    </w:p>
    <w:p w14:paraId="1EEBD30F" w14:textId="77777777" w:rsidR="00BC65E2" w:rsidRPr="001A0537" w:rsidRDefault="00BC65E2" w:rsidP="00BC65E2">
      <w:pPr>
        <w:pStyle w:val="Tekst"/>
      </w:pPr>
      <w:r>
        <w:t>“It is our opinion that the financial statements of the Council present fairly and accurately, for all material aspects, the financial state of assets, liabilities and revenue sources as at 31/12/2020 and the expenditure of the budget for the year ending at the aforesaid date, in accordance with the accepted financial reporting framework.”</w:t>
      </w:r>
    </w:p>
    <w:p w14:paraId="580CA4DD" w14:textId="77777777" w:rsidR="00BC65E2" w:rsidRPr="001A0537" w:rsidRDefault="00BC65E2" w:rsidP="00BC65E2">
      <w:pPr>
        <w:pStyle w:val="Tekst"/>
      </w:pPr>
      <w:r>
        <w:t>“In our opinion, activities, financial transactions and information of the Council for 2020, concerning all material aspects, are in accordance with the law and other relevant regulations that serve as criteria for this audit.”</w:t>
      </w:r>
    </w:p>
    <w:p w14:paraId="781D97E3" w14:textId="77777777" w:rsidR="00BC65E2" w:rsidRPr="001A0537" w:rsidRDefault="00BC65E2" w:rsidP="00BC65E2">
      <w:pPr>
        <w:pStyle w:val="Tekst"/>
      </w:pPr>
      <w:r>
        <w:t>Relevant activities were initiated and appropriate measures taken based on the recommendations of the AO. The Financial Audit Report for the High Judicial and Prosecutorial Council of Bosnia and Herzegovina for 2020 is available on the website of the Office for the Audit of BiH Institutions.</w:t>
      </w:r>
    </w:p>
    <w:p w14:paraId="2258C4FF" w14:textId="11EF422D" w:rsidR="00BC65E2" w:rsidRPr="001A0537" w:rsidRDefault="00BC65E2" w:rsidP="00BC65E2">
      <w:pPr>
        <w:pStyle w:val="Tekst"/>
      </w:pPr>
      <w:r>
        <w:t xml:space="preserve">In 2021, independent auditors performed audits of the following grants: </w:t>
      </w:r>
    </w:p>
    <w:p w14:paraId="428A22E8" w14:textId="2BB317B2" w:rsidR="00BC65E2" w:rsidRPr="001A0537" w:rsidRDefault="00257800" w:rsidP="00B7143A">
      <w:pPr>
        <w:pStyle w:val="Tackice"/>
      </w:pPr>
      <w:r>
        <w:lastRenderedPageBreak/>
        <w:t>An audit of the financial statement of the Improving Judicial Quality Project,</w:t>
      </w:r>
      <w:r w:rsidR="00BC65E2">
        <w:t xml:space="preserve"> </w:t>
      </w:r>
    </w:p>
    <w:p w14:paraId="486A07EE" w14:textId="65C37384" w:rsidR="00BC65E2" w:rsidRPr="001A0537" w:rsidRDefault="00BC65E2" w:rsidP="00B7143A">
      <w:pPr>
        <w:pStyle w:val="Tackice"/>
      </w:pPr>
      <w:r>
        <w:t>An audit of the financial statement of the Support for the Judiciary of BiH – Strengthening the capacity of prosecutors in the cri</w:t>
      </w:r>
      <w:r w:rsidR="00257800">
        <w:t xml:space="preserve">minal justice system, Phase III,  </w:t>
      </w:r>
    </w:p>
    <w:p w14:paraId="26BF13A6" w14:textId="77777777" w:rsidR="00BC65E2" w:rsidRPr="001A0537" w:rsidRDefault="00BC65E2" w:rsidP="00B7143A">
      <w:pPr>
        <w:pStyle w:val="Tackice"/>
      </w:pPr>
      <w:r>
        <w:t>An audit of the financial statement of the Project - Building an Effective and Citizen-friendly Judiciary.</w:t>
      </w:r>
    </w:p>
    <w:p w14:paraId="0B618726" w14:textId="77777777" w:rsidR="00BC65E2" w:rsidRPr="001A0537" w:rsidRDefault="00BC65E2" w:rsidP="00BC65E2">
      <w:pPr>
        <w:pStyle w:val="Tekst"/>
      </w:pPr>
      <w:r>
        <w:t>During the aforesaid audits, checks were made to financial regularity, consistency with project goals, economy and efficiency in managing the projects as well as the suitability, relevance and functioning of internal controls.</w:t>
      </w:r>
      <w:bookmarkEnd w:id="17"/>
      <w:r>
        <w:t xml:space="preserve"> A qualified opinion was given in the audit reports.</w:t>
      </w:r>
    </w:p>
    <w:p w14:paraId="378A66FD" w14:textId="069DD280" w:rsidR="00BC65E2" w:rsidRPr="001A0537" w:rsidRDefault="00257800" w:rsidP="00BC65E2">
      <w:pPr>
        <w:pStyle w:val="Tekst"/>
        <w:rPr>
          <w:lang w:val="hr-BA"/>
        </w:rPr>
      </w:pPr>
      <w:r>
        <w:rPr>
          <w:lang w:val="hr-BA"/>
        </w:rPr>
        <w:t xml:space="preserve"> </w:t>
      </w:r>
    </w:p>
    <w:p w14:paraId="539DDBDD" w14:textId="77777777" w:rsidR="009B258B" w:rsidRPr="001A0537" w:rsidRDefault="009B258B" w:rsidP="009B258B">
      <w:pPr>
        <w:pStyle w:val="Tekst"/>
        <w:rPr>
          <w:lang w:val="hr-BA"/>
        </w:rPr>
      </w:pPr>
    </w:p>
    <w:p w14:paraId="6A0892F6" w14:textId="77777777" w:rsidR="00E56B2F" w:rsidRPr="001A0537" w:rsidRDefault="00E56B2F">
      <w:pPr>
        <w:rPr>
          <w:rFonts w:ascii="Arial" w:hAnsi="Arial" w:cs="Arial"/>
          <w:b/>
          <w:bCs/>
          <w:kern w:val="32"/>
          <w:sz w:val="32"/>
          <w:szCs w:val="32"/>
        </w:rPr>
      </w:pPr>
      <w:r>
        <w:br w:type="page"/>
      </w:r>
    </w:p>
    <w:p w14:paraId="65FAD3DD" w14:textId="77777777" w:rsidR="00A64857" w:rsidRPr="001A0537" w:rsidRDefault="00164ADB" w:rsidP="00F50066">
      <w:pPr>
        <w:pStyle w:val="PRVINASLOV"/>
      </w:pPr>
      <w:bookmarkStart w:id="22" w:name="_Toc97722046"/>
      <w:bookmarkStart w:id="23" w:name="_Toc112852410"/>
      <w:r>
        <w:lastRenderedPageBreak/>
        <w:t>APPOINTMENT TO JUDICIAL OFFICE</w:t>
      </w:r>
      <w:bookmarkEnd w:id="22"/>
      <w:bookmarkEnd w:id="23"/>
    </w:p>
    <w:p w14:paraId="629E9FB9" w14:textId="10B7D04E" w:rsidR="003B73F2" w:rsidRPr="003B73F2" w:rsidRDefault="003B73F2" w:rsidP="003B73F2">
      <w:pPr>
        <w:pStyle w:val="Tekst"/>
      </w:pPr>
      <w:r>
        <w:t xml:space="preserve">A fundamental competence of the High Judicial and Prosecutorial Council in ensuring the independence and impartiality of the courts and prosecutors offices in Bosnia and Herzegovina is to establish transparent and objective appointment procedures for judicial office. </w:t>
      </w:r>
    </w:p>
    <w:p w14:paraId="7A625F42" w14:textId="38744DDC" w:rsidR="003B73F2" w:rsidRPr="003B73F2" w:rsidRDefault="003B73F2" w:rsidP="003B73F2">
      <w:pPr>
        <w:pStyle w:val="Tekst"/>
      </w:pPr>
      <w:r>
        <w:t>Article 43 of the Law on the High Judicial and Prosecutor</w:t>
      </w:r>
      <w:r w:rsidR="00161FBF">
        <w:t>ial</w:t>
      </w:r>
      <w:r>
        <w:t xml:space="preserve"> Council of Bosnia and Herzegovina (Official Gazette of BiH, 25/04, 93/05, 48/07 &amp;15/08) prescribes the appointment criteria and serves as general guidance for the HJPC when determining competences required for judicial office. </w:t>
      </w:r>
    </w:p>
    <w:p w14:paraId="2AED6C20" w14:textId="77777777" w:rsidR="003B73F2" w:rsidRPr="003B73F2" w:rsidRDefault="003B73F2" w:rsidP="003B73F2">
      <w:pPr>
        <w:pStyle w:val="Tekst"/>
      </w:pPr>
      <w:r>
        <w:t>The procedure for the appointment of judges and prosecutors is covered in detail with the Rules of Procedure of the High Judicial and Prosecutorial Council of Bosnia and Herzegovina (Official Gazette of BiH, no. 55/13, 96/13, 46/14, 61/14, 78/14, 27/15, 46/15, 93/16, 48/17, 88/17, 41/18, 64/18, 12/21, 26/21, 35/21, 68/21 &amp; 1/22) (hereinafter: HJPC BiH Rules of Procedure)  and in the Book of Rules on Entrance Exams and Written Tests for Candidates for Judicial Office in the Judiciary of Bosnia and Herzegovina (Official Gazette of BiH, no. 78/14, 45/15, 48/16, 12/18 &amp; 51/18, 12/21, 64/21) (hereinafter: the Book of Rules on Entrance Exam and Written Tests). In accordance with Article 37 of the Rules of Procedure of the HJPC of BiH, the competition procedure includes:</w:t>
      </w:r>
    </w:p>
    <w:p w14:paraId="7159D8EB" w14:textId="77777777" w:rsidR="003B73F2" w:rsidRPr="00C1227F" w:rsidRDefault="003B73F2" w:rsidP="003B73F2">
      <w:pPr>
        <w:pStyle w:val="Tackice"/>
      </w:pPr>
      <w:r>
        <w:t>entrance exams and written tests for candidates who are required to take entrance exams and written tests;</w:t>
      </w:r>
    </w:p>
    <w:p w14:paraId="1EE3B2A6" w14:textId="77777777" w:rsidR="003B73F2" w:rsidRPr="00C1227F" w:rsidRDefault="003B73F2" w:rsidP="003B73F2">
      <w:pPr>
        <w:pStyle w:val="Tackice"/>
      </w:pPr>
      <w:r>
        <w:t>candidate interviews;</w:t>
      </w:r>
    </w:p>
    <w:p w14:paraId="204946C6" w14:textId="77777777" w:rsidR="003B73F2" w:rsidRPr="00C1227F" w:rsidRDefault="003B73F2" w:rsidP="003B73F2">
      <w:pPr>
        <w:pStyle w:val="Tackice"/>
      </w:pPr>
      <w:r>
        <w:t>candidate ranking and proposal.</w:t>
      </w:r>
    </w:p>
    <w:p w14:paraId="362CE3CF" w14:textId="508648E0" w:rsidR="003B73F2" w:rsidRPr="00C1227F" w:rsidRDefault="003B73F2" w:rsidP="003B73F2">
      <w:pPr>
        <w:pStyle w:val="Tekst"/>
      </w:pPr>
      <w:r>
        <w:t>After an analysis of the effects of the amendments to the Rules of Procedure of the HJPC BiH and the Book of Rules on Entrance Exams and Written Tests,</w:t>
      </w:r>
      <w:r>
        <w:rPr>
          <w:b/>
        </w:rPr>
        <w:t xml:space="preserve"> </w:t>
      </w:r>
      <w:r>
        <w:t xml:space="preserve">the HJPC BiH Standing Committee in charge of conducting test procedures, structured interviews and improving appointment procedures proposed to the Council further improvements to the said regulations for 2021. </w:t>
      </w:r>
    </w:p>
    <w:p w14:paraId="732C59C8" w14:textId="77777777" w:rsidR="003B73F2" w:rsidRPr="00C1227F" w:rsidRDefault="003B73F2" w:rsidP="003B73F2">
      <w:pPr>
        <w:pStyle w:val="Tekst"/>
        <w:rPr>
          <w:b/>
          <w:bCs/>
        </w:rPr>
      </w:pPr>
      <w:r>
        <w:t>Accordingly, at the session on 21/1/2021, the Council adopted Rules of Procedure on Amendments to the Rules of Procedure of the HJPC BiH</w:t>
      </w:r>
      <w:r w:rsidRPr="00C1227F">
        <w:rPr>
          <w:rStyle w:val="FootnoteReference"/>
          <w:rFonts w:cs="Arial"/>
          <w:szCs w:val="22"/>
        </w:rPr>
        <w:footnoteReference w:id="3"/>
      </w:r>
      <w:r>
        <w:t xml:space="preserve"> which improve the elements for candidate scoring at interviews, introduce the option for candidates to apply electronically to judicial office positions, prescribe a ban prohibiting candidates with legally final disciplinary panel decisions on temporary suspension from office for reasons pursuant to articles 76 &amp; 77 of the Law on the HJPC BiH from participating in competitions, while also detailing the rights of candidates to listen to audio recordings and to receive copies of audio recordings.</w:t>
      </w:r>
    </w:p>
    <w:p w14:paraId="077D48D8" w14:textId="6AFC7AB4" w:rsidR="003B73F2" w:rsidRPr="00C1227F" w:rsidRDefault="003B73F2" w:rsidP="003B73F2">
      <w:pPr>
        <w:pStyle w:val="Tekst"/>
        <w:rPr>
          <w:b/>
        </w:rPr>
      </w:pPr>
      <w:r>
        <w:t>Furthermore, at the session held on 21/1/2021, and the session on 29 &amp; 30/9</w:t>
      </w:r>
      <w:r w:rsidR="00161FBF">
        <w:t>/</w:t>
      </w:r>
      <w:r>
        <w:t>2021, the Council adopted the books of rules on amendments to the books of rules on entrance exams and written tests with accompanying forms.</w:t>
      </w:r>
      <w:r w:rsidRPr="00C1227F">
        <w:rPr>
          <w:rStyle w:val="FootnoteReference"/>
          <w:rFonts w:cs="Arial"/>
          <w:szCs w:val="22"/>
          <w:lang w:val="sr-Latn-BA"/>
        </w:rPr>
        <w:footnoteReference w:id="4"/>
      </w:r>
      <w:r>
        <w:t xml:space="preserve"> Amendments were made to establish clearer actions for the </w:t>
      </w:r>
      <w:r>
        <w:lastRenderedPageBreak/>
        <w:t xml:space="preserve">Standing Committee with regards to candidate objections involving entrance exams and written tests, also introducing time limits for the overall assessment of competence and the right to retake a test after the elapsing of one year, and </w:t>
      </w:r>
      <w:r w:rsidR="00AD013A">
        <w:t xml:space="preserve">also </w:t>
      </w:r>
      <w:r>
        <w:t xml:space="preserve">aimed at improving the candidate interview forms and the calculation of total performance scores in order to have a clearer distinction of success among the candidates regarding the score for written tests. </w:t>
      </w:r>
    </w:p>
    <w:p w14:paraId="6C602B42" w14:textId="77777777" w:rsidR="003B73F2" w:rsidRPr="005365C9" w:rsidRDefault="003B73F2" w:rsidP="003B73F2">
      <w:pPr>
        <w:pStyle w:val="Tekst"/>
      </w:pPr>
      <w:r>
        <w:t>As for statistical data for 2021, we must stress that regarding the six competitions that were previously announced, in 2021, entrance exams were organised for 307 candidates, written tests for 342 candidates and interviews were conducted with 454 candidates.</w:t>
      </w:r>
    </w:p>
    <w:p w14:paraId="406863EF" w14:textId="77777777" w:rsidR="003B73F2" w:rsidRPr="00C1227F" w:rsidRDefault="003B73F2" w:rsidP="003B73F2">
      <w:pPr>
        <w:pStyle w:val="Tekst"/>
      </w:pPr>
      <w:r>
        <w:t xml:space="preserve">Two competitions were announced in 2021: </w:t>
      </w:r>
    </w:p>
    <w:p w14:paraId="7FCEA375" w14:textId="77777777" w:rsidR="003B73F2" w:rsidRPr="00C1227F" w:rsidRDefault="003B73F2" w:rsidP="00FC3123">
      <w:pPr>
        <w:pStyle w:val="Tackice"/>
        <w:numPr>
          <w:ilvl w:val="0"/>
          <w:numId w:val="20"/>
        </w:numPr>
      </w:pPr>
      <w:r>
        <w:t xml:space="preserve">Competition no. 04-07-3-2543-1/2021, which closed on 22/7/2021, announced 119 positions, of which 27 management-level positions, 84 regular positions and 8 legal associate positions. </w:t>
      </w:r>
    </w:p>
    <w:p w14:paraId="3561C554" w14:textId="77777777" w:rsidR="003B73F2" w:rsidRPr="00C1227F" w:rsidRDefault="003B73F2" w:rsidP="003B73F2">
      <w:pPr>
        <w:pStyle w:val="Tackice"/>
        <w:numPr>
          <w:ilvl w:val="0"/>
          <w:numId w:val="0"/>
        </w:numPr>
        <w:ind w:left="360"/>
      </w:pPr>
      <w:r>
        <w:t xml:space="preserve">There were 821 candidates who applied for the competition with a number of candidates applying for multiple positions, meaning that there were, in all, 2,251 applications submitted for positions with the courts and prosecutors offices. </w:t>
      </w:r>
    </w:p>
    <w:p w14:paraId="02DBEAE1" w14:textId="77777777" w:rsidR="003B73F2" w:rsidRPr="00C1227F" w:rsidRDefault="003B73F2" w:rsidP="003B73F2">
      <w:pPr>
        <w:pStyle w:val="Tackice"/>
        <w:numPr>
          <w:ilvl w:val="0"/>
          <w:numId w:val="0"/>
        </w:numPr>
        <w:ind w:left="360"/>
      </w:pPr>
      <w:r>
        <w:t>There were 92 applicants for management-level positions, while 87 candidates applied for 171 legal associate positions.</w:t>
      </w:r>
    </w:p>
    <w:p w14:paraId="49CE7887" w14:textId="77777777" w:rsidR="003B73F2" w:rsidRPr="00C1227F" w:rsidRDefault="003B73F2" w:rsidP="003B73F2">
      <w:pPr>
        <w:pStyle w:val="Tackice"/>
        <w:numPr>
          <w:ilvl w:val="0"/>
          <w:numId w:val="0"/>
        </w:numPr>
        <w:ind w:left="360"/>
      </w:pPr>
      <w:r>
        <w:t>There were 497 candidates who were called to take an entrance exam (370 candidates for judge positions and 127 for prosecutor positions), however 229 did not show up, while 268 candidates did take the exam (209 candidates for judge positions and 59 candidates for prosecutor positions). Of the candidates who took the test, 42 did not pass. The turnout for the test was 53.92%. The overall passing rate on the tests was 83.58%.</w:t>
      </w:r>
    </w:p>
    <w:p w14:paraId="10F2B521" w14:textId="77777777" w:rsidR="003B73F2" w:rsidRPr="00C1227F" w:rsidRDefault="003B73F2" w:rsidP="003B73F2">
      <w:pPr>
        <w:pStyle w:val="Tackice"/>
        <w:numPr>
          <w:ilvl w:val="0"/>
          <w:numId w:val="0"/>
        </w:numPr>
        <w:ind w:left="360"/>
      </w:pPr>
      <w:r>
        <w:t xml:space="preserve">There were 225 candidates who passed the entrance exam (172 for judges and 53 for prosecutors) who were then all called to take the written test. The test was taken by 195 candidates (150 candidates for judge positions and 45 candidates for prosecutor positions). The turnout for the test was 86.66%. The pass rate for the written tests was 81.02% i.e. out of 195 candidates who took the test, 159 achieved 70 or more points. </w:t>
      </w:r>
    </w:p>
    <w:p w14:paraId="4A1B748D" w14:textId="77777777" w:rsidR="003B73F2" w:rsidRPr="00C1227F" w:rsidRDefault="003B73F2" w:rsidP="003B73F2">
      <w:pPr>
        <w:pStyle w:val="Tackice"/>
        <w:numPr>
          <w:ilvl w:val="0"/>
          <w:numId w:val="0"/>
        </w:numPr>
        <w:ind w:left="360"/>
      </w:pPr>
      <w:r>
        <w:t>There were 778 candidates who were called for an interview.</w:t>
      </w:r>
    </w:p>
    <w:p w14:paraId="1A531C97" w14:textId="77777777" w:rsidR="003B73F2" w:rsidRPr="00C1227F" w:rsidRDefault="003B73F2" w:rsidP="00FC3123">
      <w:pPr>
        <w:pStyle w:val="Tackice"/>
        <w:numPr>
          <w:ilvl w:val="0"/>
          <w:numId w:val="20"/>
        </w:numPr>
      </w:pPr>
      <w:r>
        <w:t xml:space="preserve">Competition no. 04-07-3-4416-1/2021, that closed on 7/1/2022, announced 12 positions with 6 management level positions and 6 regular judge positions. In accordance with its competences pursuant to Article 17, paragraph (1), item 3), the Council also announced 1 judge position with the Constitutional Court of RS in the said competition announcement. </w:t>
      </w:r>
    </w:p>
    <w:p w14:paraId="017C9EC2" w14:textId="77777777" w:rsidR="00D37E6A" w:rsidRDefault="00D37E6A" w:rsidP="00D37E6A">
      <w:pPr>
        <w:pStyle w:val="Caption"/>
        <w:keepNext/>
        <w:ind w:left="360"/>
      </w:pPr>
    </w:p>
    <w:p w14:paraId="24E31A0C" w14:textId="0417E6B9" w:rsidR="00D37E6A" w:rsidRPr="00D37E6A" w:rsidRDefault="00D37E6A" w:rsidP="00D37E6A">
      <w:pPr>
        <w:pStyle w:val="Caption"/>
      </w:pPr>
      <w:r>
        <w:t xml:space="preserve">Table </w:t>
      </w:r>
      <w:r w:rsidR="006D1459">
        <w:fldChar w:fldCharType="begin"/>
      </w:r>
      <w:r w:rsidR="006D1459">
        <w:instrText xml:space="preserve"> SEQ Tablica \* ARABIC </w:instrText>
      </w:r>
      <w:r w:rsidR="006D1459">
        <w:fldChar w:fldCharType="separate"/>
      </w:r>
      <w:r w:rsidR="002B094A">
        <w:t>3</w:t>
      </w:r>
      <w:r w:rsidR="006D1459">
        <w:fldChar w:fldCharType="end"/>
      </w:r>
      <w:r>
        <w:t>: Ethnic and gender breakdown of judicial office holders</w:t>
      </w:r>
    </w:p>
    <w:tbl>
      <w:tblPr>
        <w:tblStyle w:val="TableGrid"/>
        <w:tblW w:w="9351" w:type="dxa"/>
        <w:tblInd w:w="-5" w:type="dxa"/>
        <w:tblLook w:val="04A0" w:firstRow="1" w:lastRow="0" w:firstColumn="1" w:lastColumn="0" w:noHBand="0" w:noVBand="1"/>
      </w:tblPr>
      <w:tblGrid>
        <w:gridCol w:w="1491"/>
        <w:gridCol w:w="1581"/>
        <w:gridCol w:w="1477"/>
        <w:gridCol w:w="1202"/>
        <w:gridCol w:w="573"/>
        <w:gridCol w:w="573"/>
        <w:gridCol w:w="564"/>
        <w:gridCol w:w="11"/>
        <w:gridCol w:w="473"/>
        <w:gridCol w:w="9"/>
        <w:gridCol w:w="565"/>
        <w:gridCol w:w="821"/>
        <w:gridCol w:w="11"/>
      </w:tblGrid>
      <w:tr w:rsidR="00D37E6A" w:rsidRPr="00D37E6A" w14:paraId="6863A962" w14:textId="77777777" w:rsidTr="00D37E6A">
        <w:tc>
          <w:tcPr>
            <w:tcW w:w="1560" w:type="dxa"/>
          </w:tcPr>
          <w:p w14:paraId="376B0039" w14:textId="77777777" w:rsidR="00D37E6A" w:rsidRPr="00D37E6A" w:rsidRDefault="000A244B" w:rsidP="0021373E">
            <w:pPr>
              <w:jc w:val="center"/>
              <w:rPr>
                <w:rFonts w:ascii="Arial" w:hAnsi="Arial" w:cs="Arial"/>
                <w:sz w:val="21"/>
                <w:szCs w:val="21"/>
              </w:rPr>
            </w:pPr>
            <w:r>
              <w:rPr>
                <w:rFonts w:ascii="Arial" w:hAnsi="Arial"/>
                <w:sz w:val="21"/>
                <w:szCs w:val="21"/>
              </w:rPr>
              <w:t>Level</w:t>
            </w:r>
          </w:p>
        </w:tc>
        <w:tc>
          <w:tcPr>
            <w:tcW w:w="1701" w:type="dxa"/>
          </w:tcPr>
          <w:p w14:paraId="1EF46316" w14:textId="77777777" w:rsidR="00D37E6A" w:rsidRPr="00D37E6A" w:rsidRDefault="00D37E6A" w:rsidP="0021373E">
            <w:pPr>
              <w:jc w:val="center"/>
              <w:rPr>
                <w:rFonts w:ascii="Arial" w:hAnsi="Arial" w:cs="Arial"/>
                <w:sz w:val="21"/>
                <w:szCs w:val="21"/>
              </w:rPr>
            </w:pPr>
            <w:r>
              <w:rPr>
                <w:rFonts w:ascii="Arial" w:hAnsi="Arial"/>
                <w:sz w:val="21"/>
                <w:szCs w:val="21"/>
              </w:rPr>
              <w:t>Institution</w:t>
            </w:r>
          </w:p>
        </w:tc>
        <w:tc>
          <w:tcPr>
            <w:tcW w:w="1414" w:type="dxa"/>
          </w:tcPr>
          <w:p w14:paraId="208A1305" w14:textId="77777777" w:rsidR="00D37E6A" w:rsidRPr="00D37E6A" w:rsidRDefault="00497C7F" w:rsidP="0021373E">
            <w:pPr>
              <w:jc w:val="center"/>
              <w:rPr>
                <w:rFonts w:ascii="Arial" w:hAnsi="Arial" w:cs="Arial"/>
                <w:sz w:val="21"/>
                <w:szCs w:val="21"/>
              </w:rPr>
            </w:pPr>
            <w:r>
              <w:rPr>
                <w:rFonts w:ascii="Arial" w:hAnsi="Arial"/>
                <w:sz w:val="21"/>
                <w:szCs w:val="21"/>
              </w:rPr>
              <w:t>Systematised number</w:t>
            </w:r>
          </w:p>
        </w:tc>
        <w:tc>
          <w:tcPr>
            <w:tcW w:w="1296" w:type="dxa"/>
          </w:tcPr>
          <w:p w14:paraId="6C0859FD" w14:textId="77777777" w:rsidR="00D37E6A" w:rsidRPr="00D37E6A" w:rsidRDefault="00D37E6A" w:rsidP="0021373E">
            <w:pPr>
              <w:jc w:val="center"/>
              <w:rPr>
                <w:rFonts w:ascii="Arial" w:hAnsi="Arial" w:cs="Arial"/>
                <w:sz w:val="21"/>
                <w:szCs w:val="21"/>
              </w:rPr>
            </w:pPr>
            <w:r>
              <w:rPr>
                <w:rFonts w:ascii="Arial" w:hAnsi="Arial"/>
                <w:sz w:val="21"/>
                <w:szCs w:val="21"/>
              </w:rPr>
              <w:t>No. of positions filled</w:t>
            </w:r>
          </w:p>
        </w:tc>
        <w:tc>
          <w:tcPr>
            <w:tcW w:w="2226" w:type="dxa"/>
            <w:gridSpan w:val="6"/>
          </w:tcPr>
          <w:p w14:paraId="17714170" w14:textId="77777777" w:rsidR="00D37E6A" w:rsidRPr="00D37E6A" w:rsidRDefault="00D37E6A" w:rsidP="0021373E">
            <w:pPr>
              <w:jc w:val="center"/>
              <w:rPr>
                <w:rFonts w:ascii="Arial" w:hAnsi="Arial" w:cs="Arial"/>
                <w:sz w:val="21"/>
                <w:szCs w:val="21"/>
              </w:rPr>
            </w:pPr>
            <w:r>
              <w:rPr>
                <w:rFonts w:ascii="Arial" w:hAnsi="Arial"/>
                <w:sz w:val="21"/>
                <w:szCs w:val="21"/>
              </w:rPr>
              <w:t>Ethnic breakdown</w:t>
            </w:r>
          </w:p>
        </w:tc>
        <w:tc>
          <w:tcPr>
            <w:tcW w:w="1154" w:type="dxa"/>
            <w:gridSpan w:val="3"/>
          </w:tcPr>
          <w:p w14:paraId="6EE82958" w14:textId="77777777" w:rsidR="00D37E6A" w:rsidRPr="00D37E6A" w:rsidRDefault="00D37E6A" w:rsidP="0021373E">
            <w:pPr>
              <w:jc w:val="center"/>
              <w:rPr>
                <w:rFonts w:ascii="Arial" w:hAnsi="Arial" w:cs="Arial"/>
                <w:sz w:val="21"/>
                <w:szCs w:val="21"/>
              </w:rPr>
            </w:pPr>
            <w:r>
              <w:rPr>
                <w:rFonts w:ascii="Arial" w:hAnsi="Arial"/>
                <w:sz w:val="21"/>
                <w:szCs w:val="21"/>
              </w:rPr>
              <w:t>Gender breakdown</w:t>
            </w:r>
          </w:p>
          <w:p w14:paraId="5B8715FE" w14:textId="77777777" w:rsidR="00D37E6A" w:rsidRPr="00D37E6A" w:rsidRDefault="00D37E6A" w:rsidP="0021373E">
            <w:pPr>
              <w:jc w:val="center"/>
              <w:rPr>
                <w:rFonts w:ascii="Arial" w:hAnsi="Arial" w:cs="Arial"/>
                <w:sz w:val="21"/>
                <w:szCs w:val="21"/>
              </w:rPr>
            </w:pPr>
          </w:p>
        </w:tc>
      </w:tr>
      <w:tr w:rsidR="00D37E6A" w:rsidRPr="00D37E6A" w14:paraId="165299B9" w14:textId="77777777" w:rsidTr="00D37E6A">
        <w:trPr>
          <w:gridAfter w:val="1"/>
          <w:wAfter w:w="10" w:type="dxa"/>
        </w:trPr>
        <w:tc>
          <w:tcPr>
            <w:tcW w:w="1560" w:type="dxa"/>
          </w:tcPr>
          <w:p w14:paraId="5265F4F5" w14:textId="77777777" w:rsidR="00D37E6A" w:rsidRPr="00D37E6A" w:rsidRDefault="00D37E6A" w:rsidP="0021373E">
            <w:pPr>
              <w:rPr>
                <w:rFonts w:ascii="Arial" w:hAnsi="Arial" w:cs="Arial"/>
                <w:sz w:val="21"/>
                <w:szCs w:val="21"/>
              </w:rPr>
            </w:pPr>
          </w:p>
        </w:tc>
        <w:tc>
          <w:tcPr>
            <w:tcW w:w="1701" w:type="dxa"/>
          </w:tcPr>
          <w:p w14:paraId="2C734B79" w14:textId="77777777" w:rsidR="00D37E6A" w:rsidRPr="00D37E6A" w:rsidRDefault="00D37E6A" w:rsidP="0021373E">
            <w:pPr>
              <w:rPr>
                <w:rFonts w:ascii="Arial" w:hAnsi="Arial" w:cs="Arial"/>
                <w:sz w:val="21"/>
                <w:szCs w:val="21"/>
              </w:rPr>
            </w:pPr>
          </w:p>
        </w:tc>
        <w:tc>
          <w:tcPr>
            <w:tcW w:w="1414" w:type="dxa"/>
          </w:tcPr>
          <w:p w14:paraId="5E232D15" w14:textId="77777777" w:rsidR="00D37E6A" w:rsidRPr="00D37E6A" w:rsidRDefault="00D37E6A" w:rsidP="0021373E">
            <w:pPr>
              <w:rPr>
                <w:rFonts w:ascii="Arial" w:hAnsi="Arial" w:cs="Arial"/>
                <w:sz w:val="21"/>
                <w:szCs w:val="21"/>
              </w:rPr>
            </w:pPr>
          </w:p>
        </w:tc>
        <w:tc>
          <w:tcPr>
            <w:tcW w:w="1296" w:type="dxa"/>
          </w:tcPr>
          <w:p w14:paraId="06856D74" w14:textId="77777777" w:rsidR="00D37E6A" w:rsidRPr="00D37E6A" w:rsidRDefault="00D37E6A" w:rsidP="0021373E">
            <w:pPr>
              <w:rPr>
                <w:rFonts w:ascii="Arial" w:hAnsi="Arial" w:cs="Arial"/>
                <w:sz w:val="21"/>
                <w:szCs w:val="21"/>
              </w:rPr>
            </w:pPr>
          </w:p>
        </w:tc>
        <w:tc>
          <w:tcPr>
            <w:tcW w:w="576" w:type="dxa"/>
          </w:tcPr>
          <w:p w14:paraId="47C4A10E" w14:textId="77777777" w:rsidR="00D37E6A" w:rsidRPr="00D37E6A" w:rsidRDefault="00D37E6A" w:rsidP="0021373E">
            <w:pPr>
              <w:rPr>
                <w:rFonts w:ascii="Arial" w:hAnsi="Arial" w:cs="Arial"/>
                <w:sz w:val="21"/>
                <w:szCs w:val="21"/>
              </w:rPr>
            </w:pPr>
            <w:r>
              <w:rPr>
                <w:rFonts w:ascii="Arial" w:hAnsi="Arial"/>
                <w:sz w:val="21"/>
                <w:szCs w:val="21"/>
              </w:rPr>
              <w:t>B</w:t>
            </w:r>
          </w:p>
        </w:tc>
        <w:tc>
          <w:tcPr>
            <w:tcW w:w="576" w:type="dxa"/>
          </w:tcPr>
          <w:p w14:paraId="5D636C7A" w14:textId="77777777" w:rsidR="00D37E6A" w:rsidRPr="00D37E6A" w:rsidRDefault="00D37E6A" w:rsidP="0021373E">
            <w:pPr>
              <w:rPr>
                <w:rFonts w:ascii="Arial" w:hAnsi="Arial" w:cs="Arial"/>
                <w:sz w:val="21"/>
                <w:szCs w:val="21"/>
              </w:rPr>
            </w:pPr>
            <w:r>
              <w:rPr>
                <w:rFonts w:ascii="Arial" w:hAnsi="Arial"/>
                <w:sz w:val="21"/>
                <w:szCs w:val="21"/>
              </w:rPr>
              <w:t>C</w:t>
            </w:r>
          </w:p>
        </w:tc>
        <w:tc>
          <w:tcPr>
            <w:tcW w:w="565" w:type="dxa"/>
          </w:tcPr>
          <w:p w14:paraId="4A456EB8" w14:textId="77777777" w:rsidR="00D37E6A" w:rsidRPr="00D37E6A" w:rsidRDefault="00D37E6A" w:rsidP="0021373E">
            <w:pPr>
              <w:rPr>
                <w:rFonts w:ascii="Arial" w:hAnsi="Arial" w:cs="Arial"/>
                <w:sz w:val="21"/>
                <w:szCs w:val="21"/>
              </w:rPr>
            </w:pPr>
            <w:r>
              <w:rPr>
                <w:rFonts w:ascii="Arial" w:hAnsi="Arial"/>
                <w:sz w:val="21"/>
                <w:szCs w:val="21"/>
              </w:rPr>
              <w:t>S</w:t>
            </w:r>
          </w:p>
        </w:tc>
        <w:tc>
          <w:tcPr>
            <w:tcW w:w="500" w:type="dxa"/>
            <w:gridSpan w:val="2"/>
          </w:tcPr>
          <w:p w14:paraId="64B55FFC" w14:textId="77777777" w:rsidR="00D37E6A" w:rsidRPr="00D37E6A" w:rsidRDefault="00D37E6A" w:rsidP="0021373E">
            <w:pPr>
              <w:rPr>
                <w:rFonts w:ascii="Arial" w:hAnsi="Arial" w:cs="Arial"/>
                <w:sz w:val="21"/>
                <w:szCs w:val="21"/>
              </w:rPr>
            </w:pPr>
            <w:r>
              <w:rPr>
                <w:rFonts w:ascii="Arial" w:hAnsi="Arial"/>
                <w:sz w:val="21"/>
                <w:szCs w:val="21"/>
              </w:rPr>
              <w:t>O</w:t>
            </w:r>
          </w:p>
        </w:tc>
        <w:tc>
          <w:tcPr>
            <w:tcW w:w="577" w:type="dxa"/>
            <w:gridSpan w:val="2"/>
          </w:tcPr>
          <w:p w14:paraId="1D3029E7" w14:textId="77777777" w:rsidR="00D37E6A" w:rsidRPr="00D37E6A" w:rsidRDefault="00D37E6A" w:rsidP="0021373E">
            <w:pPr>
              <w:rPr>
                <w:rFonts w:ascii="Arial" w:hAnsi="Arial" w:cs="Arial"/>
                <w:sz w:val="21"/>
                <w:szCs w:val="21"/>
              </w:rPr>
            </w:pPr>
            <w:r>
              <w:rPr>
                <w:rFonts w:ascii="Arial" w:hAnsi="Arial"/>
                <w:sz w:val="21"/>
                <w:szCs w:val="21"/>
              </w:rPr>
              <w:t>M</w:t>
            </w:r>
          </w:p>
        </w:tc>
        <w:tc>
          <w:tcPr>
            <w:tcW w:w="576" w:type="dxa"/>
          </w:tcPr>
          <w:p w14:paraId="5BC45736" w14:textId="77777777" w:rsidR="00D37E6A" w:rsidRPr="00D37E6A" w:rsidRDefault="00D37E6A" w:rsidP="0021373E">
            <w:pPr>
              <w:rPr>
                <w:rFonts w:ascii="Arial" w:hAnsi="Arial" w:cs="Arial"/>
                <w:sz w:val="21"/>
                <w:szCs w:val="21"/>
              </w:rPr>
            </w:pPr>
            <w:r>
              <w:rPr>
                <w:rFonts w:ascii="Arial" w:hAnsi="Arial"/>
                <w:sz w:val="21"/>
                <w:szCs w:val="21"/>
              </w:rPr>
              <w:t>F</w:t>
            </w:r>
          </w:p>
        </w:tc>
      </w:tr>
      <w:tr w:rsidR="00D37E6A" w:rsidRPr="00D37E6A" w14:paraId="4E938D71" w14:textId="77777777" w:rsidTr="00D37E6A">
        <w:trPr>
          <w:gridAfter w:val="1"/>
          <w:wAfter w:w="10" w:type="dxa"/>
        </w:trPr>
        <w:tc>
          <w:tcPr>
            <w:tcW w:w="1560" w:type="dxa"/>
          </w:tcPr>
          <w:p w14:paraId="79DFFF48" w14:textId="77777777" w:rsidR="00D37E6A" w:rsidRPr="00D37E6A" w:rsidRDefault="00D37E6A" w:rsidP="0021373E">
            <w:pPr>
              <w:rPr>
                <w:rFonts w:ascii="Arial" w:hAnsi="Arial" w:cs="Arial"/>
                <w:sz w:val="21"/>
                <w:szCs w:val="21"/>
              </w:rPr>
            </w:pPr>
            <w:r>
              <w:rPr>
                <w:rFonts w:ascii="Arial" w:hAnsi="Arial"/>
                <w:sz w:val="21"/>
                <w:szCs w:val="21"/>
              </w:rPr>
              <w:lastRenderedPageBreak/>
              <w:t>State</w:t>
            </w:r>
          </w:p>
        </w:tc>
        <w:tc>
          <w:tcPr>
            <w:tcW w:w="1701" w:type="dxa"/>
          </w:tcPr>
          <w:p w14:paraId="21516C63" w14:textId="77777777" w:rsidR="00D37E6A" w:rsidRPr="00D37E6A" w:rsidRDefault="00D37E6A" w:rsidP="0021373E">
            <w:pPr>
              <w:rPr>
                <w:rFonts w:ascii="Arial" w:hAnsi="Arial" w:cs="Arial"/>
                <w:sz w:val="21"/>
                <w:szCs w:val="21"/>
              </w:rPr>
            </w:pPr>
            <w:r>
              <w:rPr>
                <w:rFonts w:ascii="Arial" w:hAnsi="Arial"/>
                <w:sz w:val="21"/>
                <w:szCs w:val="21"/>
              </w:rPr>
              <w:t>Court</w:t>
            </w:r>
          </w:p>
          <w:p w14:paraId="4BB7D5ED" w14:textId="77777777" w:rsidR="00D37E6A" w:rsidRPr="00D37E6A" w:rsidRDefault="00D37E6A" w:rsidP="0021373E">
            <w:pPr>
              <w:rPr>
                <w:rFonts w:ascii="Arial" w:hAnsi="Arial" w:cs="Arial"/>
                <w:sz w:val="21"/>
                <w:szCs w:val="21"/>
              </w:rPr>
            </w:pPr>
          </w:p>
        </w:tc>
        <w:tc>
          <w:tcPr>
            <w:tcW w:w="1414" w:type="dxa"/>
          </w:tcPr>
          <w:p w14:paraId="6696B545" w14:textId="77777777" w:rsidR="00D37E6A" w:rsidRPr="00D37E6A" w:rsidRDefault="00D37E6A" w:rsidP="0021373E">
            <w:pPr>
              <w:rPr>
                <w:rFonts w:ascii="Arial" w:hAnsi="Arial" w:cs="Arial"/>
                <w:sz w:val="21"/>
                <w:szCs w:val="21"/>
              </w:rPr>
            </w:pPr>
            <w:r>
              <w:rPr>
                <w:rFonts w:ascii="Arial" w:hAnsi="Arial"/>
                <w:sz w:val="21"/>
                <w:szCs w:val="21"/>
              </w:rPr>
              <w:t>56</w:t>
            </w:r>
          </w:p>
        </w:tc>
        <w:tc>
          <w:tcPr>
            <w:tcW w:w="1296" w:type="dxa"/>
          </w:tcPr>
          <w:p w14:paraId="3EB4FF8B" w14:textId="77777777" w:rsidR="00D37E6A" w:rsidRPr="00D37E6A" w:rsidRDefault="00D37E6A" w:rsidP="0021373E">
            <w:pPr>
              <w:rPr>
                <w:rFonts w:ascii="Arial" w:hAnsi="Arial" w:cs="Arial"/>
                <w:sz w:val="21"/>
                <w:szCs w:val="21"/>
              </w:rPr>
            </w:pPr>
            <w:r>
              <w:rPr>
                <w:rFonts w:ascii="Arial" w:hAnsi="Arial"/>
                <w:sz w:val="21"/>
                <w:szCs w:val="21"/>
              </w:rPr>
              <w:t>49</w:t>
            </w:r>
          </w:p>
        </w:tc>
        <w:tc>
          <w:tcPr>
            <w:tcW w:w="576" w:type="dxa"/>
          </w:tcPr>
          <w:p w14:paraId="40BC4B6B" w14:textId="77777777" w:rsidR="00D37E6A" w:rsidRPr="00D37E6A" w:rsidRDefault="00D37E6A" w:rsidP="0021373E">
            <w:pPr>
              <w:jc w:val="center"/>
              <w:rPr>
                <w:rFonts w:ascii="Arial" w:hAnsi="Arial" w:cs="Arial"/>
                <w:sz w:val="21"/>
                <w:szCs w:val="21"/>
              </w:rPr>
            </w:pPr>
            <w:r>
              <w:rPr>
                <w:rFonts w:ascii="Arial" w:hAnsi="Arial"/>
                <w:sz w:val="21"/>
                <w:szCs w:val="21"/>
              </w:rPr>
              <w:t>23</w:t>
            </w:r>
          </w:p>
        </w:tc>
        <w:tc>
          <w:tcPr>
            <w:tcW w:w="576" w:type="dxa"/>
          </w:tcPr>
          <w:p w14:paraId="12A60C22" w14:textId="77777777" w:rsidR="00D37E6A" w:rsidRPr="00D37E6A" w:rsidRDefault="00D37E6A" w:rsidP="0021373E">
            <w:pPr>
              <w:jc w:val="center"/>
              <w:rPr>
                <w:rFonts w:ascii="Arial" w:hAnsi="Arial" w:cs="Arial"/>
                <w:sz w:val="21"/>
                <w:szCs w:val="21"/>
              </w:rPr>
            </w:pPr>
            <w:r>
              <w:rPr>
                <w:rFonts w:ascii="Arial" w:hAnsi="Arial"/>
                <w:sz w:val="21"/>
                <w:szCs w:val="21"/>
              </w:rPr>
              <w:t>8</w:t>
            </w:r>
          </w:p>
        </w:tc>
        <w:tc>
          <w:tcPr>
            <w:tcW w:w="565" w:type="dxa"/>
          </w:tcPr>
          <w:p w14:paraId="072C3A0A" w14:textId="77777777" w:rsidR="00D37E6A" w:rsidRPr="00D37E6A" w:rsidRDefault="00D37E6A" w:rsidP="0021373E">
            <w:pPr>
              <w:jc w:val="center"/>
              <w:rPr>
                <w:rFonts w:ascii="Arial" w:hAnsi="Arial" w:cs="Arial"/>
                <w:sz w:val="21"/>
                <w:szCs w:val="21"/>
              </w:rPr>
            </w:pPr>
            <w:r>
              <w:rPr>
                <w:rFonts w:ascii="Arial" w:hAnsi="Arial"/>
                <w:sz w:val="21"/>
                <w:szCs w:val="21"/>
              </w:rPr>
              <w:t>15</w:t>
            </w:r>
          </w:p>
        </w:tc>
        <w:tc>
          <w:tcPr>
            <w:tcW w:w="500" w:type="dxa"/>
            <w:gridSpan w:val="2"/>
          </w:tcPr>
          <w:p w14:paraId="46BB4243"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7" w:type="dxa"/>
            <w:gridSpan w:val="2"/>
          </w:tcPr>
          <w:p w14:paraId="18E9D9C3" w14:textId="77777777" w:rsidR="00D37E6A" w:rsidRPr="00D37E6A" w:rsidRDefault="00D37E6A" w:rsidP="0021373E">
            <w:pPr>
              <w:jc w:val="center"/>
              <w:rPr>
                <w:rFonts w:ascii="Arial" w:hAnsi="Arial" w:cs="Arial"/>
                <w:sz w:val="21"/>
                <w:szCs w:val="21"/>
              </w:rPr>
            </w:pPr>
            <w:r>
              <w:rPr>
                <w:rFonts w:ascii="Arial" w:hAnsi="Arial"/>
                <w:sz w:val="21"/>
                <w:szCs w:val="21"/>
              </w:rPr>
              <w:t>24</w:t>
            </w:r>
          </w:p>
        </w:tc>
        <w:tc>
          <w:tcPr>
            <w:tcW w:w="576" w:type="dxa"/>
          </w:tcPr>
          <w:p w14:paraId="5E53C403" w14:textId="77777777" w:rsidR="00D37E6A" w:rsidRPr="00D37E6A" w:rsidRDefault="00D37E6A" w:rsidP="0021373E">
            <w:pPr>
              <w:jc w:val="center"/>
              <w:rPr>
                <w:rFonts w:ascii="Arial" w:hAnsi="Arial" w:cs="Arial"/>
                <w:sz w:val="21"/>
                <w:szCs w:val="21"/>
              </w:rPr>
            </w:pPr>
            <w:r>
              <w:rPr>
                <w:rFonts w:ascii="Arial" w:hAnsi="Arial"/>
                <w:sz w:val="21"/>
                <w:szCs w:val="21"/>
              </w:rPr>
              <w:t>25</w:t>
            </w:r>
          </w:p>
        </w:tc>
      </w:tr>
      <w:tr w:rsidR="00D37E6A" w:rsidRPr="00D37E6A" w14:paraId="23550BBC" w14:textId="77777777" w:rsidTr="00D37E6A">
        <w:trPr>
          <w:gridAfter w:val="1"/>
          <w:wAfter w:w="10" w:type="dxa"/>
          <w:trHeight w:val="571"/>
        </w:trPr>
        <w:tc>
          <w:tcPr>
            <w:tcW w:w="1560" w:type="dxa"/>
          </w:tcPr>
          <w:p w14:paraId="0DA6068A" w14:textId="77777777" w:rsidR="00D37E6A" w:rsidRPr="00D37E6A" w:rsidRDefault="00D37E6A" w:rsidP="0021373E">
            <w:pPr>
              <w:rPr>
                <w:rFonts w:ascii="Arial" w:hAnsi="Arial" w:cs="Arial"/>
                <w:sz w:val="21"/>
                <w:szCs w:val="21"/>
              </w:rPr>
            </w:pPr>
          </w:p>
        </w:tc>
        <w:tc>
          <w:tcPr>
            <w:tcW w:w="1701" w:type="dxa"/>
          </w:tcPr>
          <w:p w14:paraId="3555917C" w14:textId="77777777" w:rsidR="00D37E6A" w:rsidRPr="00D37E6A" w:rsidRDefault="00693D1B" w:rsidP="0021373E">
            <w:pPr>
              <w:rPr>
                <w:rFonts w:ascii="Arial" w:hAnsi="Arial" w:cs="Arial"/>
                <w:sz w:val="21"/>
                <w:szCs w:val="21"/>
              </w:rPr>
            </w:pPr>
            <w:r>
              <w:rPr>
                <w:rFonts w:ascii="Arial" w:hAnsi="Arial"/>
                <w:sz w:val="21"/>
                <w:szCs w:val="21"/>
              </w:rPr>
              <w:t>Prosecutor’s Office</w:t>
            </w:r>
          </w:p>
        </w:tc>
        <w:tc>
          <w:tcPr>
            <w:tcW w:w="1414" w:type="dxa"/>
          </w:tcPr>
          <w:p w14:paraId="2EBB021D" w14:textId="77777777" w:rsidR="00D37E6A" w:rsidRPr="00D37E6A" w:rsidRDefault="00D37E6A" w:rsidP="0021373E">
            <w:pPr>
              <w:rPr>
                <w:rFonts w:ascii="Arial" w:hAnsi="Arial" w:cs="Arial"/>
                <w:sz w:val="21"/>
                <w:szCs w:val="21"/>
              </w:rPr>
            </w:pPr>
            <w:r>
              <w:rPr>
                <w:rFonts w:ascii="Arial" w:hAnsi="Arial"/>
                <w:sz w:val="21"/>
                <w:szCs w:val="21"/>
              </w:rPr>
              <w:t>63</w:t>
            </w:r>
          </w:p>
        </w:tc>
        <w:tc>
          <w:tcPr>
            <w:tcW w:w="1296" w:type="dxa"/>
          </w:tcPr>
          <w:p w14:paraId="574CD1A0" w14:textId="77777777" w:rsidR="00D37E6A" w:rsidRPr="00D37E6A" w:rsidRDefault="00D37E6A" w:rsidP="0021373E">
            <w:pPr>
              <w:rPr>
                <w:rFonts w:ascii="Arial" w:hAnsi="Arial" w:cs="Arial"/>
                <w:sz w:val="21"/>
                <w:szCs w:val="21"/>
              </w:rPr>
            </w:pPr>
            <w:r>
              <w:rPr>
                <w:rFonts w:ascii="Arial" w:hAnsi="Arial"/>
                <w:sz w:val="21"/>
                <w:szCs w:val="21"/>
              </w:rPr>
              <w:t>58</w:t>
            </w:r>
          </w:p>
        </w:tc>
        <w:tc>
          <w:tcPr>
            <w:tcW w:w="576" w:type="dxa"/>
          </w:tcPr>
          <w:p w14:paraId="3912BEB8" w14:textId="77777777" w:rsidR="00D37E6A" w:rsidRPr="00D37E6A" w:rsidRDefault="00D37E6A" w:rsidP="0021373E">
            <w:pPr>
              <w:jc w:val="center"/>
              <w:rPr>
                <w:rFonts w:ascii="Arial" w:hAnsi="Arial" w:cs="Arial"/>
                <w:sz w:val="21"/>
                <w:szCs w:val="21"/>
              </w:rPr>
            </w:pPr>
            <w:r>
              <w:rPr>
                <w:rFonts w:ascii="Arial" w:hAnsi="Arial"/>
                <w:sz w:val="21"/>
                <w:szCs w:val="21"/>
              </w:rPr>
              <w:t>26</w:t>
            </w:r>
          </w:p>
        </w:tc>
        <w:tc>
          <w:tcPr>
            <w:tcW w:w="576" w:type="dxa"/>
          </w:tcPr>
          <w:p w14:paraId="1F2B5949" w14:textId="77777777" w:rsidR="00D37E6A" w:rsidRPr="00D37E6A" w:rsidRDefault="00D37E6A" w:rsidP="0021373E">
            <w:pPr>
              <w:jc w:val="center"/>
              <w:rPr>
                <w:rFonts w:ascii="Arial" w:hAnsi="Arial" w:cs="Arial"/>
                <w:sz w:val="21"/>
                <w:szCs w:val="21"/>
              </w:rPr>
            </w:pPr>
            <w:r>
              <w:rPr>
                <w:rFonts w:ascii="Arial" w:hAnsi="Arial"/>
                <w:sz w:val="21"/>
                <w:szCs w:val="21"/>
              </w:rPr>
              <w:t>9</w:t>
            </w:r>
          </w:p>
        </w:tc>
        <w:tc>
          <w:tcPr>
            <w:tcW w:w="579" w:type="dxa"/>
            <w:gridSpan w:val="2"/>
          </w:tcPr>
          <w:p w14:paraId="5D0D0116" w14:textId="77777777" w:rsidR="00D37E6A" w:rsidRPr="00D37E6A" w:rsidRDefault="00D37E6A" w:rsidP="0021373E">
            <w:pPr>
              <w:jc w:val="center"/>
              <w:rPr>
                <w:rFonts w:ascii="Arial" w:hAnsi="Arial" w:cs="Arial"/>
                <w:sz w:val="21"/>
                <w:szCs w:val="21"/>
              </w:rPr>
            </w:pPr>
            <w:r>
              <w:rPr>
                <w:rFonts w:ascii="Arial" w:hAnsi="Arial"/>
                <w:sz w:val="21"/>
                <w:szCs w:val="21"/>
              </w:rPr>
              <w:t>18</w:t>
            </w:r>
          </w:p>
        </w:tc>
        <w:tc>
          <w:tcPr>
            <w:tcW w:w="486" w:type="dxa"/>
          </w:tcPr>
          <w:p w14:paraId="56EF9257" w14:textId="77777777" w:rsidR="00D37E6A" w:rsidRPr="00D37E6A" w:rsidRDefault="00D37E6A" w:rsidP="0021373E">
            <w:pPr>
              <w:jc w:val="center"/>
              <w:rPr>
                <w:rFonts w:ascii="Arial" w:hAnsi="Arial" w:cs="Arial"/>
                <w:sz w:val="21"/>
                <w:szCs w:val="21"/>
              </w:rPr>
            </w:pPr>
            <w:r>
              <w:rPr>
                <w:rFonts w:ascii="Arial" w:hAnsi="Arial"/>
                <w:sz w:val="21"/>
                <w:szCs w:val="21"/>
              </w:rPr>
              <w:t>5</w:t>
            </w:r>
          </w:p>
        </w:tc>
        <w:tc>
          <w:tcPr>
            <w:tcW w:w="577" w:type="dxa"/>
            <w:gridSpan w:val="2"/>
          </w:tcPr>
          <w:p w14:paraId="3FCDFC48" w14:textId="77777777" w:rsidR="00D37E6A" w:rsidRPr="00D37E6A" w:rsidRDefault="00D37E6A" w:rsidP="0021373E">
            <w:pPr>
              <w:jc w:val="center"/>
              <w:rPr>
                <w:rFonts w:ascii="Arial" w:hAnsi="Arial" w:cs="Arial"/>
                <w:sz w:val="21"/>
                <w:szCs w:val="21"/>
              </w:rPr>
            </w:pPr>
            <w:r>
              <w:rPr>
                <w:rFonts w:ascii="Arial" w:hAnsi="Arial"/>
                <w:sz w:val="21"/>
                <w:szCs w:val="21"/>
              </w:rPr>
              <w:t>31</w:t>
            </w:r>
          </w:p>
        </w:tc>
        <w:tc>
          <w:tcPr>
            <w:tcW w:w="576" w:type="dxa"/>
          </w:tcPr>
          <w:p w14:paraId="5C54267A" w14:textId="77777777" w:rsidR="00D37E6A" w:rsidRPr="00D37E6A" w:rsidRDefault="00D37E6A" w:rsidP="0021373E">
            <w:pPr>
              <w:jc w:val="center"/>
              <w:rPr>
                <w:rFonts w:ascii="Arial" w:hAnsi="Arial" w:cs="Arial"/>
                <w:sz w:val="21"/>
                <w:szCs w:val="21"/>
              </w:rPr>
            </w:pPr>
            <w:r>
              <w:rPr>
                <w:rFonts w:ascii="Arial" w:hAnsi="Arial"/>
                <w:sz w:val="21"/>
                <w:szCs w:val="21"/>
              </w:rPr>
              <w:t>27</w:t>
            </w:r>
          </w:p>
        </w:tc>
      </w:tr>
      <w:tr w:rsidR="00D37E6A" w:rsidRPr="00D37E6A" w14:paraId="3C055C59" w14:textId="77777777" w:rsidTr="00D37E6A">
        <w:trPr>
          <w:gridAfter w:val="1"/>
          <w:wAfter w:w="10" w:type="dxa"/>
          <w:trHeight w:val="858"/>
        </w:trPr>
        <w:tc>
          <w:tcPr>
            <w:tcW w:w="1560" w:type="dxa"/>
          </w:tcPr>
          <w:p w14:paraId="10AFF6FA" w14:textId="77777777" w:rsidR="00D37E6A" w:rsidRPr="00D37E6A" w:rsidRDefault="00D37E6A" w:rsidP="0021373E">
            <w:pPr>
              <w:rPr>
                <w:rFonts w:ascii="Arial" w:hAnsi="Arial" w:cs="Arial"/>
                <w:sz w:val="21"/>
                <w:szCs w:val="21"/>
              </w:rPr>
            </w:pPr>
            <w:r>
              <w:rPr>
                <w:rFonts w:ascii="Arial" w:hAnsi="Arial"/>
                <w:sz w:val="21"/>
                <w:szCs w:val="21"/>
              </w:rPr>
              <w:t>The Supreme Court of FBIH</w:t>
            </w:r>
          </w:p>
        </w:tc>
        <w:tc>
          <w:tcPr>
            <w:tcW w:w="1701" w:type="dxa"/>
          </w:tcPr>
          <w:p w14:paraId="49A299D4" w14:textId="77777777" w:rsidR="00D37E6A" w:rsidRPr="00D37E6A" w:rsidRDefault="00D37E6A" w:rsidP="0021373E">
            <w:pPr>
              <w:rPr>
                <w:rFonts w:ascii="Arial" w:hAnsi="Arial" w:cs="Arial"/>
                <w:sz w:val="21"/>
                <w:szCs w:val="21"/>
              </w:rPr>
            </w:pPr>
          </w:p>
        </w:tc>
        <w:tc>
          <w:tcPr>
            <w:tcW w:w="1414" w:type="dxa"/>
          </w:tcPr>
          <w:p w14:paraId="7DF43F04" w14:textId="77777777" w:rsidR="00D37E6A" w:rsidRPr="00D37E6A" w:rsidRDefault="00D37E6A" w:rsidP="0021373E">
            <w:pPr>
              <w:rPr>
                <w:rFonts w:ascii="Arial" w:hAnsi="Arial" w:cs="Arial"/>
                <w:sz w:val="21"/>
                <w:szCs w:val="21"/>
              </w:rPr>
            </w:pPr>
            <w:r>
              <w:rPr>
                <w:rFonts w:ascii="Arial" w:hAnsi="Arial"/>
                <w:sz w:val="21"/>
                <w:szCs w:val="21"/>
              </w:rPr>
              <w:t xml:space="preserve">58 </w:t>
            </w:r>
          </w:p>
        </w:tc>
        <w:tc>
          <w:tcPr>
            <w:tcW w:w="1296" w:type="dxa"/>
          </w:tcPr>
          <w:p w14:paraId="1E2276F7" w14:textId="77777777" w:rsidR="00D37E6A" w:rsidRPr="00D37E6A" w:rsidRDefault="00D37E6A" w:rsidP="0021373E">
            <w:pPr>
              <w:rPr>
                <w:rFonts w:ascii="Arial" w:hAnsi="Arial" w:cs="Arial"/>
                <w:sz w:val="21"/>
                <w:szCs w:val="21"/>
              </w:rPr>
            </w:pPr>
            <w:r>
              <w:rPr>
                <w:rFonts w:ascii="Arial" w:hAnsi="Arial"/>
                <w:sz w:val="21"/>
                <w:szCs w:val="21"/>
              </w:rPr>
              <w:t>46</w:t>
            </w:r>
          </w:p>
        </w:tc>
        <w:tc>
          <w:tcPr>
            <w:tcW w:w="576" w:type="dxa"/>
          </w:tcPr>
          <w:p w14:paraId="2B3A949C" w14:textId="77777777" w:rsidR="00D37E6A" w:rsidRPr="00D37E6A" w:rsidRDefault="00D37E6A" w:rsidP="0021373E">
            <w:pPr>
              <w:jc w:val="center"/>
              <w:rPr>
                <w:rFonts w:ascii="Arial" w:hAnsi="Arial" w:cs="Arial"/>
                <w:sz w:val="21"/>
                <w:szCs w:val="21"/>
              </w:rPr>
            </w:pPr>
            <w:r>
              <w:rPr>
                <w:rFonts w:ascii="Arial" w:hAnsi="Arial"/>
                <w:sz w:val="21"/>
                <w:szCs w:val="21"/>
              </w:rPr>
              <w:t>28</w:t>
            </w:r>
          </w:p>
        </w:tc>
        <w:tc>
          <w:tcPr>
            <w:tcW w:w="576" w:type="dxa"/>
          </w:tcPr>
          <w:p w14:paraId="0163E4F7" w14:textId="77777777" w:rsidR="00D37E6A" w:rsidRPr="00D37E6A" w:rsidRDefault="00D37E6A" w:rsidP="0021373E">
            <w:pPr>
              <w:jc w:val="center"/>
              <w:rPr>
                <w:rFonts w:ascii="Arial" w:hAnsi="Arial" w:cs="Arial"/>
                <w:sz w:val="21"/>
                <w:szCs w:val="21"/>
              </w:rPr>
            </w:pPr>
            <w:r>
              <w:rPr>
                <w:rFonts w:ascii="Arial" w:hAnsi="Arial"/>
                <w:sz w:val="21"/>
                <w:szCs w:val="21"/>
              </w:rPr>
              <w:t>7</w:t>
            </w:r>
          </w:p>
        </w:tc>
        <w:tc>
          <w:tcPr>
            <w:tcW w:w="579" w:type="dxa"/>
            <w:gridSpan w:val="2"/>
          </w:tcPr>
          <w:p w14:paraId="7053855C" w14:textId="77777777" w:rsidR="00D37E6A" w:rsidRPr="00D37E6A" w:rsidRDefault="00D37E6A" w:rsidP="0021373E">
            <w:pPr>
              <w:jc w:val="center"/>
              <w:rPr>
                <w:rFonts w:ascii="Arial" w:hAnsi="Arial" w:cs="Arial"/>
                <w:sz w:val="21"/>
                <w:szCs w:val="21"/>
              </w:rPr>
            </w:pPr>
            <w:r>
              <w:rPr>
                <w:rFonts w:ascii="Arial" w:hAnsi="Arial"/>
                <w:sz w:val="21"/>
                <w:szCs w:val="21"/>
              </w:rPr>
              <w:t>9</w:t>
            </w:r>
          </w:p>
        </w:tc>
        <w:tc>
          <w:tcPr>
            <w:tcW w:w="486" w:type="dxa"/>
          </w:tcPr>
          <w:p w14:paraId="4F300C04" w14:textId="77777777" w:rsidR="00D37E6A" w:rsidRPr="00D37E6A" w:rsidRDefault="00D37E6A" w:rsidP="0021373E">
            <w:pPr>
              <w:jc w:val="center"/>
              <w:rPr>
                <w:rFonts w:ascii="Arial" w:hAnsi="Arial" w:cs="Arial"/>
                <w:sz w:val="21"/>
                <w:szCs w:val="21"/>
              </w:rPr>
            </w:pPr>
            <w:r>
              <w:rPr>
                <w:rFonts w:ascii="Arial" w:hAnsi="Arial"/>
                <w:sz w:val="21"/>
                <w:szCs w:val="21"/>
              </w:rPr>
              <w:t>2</w:t>
            </w:r>
          </w:p>
        </w:tc>
        <w:tc>
          <w:tcPr>
            <w:tcW w:w="577" w:type="dxa"/>
            <w:gridSpan w:val="2"/>
          </w:tcPr>
          <w:p w14:paraId="0149C28F" w14:textId="77777777" w:rsidR="00D37E6A" w:rsidRPr="00D37E6A" w:rsidRDefault="00D37E6A" w:rsidP="0021373E">
            <w:pPr>
              <w:jc w:val="center"/>
              <w:rPr>
                <w:rFonts w:ascii="Arial" w:hAnsi="Arial" w:cs="Arial"/>
                <w:sz w:val="21"/>
                <w:szCs w:val="21"/>
              </w:rPr>
            </w:pPr>
            <w:r>
              <w:rPr>
                <w:rFonts w:ascii="Arial" w:hAnsi="Arial"/>
                <w:sz w:val="21"/>
                <w:szCs w:val="21"/>
              </w:rPr>
              <w:t>13</w:t>
            </w:r>
          </w:p>
        </w:tc>
        <w:tc>
          <w:tcPr>
            <w:tcW w:w="576" w:type="dxa"/>
          </w:tcPr>
          <w:p w14:paraId="05B997E8" w14:textId="77777777" w:rsidR="00D37E6A" w:rsidRPr="00D37E6A" w:rsidRDefault="00D37E6A" w:rsidP="0021373E">
            <w:pPr>
              <w:jc w:val="center"/>
              <w:rPr>
                <w:rFonts w:ascii="Arial" w:hAnsi="Arial" w:cs="Arial"/>
                <w:sz w:val="21"/>
                <w:szCs w:val="21"/>
              </w:rPr>
            </w:pPr>
            <w:r>
              <w:rPr>
                <w:rFonts w:ascii="Arial" w:hAnsi="Arial"/>
                <w:sz w:val="21"/>
                <w:szCs w:val="21"/>
              </w:rPr>
              <w:t>33</w:t>
            </w:r>
          </w:p>
        </w:tc>
      </w:tr>
      <w:tr w:rsidR="00D37E6A" w:rsidRPr="00D37E6A" w14:paraId="53F010C7" w14:textId="77777777" w:rsidTr="00D37E6A">
        <w:trPr>
          <w:gridAfter w:val="1"/>
          <w:wAfter w:w="10" w:type="dxa"/>
          <w:trHeight w:val="852"/>
        </w:trPr>
        <w:tc>
          <w:tcPr>
            <w:tcW w:w="1560" w:type="dxa"/>
          </w:tcPr>
          <w:p w14:paraId="34B4A918" w14:textId="77777777" w:rsidR="00D37E6A" w:rsidRPr="00D37E6A" w:rsidRDefault="00693D1B" w:rsidP="0021373E">
            <w:pPr>
              <w:rPr>
                <w:rFonts w:ascii="Arial" w:hAnsi="Arial" w:cs="Arial"/>
                <w:sz w:val="21"/>
                <w:szCs w:val="21"/>
              </w:rPr>
            </w:pPr>
            <w:r>
              <w:rPr>
                <w:rFonts w:ascii="Arial" w:hAnsi="Arial"/>
                <w:sz w:val="21"/>
                <w:szCs w:val="21"/>
              </w:rPr>
              <w:t>Prosecutors Office FBiH</w:t>
            </w:r>
          </w:p>
        </w:tc>
        <w:tc>
          <w:tcPr>
            <w:tcW w:w="1701" w:type="dxa"/>
          </w:tcPr>
          <w:p w14:paraId="11C7C162" w14:textId="77777777" w:rsidR="00D37E6A" w:rsidRPr="00D37E6A" w:rsidRDefault="00D37E6A" w:rsidP="0021373E">
            <w:pPr>
              <w:rPr>
                <w:rFonts w:ascii="Arial" w:hAnsi="Arial" w:cs="Arial"/>
                <w:sz w:val="21"/>
                <w:szCs w:val="21"/>
              </w:rPr>
            </w:pPr>
          </w:p>
        </w:tc>
        <w:tc>
          <w:tcPr>
            <w:tcW w:w="1414" w:type="dxa"/>
          </w:tcPr>
          <w:p w14:paraId="375280E7" w14:textId="77777777" w:rsidR="00D37E6A" w:rsidRPr="00D37E6A" w:rsidRDefault="00D37E6A" w:rsidP="0021373E">
            <w:pPr>
              <w:rPr>
                <w:rFonts w:ascii="Arial" w:hAnsi="Arial" w:cs="Arial"/>
                <w:sz w:val="21"/>
                <w:szCs w:val="21"/>
              </w:rPr>
            </w:pPr>
            <w:r>
              <w:rPr>
                <w:rFonts w:ascii="Arial" w:hAnsi="Arial"/>
                <w:sz w:val="21"/>
                <w:szCs w:val="21"/>
              </w:rPr>
              <w:t>23</w:t>
            </w:r>
          </w:p>
        </w:tc>
        <w:tc>
          <w:tcPr>
            <w:tcW w:w="1296" w:type="dxa"/>
          </w:tcPr>
          <w:p w14:paraId="7327EF83" w14:textId="77777777" w:rsidR="00D37E6A" w:rsidRPr="00D37E6A" w:rsidRDefault="00D37E6A" w:rsidP="0021373E">
            <w:pPr>
              <w:rPr>
                <w:rFonts w:ascii="Arial" w:hAnsi="Arial" w:cs="Arial"/>
                <w:sz w:val="21"/>
                <w:szCs w:val="21"/>
              </w:rPr>
            </w:pPr>
            <w:r>
              <w:rPr>
                <w:rFonts w:ascii="Arial" w:hAnsi="Arial"/>
                <w:sz w:val="21"/>
                <w:szCs w:val="21"/>
              </w:rPr>
              <w:t>11</w:t>
            </w:r>
          </w:p>
        </w:tc>
        <w:tc>
          <w:tcPr>
            <w:tcW w:w="576" w:type="dxa"/>
          </w:tcPr>
          <w:p w14:paraId="5E1C6D5F" w14:textId="77777777" w:rsidR="00D37E6A" w:rsidRPr="00D37E6A" w:rsidRDefault="00D37E6A" w:rsidP="0021373E">
            <w:pPr>
              <w:jc w:val="center"/>
              <w:rPr>
                <w:rFonts w:ascii="Arial" w:hAnsi="Arial" w:cs="Arial"/>
                <w:sz w:val="21"/>
                <w:szCs w:val="21"/>
              </w:rPr>
            </w:pPr>
            <w:r>
              <w:rPr>
                <w:rFonts w:ascii="Arial" w:hAnsi="Arial"/>
                <w:sz w:val="21"/>
                <w:szCs w:val="21"/>
              </w:rPr>
              <w:t>5</w:t>
            </w:r>
          </w:p>
        </w:tc>
        <w:tc>
          <w:tcPr>
            <w:tcW w:w="576" w:type="dxa"/>
          </w:tcPr>
          <w:p w14:paraId="039CCE3A"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9" w:type="dxa"/>
            <w:gridSpan w:val="2"/>
          </w:tcPr>
          <w:p w14:paraId="31A02C16" w14:textId="77777777" w:rsidR="00D37E6A" w:rsidRPr="00D37E6A" w:rsidRDefault="00D37E6A" w:rsidP="0021373E">
            <w:pPr>
              <w:jc w:val="center"/>
              <w:rPr>
                <w:rFonts w:ascii="Arial" w:hAnsi="Arial" w:cs="Arial"/>
                <w:sz w:val="21"/>
                <w:szCs w:val="21"/>
              </w:rPr>
            </w:pPr>
            <w:r>
              <w:rPr>
                <w:rFonts w:ascii="Arial" w:hAnsi="Arial"/>
                <w:sz w:val="21"/>
                <w:szCs w:val="21"/>
              </w:rPr>
              <w:t>2</w:t>
            </w:r>
          </w:p>
        </w:tc>
        <w:tc>
          <w:tcPr>
            <w:tcW w:w="486" w:type="dxa"/>
          </w:tcPr>
          <w:p w14:paraId="68C8177D"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7" w:type="dxa"/>
            <w:gridSpan w:val="2"/>
          </w:tcPr>
          <w:p w14:paraId="5F3A0BE5" w14:textId="77777777" w:rsidR="00D37E6A" w:rsidRPr="00D37E6A" w:rsidRDefault="00D37E6A" w:rsidP="0021373E">
            <w:pPr>
              <w:jc w:val="center"/>
              <w:rPr>
                <w:rFonts w:ascii="Arial" w:hAnsi="Arial" w:cs="Arial"/>
                <w:sz w:val="21"/>
                <w:szCs w:val="21"/>
              </w:rPr>
            </w:pPr>
            <w:r>
              <w:rPr>
                <w:rFonts w:ascii="Arial" w:hAnsi="Arial"/>
                <w:sz w:val="21"/>
                <w:szCs w:val="21"/>
              </w:rPr>
              <w:t>5</w:t>
            </w:r>
          </w:p>
        </w:tc>
        <w:tc>
          <w:tcPr>
            <w:tcW w:w="576" w:type="dxa"/>
          </w:tcPr>
          <w:p w14:paraId="50E74933" w14:textId="77777777" w:rsidR="00D37E6A" w:rsidRPr="00D37E6A" w:rsidRDefault="00D37E6A" w:rsidP="0021373E">
            <w:pPr>
              <w:jc w:val="center"/>
              <w:rPr>
                <w:rFonts w:ascii="Arial" w:hAnsi="Arial" w:cs="Arial"/>
                <w:sz w:val="21"/>
                <w:szCs w:val="21"/>
              </w:rPr>
            </w:pPr>
            <w:r>
              <w:rPr>
                <w:rFonts w:ascii="Arial" w:hAnsi="Arial"/>
                <w:sz w:val="21"/>
                <w:szCs w:val="21"/>
              </w:rPr>
              <w:t>6</w:t>
            </w:r>
          </w:p>
        </w:tc>
      </w:tr>
      <w:tr w:rsidR="00D37E6A" w:rsidRPr="00D37E6A" w14:paraId="21A7860A" w14:textId="77777777" w:rsidTr="00D37E6A">
        <w:trPr>
          <w:gridAfter w:val="1"/>
          <w:wAfter w:w="10" w:type="dxa"/>
        </w:trPr>
        <w:tc>
          <w:tcPr>
            <w:tcW w:w="1560" w:type="dxa"/>
          </w:tcPr>
          <w:p w14:paraId="3BC087AC" w14:textId="77777777" w:rsidR="00D37E6A" w:rsidRPr="00D37E6A" w:rsidRDefault="00D37E6A" w:rsidP="0021373E">
            <w:pPr>
              <w:rPr>
                <w:rFonts w:ascii="Arial" w:hAnsi="Arial" w:cs="Arial"/>
                <w:sz w:val="21"/>
                <w:szCs w:val="21"/>
              </w:rPr>
            </w:pPr>
            <w:r>
              <w:rPr>
                <w:rFonts w:ascii="Arial" w:hAnsi="Arial"/>
                <w:sz w:val="21"/>
                <w:szCs w:val="21"/>
              </w:rPr>
              <w:t>High Commercial Court</w:t>
            </w:r>
          </w:p>
        </w:tc>
        <w:tc>
          <w:tcPr>
            <w:tcW w:w="1701" w:type="dxa"/>
          </w:tcPr>
          <w:p w14:paraId="6421A21B" w14:textId="77777777" w:rsidR="00D37E6A" w:rsidRPr="00D37E6A" w:rsidRDefault="00D37E6A" w:rsidP="0021373E">
            <w:pPr>
              <w:rPr>
                <w:rFonts w:ascii="Arial" w:hAnsi="Arial" w:cs="Arial"/>
                <w:sz w:val="21"/>
                <w:szCs w:val="21"/>
              </w:rPr>
            </w:pPr>
          </w:p>
        </w:tc>
        <w:tc>
          <w:tcPr>
            <w:tcW w:w="1414" w:type="dxa"/>
          </w:tcPr>
          <w:p w14:paraId="7954D0BA" w14:textId="77777777" w:rsidR="00D37E6A" w:rsidRPr="00D37E6A" w:rsidRDefault="00D37E6A" w:rsidP="0021373E">
            <w:pPr>
              <w:rPr>
                <w:rFonts w:ascii="Arial" w:hAnsi="Arial" w:cs="Arial"/>
                <w:sz w:val="21"/>
                <w:szCs w:val="21"/>
              </w:rPr>
            </w:pPr>
            <w:r>
              <w:rPr>
                <w:rFonts w:ascii="Arial" w:hAnsi="Arial"/>
                <w:sz w:val="21"/>
                <w:szCs w:val="21"/>
              </w:rPr>
              <w:t>8</w:t>
            </w:r>
          </w:p>
        </w:tc>
        <w:tc>
          <w:tcPr>
            <w:tcW w:w="1296" w:type="dxa"/>
          </w:tcPr>
          <w:p w14:paraId="45D8777D" w14:textId="77777777" w:rsidR="00D37E6A" w:rsidRPr="00D37E6A" w:rsidRDefault="00D37E6A" w:rsidP="0021373E">
            <w:pPr>
              <w:rPr>
                <w:rFonts w:ascii="Arial" w:hAnsi="Arial" w:cs="Arial"/>
                <w:sz w:val="21"/>
                <w:szCs w:val="21"/>
              </w:rPr>
            </w:pPr>
            <w:r>
              <w:rPr>
                <w:rFonts w:ascii="Arial" w:hAnsi="Arial"/>
                <w:sz w:val="21"/>
                <w:szCs w:val="21"/>
              </w:rPr>
              <w:t>7</w:t>
            </w:r>
          </w:p>
        </w:tc>
        <w:tc>
          <w:tcPr>
            <w:tcW w:w="576" w:type="dxa"/>
          </w:tcPr>
          <w:p w14:paraId="1C6CE36F"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6" w:type="dxa"/>
          </w:tcPr>
          <w:p w14:paraId="185DD7D1"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9" w:type="dxa"/>
            <w:gridSpan w:val="2"/>
          </w:tcPr>
          <w:p w14:paraId="632D3322" w14:textId="77777777" w:rsidR="00D37E6A" w:rsidRPr="00D37E6A" w:rsidRDefault="00D37E6A" w:rsidP="0021373E">
            <w:pPr>
              <w:jc w:val="center"/>
              <w:rPr>
                <w:rFonts w:ascii="Arial" w:hAnsi="Arial" w:cs="Arial"/>
                <w:sz w:val="21"/>
                <w:szCs w:val="21"/>
              </w:rPr>
            </w:pPr>
            <w:r>
              <w:rPr>
                <w:rFonts w:ascii="Arial" w:hAnsi="Arial"/>
                <w:sz w:val="21"/>
                <w:szCs w:val="21"/>
              </w:rPr>
              <w:t>5</w:t>
            </w:r>
          </w:p>
        </w:tc>
        <w:tc>
          <w:tcPr>
            <w:tcW w:w="486" w:type="dxa"/>
          </w:tcPr>
          <w:p w14:paraId="580F80C2" w14:textId="77777777" w:rsidR="00D37E6A" w:rsidRPr="00D37E6A" w:rsidRDefault="00D37E6A" w:rsidP="0021373E">
            <w:pPr>
              <w:jc w:val="center"/>
              <w:rPr>
                <w:rFonts w:ascii="Arial" w:hAnsi="Arial" w:cs="Arial"/>
                <w:sz w:val="21"/>
                <w:szCs w:val="21"/>
              </w:rPr>
            </w:pPr>
            <w:r>
              <w:rPr>
                <w:rFonts w:ascii="Arial" w:hAnsi="Arial"/>
                <w:sz w:val="21"/>
                <w:szCs w:val="21"/>
              </w:rPr>
              <w:t>0</w:t>
            </w:r>
          </w:p>
        </w:tc>
        <w:tc>
          <w:tcPr>
            <w:tcW w:w="577" w:type="dxa"/>
            <w:gridSpan w:val="2"/>
          </w:tcPr>
          <w:p w14:paraId="65CB7169"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6" w:type="dxa"/>
          </w:tcPr>
          <w:p w14:paraId="48CAA84E" w14:textId="77777777" w:rsidR="00D37E6A" w:rsidRPr="00D37E6A" w:rsidRDefault="00D37E6A" w:rsidP="0021373E">
            <w:pPr>
              <w:jc w:val="center"/>
              <w:rPr>
                <w:rFonts w:ascii="Arial" w:hAnsi="Arial" w:cs="Arial"/>
                <w:sz w:val="21"/>
                <w:szCs w:val="21"/>
              </w:rPr>
            </w:pPr>
            <w:r>
              <w:rPr>
                <w:rFonts w:ascii="Arial" w:hAnsi="Arial"/>
                <w:sz w:val="21"/>
                <w:szCs w:val="21"/>
              </w:rPr>
              <w:t>4</w:t>
            </w:r>
          </w:p>
        </w:tc>
      </w:tr>
      <w:tr w:rsidR="00D37E6A" w:rsidRPr="00D37E6A" w14:paraId="207D8576" w14:textId="77777777" w:rsidTr="00D37E6A">
        <w:trPr>
          <w:gridAfter w:val="1"/>
          <w:wAfter w:w="10" w:type="dxa"/>
          <w:trHeight w:val="571"/>
        </w:trPr>
        <w:tc>
          <w:tcPr>
            <w:tcW w:w="1560" w:type="dxa"/>
          </w:tcPr>
          <w:p w14:paraId="32CDEEF9" w14:textId="77777777" w:rsidR="00D37E6A" w:rsidRPr="00D37E6A" w:rsidRDefault="00D37E6A" w:rsidP="0021373E">
            <w:pPr>
              <w:rPr>
                <w:rFonts w:ascii="Arial" w:hAnsi="Arial" w:cs="Arial"/>
                <w:sz w:val="21"/>
                <w:szCs w:val="21"/>
              </w:rPr>
            </w:pPr>
            <w:r>
              <w:rPr>
                <w:rFonts w:ascii="Arial" w:hAnsi="Arial"/>
                <w:sz w:val="21"/>
                <w:szCs w:val="21"/>
              </w:rPr>
              <w:t>Supreme Court RS</w:t>
            </w:r>
          </w:p>
        </w:tc>
        <w:tc>
          <w:tcPr>
            <w:tcW w:w="1701" w:type="dxa"/>
          </w:tcPr>
          <w:p w14:paraId="215588EC" w14:textId="77777777" w:rsidR="00D37E6A" w:rsidRPr="00D37E6A" w:rsidRDefault="00D37E6A" w:rsidP="0021373E">
            <w:pPr>
              <w:rPr>
                <w:rFonts w:ascii="Arial" w:hAnsi="Arial" w:cs="Arial"/>
                <w:sz w:val="21"/>
                <w:szCs w:val="21"/>
              </w:rPr>
            </w:pPr>
          </w:p>
        </w:tc>
        <w:tc>
          <w:tcPr>
            <w:tcW w:w="1414" w:type="dxa"/>
          </w:tcPr>
          <w:p w14:paraId="69727DA1" w14:textId="77777777" w:rsidR="00D37E6A" w:rsidRPr="00D37E6A" w:rsidRDefault="00D37E6A" w:rsidP="0021373E">
            <w:pPr>
              <w:rPr>
                <w:rFonts w:ascii="Arial" w:hAnsi="Arial" w:cs="Arial"/>
                <w:sz w:val="21"/>
                <w:szCs w:val="21"/>
              </w:rPr>
            </w:pPr>
            <w:r>
              <w:rPr>
                <w:rFonts w:ascii="Arial" w:hAnsi="Arial"/>
                <w:sz w:val="21"/>
                <w:szCs w:val="21"/>
              </w:rPr>
              <w:t>23</w:t>
            </w:r>
          </w:p>
        </w:tc>
        <w:tc>
          <w:tcPr>
            <w:tcW w:w="1296" w:type="dxa"/>
          </w:tcPr>
          <w:p w14:paraId="684A76A8" w14:textId="77777777" w:rsidR="00D37E6A" w:rsidRPr="00D37E6A" w:rsidRDefault="00D37E6A" w:rsidP="0021373E">
            <w:pPr>
              <w:rPr>
                <w:rFonts w:ascii="Arial" w:hAnsi="Arial" w:cs="Arial"/>
                <w:sz w:val="21"/>
                <w:szCs w:val="21"/>
              </w:rPr>
            </w:pPr>
            <w:r>
              <w:rPr>
                <w:rFonts w:ascii="Arial" w:hAnsi="Arial"/>
                <w:sz w:val="21"/>
                <w:szCs w:val="21"/>
              </w:rPr>
              <w:t>21</w:t>
            </w:r>
          </w:p>
        </w:tc>
        <w:tc>
          <w:tcPr>
            <w:tcW w:w="576" w:type="dxa"/>
          </w:tcPr>
          <w:p w14:paraId="0BB6FDD3"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6" w:type="dxa"/>
          </w:tcPr>
          <w:p w14:paraId="0634459F"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9" w:type="dxa"/>
            <w:gridSpan w:val="2"/>
          </w:tcPr>
          <w:p w14:paraId="1E5FA08F" w14:textId="77777777" w:rsidR="00D37E6A" w:rsidRPr="00D37E6A" w:rsidRDefault="00D37E6A" w:rsidP="0021373E">
            <w:pPr>
              <w:jc w:val="center"/>
              <w:rPr>
                <w:rFonts w:ascii="Arial" w:hAnsi="Arial" w:cs="Arial"/>
                <w:sz w:val="21"/>
                <w:szCs w:val="21"/>
              </w:rPr>
            </w:pPr>
            <w:r>
              <w:rPr>
                <w:rFonts w:ascii="Arial" w:hAnsi="Arial"/>
                <w:sz w:val="21"/>
                <w:szCs w:val="21"/>
              </w:rPr>
              <w:t>12</w:t>
            </w:r>
          </w:p>
        </w:tc>
        <w:tc>
          <w:tcPr>
            <w:tcW w:w="486" w:type="dxa"/>
          </w:tcPr>
          <w:p w14:paraId="559F3F7A"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7" w:type="dxa"/>
            <w:gridSpan w:val="2"/>
          </w:tcPr>
          <w:p w14:paraId="595307A1" w14:textId="77777777" w:rsidR="00D37E6A" w:rsidRPr="00D37E6A" w:rsidRDefault="00D37E6A" w:rsidP="0021373E">
            <w:pPr>
              <w:jc w:val="center"/>
              <w:rPr>
                <w:rFonts w:ascii="Arial" w:hAnsi="Arial" w:cs="Arial"/>
                <w:sz w:val="21"/>
                <w:szCs w:val="21"/>
              </w:rPr>
            </w:pPr>
            <w:r>
              <w:rPr>
                <w:rFonts w:ascii="Arial" w:hAnsi="Arial"/>
                <w:sz w:val="21"/>
                <w:szCs w:val="21"/>
              </w:rPr>
              <w:t>5</w:t>
            </w:r>
          </w:p>
        </w:tc>
        <w:tc>
          <w:tcPr>
            <w:tcW w:w="576" w:type="dxa"/>
          </w:tcPr>
          <w:p w14:paraId="6158A34C" w14:textId="77777777" w:rsidR="00D37E6A" w:rsidRPr="00D37E6A" w:rsidRDefault="00D37E6A" w:rsidP="0021373E">
            <w:pPr>
              <w:jc w:val="center"/>
              <w:rPr>
                <w:rFonts w:ascii="Arial" w:hAnsi="Arial" w:cs="Arial"/>
                <w:sz w:val="21"/>
                <w:szCs w:val="21"/>
              </w:rPr>
            </w:pPr>
            <w:r>
              <w:rPr>
                <w:rFonts w:ascii="Arial" w:hAnsi="Arial"/>
                <w:sz w:val="21"/>
                <w:szCs w:val="21"/>
              </w:rPr>
              <w:t>16</w:t>
            </w:r>
          </w:p>
        </w:tc>
      </w:tr>
      <w:tr w:rsidR="00D37E6A" w:rsidRPr="00D37E6A" w14:paraId="28F4AFC6" w14:textId="77777777" w:rsidTr="00D37E6A">
        <w:trPr>
          <w:gridAfter w:val="1"/>
          <w:wAfter w:w="10" w:type="dxa"/>
          <w:trHeight w:val="848"/>
        </w:trPr>
        <w:tc>
          <w:tcPr>
            <w:tcW w:w="1560" w:type="dxa"/>
          </w:tcPr>
          <w:p w14:paraId="0A75B419" w14:textId="77777777" w:rsidR="00D37E6A" w:rsidRPr="00D37E6A" w:rsidRDefault="00D37E6A" w:rsidP="0021373E">
            <w:pPr>
              <w:rPr>
                <w:rFonts w:ascii="Arial" w:hAnsi="Arial" w:cs="Arial"/>
                <w:sz w:val="21"/>
                <w:szCs w:val="21"/>
              </w:rPr>
            </w:pPr>
            <w:r>
              <w:rPr>
                <w:rFonts w:ascii="Arial" w:hAnsi="Arial"/>
                <w:sz w:val="21"/>
                <w:szCs w:val="21"/>
              </w:rPr>
              <w:t>Republic Prosecutors Office of RS</w:t>
            </w:r>
          </w:p>
        </w:tc>
        <w:tc>
          <w:tcPr>
            <w:tcW w:w="1701" w:type="dxa"/>
          </w:tcPr>
          <w:p w14:paraId="608AC758" w14:textId="77777777" w:rsidR="00D37E6A" w:rsidRPr="00D37E6A" w:rsidRDefault="00D37E6A" w:rsidP="0021373E">
            <w:pPr>
              <w:rPr>
                <w:rFonts w:ascii="Arial" w:hAnsi="Arial" w:cs="Arial"/>
                <w:sz w:val="21"/>
                <w:szCs w:val="21"/>
              </w:rPr>
            </w:pPr>
          </w:p>
        </w:tc>
        <w:tc>
          <w:tcPr>
            <w:tcW w:w="1414" w:type="dxa"/>
          </w:tcPr>
          <w:p w14:paraId="470E77E0" w14:textId="77777777" w:rsidR="00D37E6A" w:rsidRPr="00D37E6A" w:rsidRDefault="00D37E6A" w:rsidP="0021373E">
            <w:pPr>
              <w:rPr>
                <w:rFonts w:ascii="Arial" w:hAnsi="Arial" w:cs="Arial"/>
                <w:sz w:val="21"/>
                <w:szCs w:val="21"/>
              </w:rPr>
            </w:pPr>
            <w:r>
              <w:rPr>
                <w:rFonts w:ascii="Arial" w:hAnsi="Arial"/>
                <w:sz w:val="21"/>
                <w:szCs w:val="21"/>
              </w:rPr>
              <w:t>14</w:t>
            </w:r>
          </w:p>
        </w:tc>
        <w:tc>
          <w:tcPr>
            <w:tcW w:w="1296" w:type="dxa"/>
          </w:tcPr>
          <w:p w14:paraId="11199E5A" w14:textId="77777777" w:rsidR="00D37E6A" w:rsidRPr="00D37E6A" w:rsidRDefault="00D37E6A" w:rsidP="0021373E">
            <w:pPr>
              <w:rPr>
                <w:rFonts w:ascii="Arial" w:hAnsi="Arial" w:cs="Arial"/>
                <w:sz w:val="21"/>
                <w:szCs w:val="21"/>
              </w:rPr>
            </w:pPr>
            <w:r>
              <w:rPr>
                <w:rFonts w:ascii="Arial" w:hAnsi="Arial"/>
                <w:sz w:val="21"/>
                <w:szCs w:val="21"/>
              </w:rPr>
              <w:t>12</w:t>
            </w:r>
          </w:p>
        </w:tc>
        <w:tc>
          <w:tcPr>
            <w:tcW w:w="576" w:type="dxa"/>
          </w:tcPr>
          <w:p w14:paraId="1EDC8B3C" w14:textId="77777777" w:rsidR="00D37E6A" w:rsidRPr="00D37E6A" w:rsidRDefault="00D37E6A" w:rsidP="0021373E">
            <w:pPr>
              <w:jc w:val="center"/>
              <w:rPr>
                <w:rFonts w:ascii="Arial" w:hAnsi="Arial" w:cs="Arial"/>
                <w:sz w:val="21"/>
                <w:szCs w:val="21"/>
              </w:rPr>
            </w:pPr>
            <w:r>
              <w:rPr>
                <w:rFonts w:ascii="Arial" w:hAnsi="Arial"/>
                <w:sz w:val="21"/>
                <w:szCs w:val="21"/>
              </w:rPr>
              <w:t>2</w:t>
            </w:r>
          </w:p>
        </w:tc>
        <w:tc>
          <w:tcPr>
            <w:tcW w:w="576" w:type="dxa"/>
          </w:tcPr>
          <w:p w14:paraId="0DD63A8B"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9" w:type="dxa"/>
            <w:gridSpan w:val="2"/>
          </w:tcPr>
          <w:p w14:paraId="6E908D62" w14:textId="77777777" w:rsidR="00D37E6A" w:rsidRPr="00D37E6A" w:rsidRDefault="00D37E6A" w:rsidP="0021373E">
            <w:pPr>
              <w:jc w:val="center"/>
              <w:rPr>
                <w:rFonts w:ascii="Arial" w:hAnsi="Arial" w:cs="Arial"/>
                <w:sz w:val="21"/>
                <w:szCs w:val="21"/>
              </w:rPr>
            </w:pPr>
            <w:r>
              <w:rPr>
                <w:rFonts w:ascii="Arial" w:hAnsi="Arial"/>
                <w:sz w:val="21"/>
                <w:szCs w:val="21"/>
              </w:rPr>
              <w:t>8</w:t>
            </w:r>
          </w:p>
        </w:tc>
        <w:tc>
          <w:tcPr>
            <w:tcW w:w="486" w:type="dxa"/>
          </w:tcPr>
          <w:p w14:paraId="3A8CCCDB"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7" w:type="dxa"/>
            <w:gridSpan w:val="2"/>
          </w:tcPr>
          <w:p w14:paraId="469BC8E5" w14:textId="77777777" w:rsidR="00D37E6A" w:rsidRPr="00D37E6A" w:rsidRDefault="00D37E6A" w:rsidP="0021373E">
            <w:pPr>
              <w:jc w:val="center"/>
              <w:rPr>
                <w:rFonts w:ascii="Arial" w:hAnsi="Arial" w:cs="Arial"/>
                <w:sz w:val="21"/>
                <w:szCs w:val="21"/>
              </w:rPr>
            </w:pPr>
            <w:r>
              <w:rPr>
                <w:rFonts w:ascii="Arial" w:hAnsi="Arial"/>
                <w:sz w:val="21"/>
                <w:szCs w:val="21"/>
              </w:rPr>
              <w:t>6</w:t>
            </w:r>
          </w:p>
        </w:tc>
        <w:tc>
          <w:tcPr>
            <w:tcW w:w="576" w:type="dxa"/>
          </w:tcPr>
          <w:p w14:paraId="6176E323" w14:textId="77777777" w:rsidR="00D37E6A" w:rsidRPr="00D37E6A" w:rsidRDefault="00D37E6A" w:rsidP="0021373E">
            <w:pPr>
              <w:jc w:val="center"/>
              <w:rPr>
                <w:rFonts w:ascii="Arial" w:hAnsi="Arial" w:cs="Arial"/>
                <w:sz w:val="21"/>
                <w:szCs w:val="21"/>
              </w:rPr>
            </w:pPr>
            <w:r>
              <w:rPr>
                <w:rFonts w:ascii="Arial" w:hAnsi="Arial"/>
                <w:sz w:val="21"/>
                <w:szCs w:val="21"/>
              </w:rPr>
              <w:t>6</w:t>
            </w:r>
          </w:p>
        </w:tc>
      </w:tr>
      <w:tr w:rsidR="00D37E6A" w:rsidRPr="00D37E6A" w14:paraId="22507E60" w14:textId="77777777" w:rsidTr="00D37E6A">
        <w:trPr>
          <w:gridAfter w:val="1"/>
          <w:wAfter w:w="10" w:type="dxa"/>
        </w:trPr>
        <w:tc>
          <w:tcPr>
            <w:tcW w:w="1560" w:type="dxa"/>
          </w:tcPr>
          <w:p w14:paraId="4E0814A6" w14:textId="77777777" w:rsidR="00D37E6A" w:rsidRPr="00D37E6A" w:rsidRDefault="00D37E6A" w:rsidP="0021373E">
            <w:pPr>
              <w:rPr>
                <w:rFonts w:ascii="Arial" w:hAnsi="Arial" w:cs="Arial"/>
                <w:sz w:val="21"/>
                <w:szCs w:val="21"/>
              </w:rPr>
            </w:pPr>
            <w:r>
              <w:rPr>
                <w:rFonts w:ascii="Arial" w:hAnsi="Arial"/>
                <w:sz w:val="21"/>
                <w:szCs w:val="21"/>
              </w:rPr>
              <w:t xml:space="preserve">Cantonal </w:t>
            </w:r>
          </w:p>
        </w:tc>
        <w:tc>
          <w:tcPr>
            <w:tcW w:w="1701" w:type="dxa"/>
          </w:tcPr>
          <w:p w14:paraId="270CF65A" w14:textId="77777777" w:rsidR="00D37E6A" w:rsidRPr="00D37E6A" w:rsidRDefault="00D37E6A" w:rsidP="0021373E">
            <w:pPr>
              <w:rPr>
                <w:rFonts w:ascii="Arial" w:hAnsi="Arial" w:cs="Arial"/>
                <w:sz w:val="21"/>
                <w:szCs w:val="21"/>
              </w:rPr>
            </w:pPr>
            <w:r>
              <w:rPr>
                <w:rFonts w:ascii="Arial" w:hAnsi="Arial"/>
                <w:sz w:val="21"/>
                <w:szCs w:val="21"/>
              </w:rPr>
              <w:t>Courts</w:t>
            </w:r>
          </w:p>
          <w:p w14:paraId="3753B090" w14:textId="77777777" w:rsidR="00D37E6A" w:rsidRPr="00D37E6A" w:rsidRDefault="00D37E6A" w:rsidP="0021373E">
            <w:pPr>
              <w:rPr>
                <w:rFonts w:ascii="Arial" w:hAnsi="Arial" w:cs="Arial"/>
                <w:sz w:val="21"/>
                <w:szCs w:val="21"/>
              </w:rPr>
            </w:pPr>
          </w:p>
        </w:tc>
        <w:tc>
          <w:tcPr>
            <w:tcW w:w="1414" w:type="dxa"/>
          </w:tcPr>
          <w:p w14:paraId="20A9644C" w14:textId="77777777" w:rsidR="00D37E6A" w:rsidRPr="00D37E6A" w:rsidRDefault="00D37E6A" w:rsidP="0021373E">
            <w:pPr>
              <w:rPr>
                <w:rFonts w:ascii="Arial" w:hAnsi="Arial" w:cs="Arial"/>
                <w:sz w:val="21"/>
                <w:szCs w:val="21"/>
              </w:rPr>
            </w:pPr>
            <w:r>
              <w:rPr>
                <w:rFonts w:ascii="Arial" w:hAnsi="Arial"/>
                <w:sz w:val="21"/>
                <w:szCs w:val="21"/>
              </w:rPr>
              <w:t>177</w:t>
            </w:r>
          </w:p>
        </w:tc>
        <w:tc>
          <w:tcPr>
            <w:tcW w:w="1296" w:type="dxa"/>
          </w:tcPr>
          <w:p w14:paraId="1D79853D" w14:textId="77777777" w:rsidR="00D37E6A" w:rsidRPr="00D37E6A" w:rsidRDefault="00D37E6A" w:rsidP="0021373E">
            <w:pPr>
              <w:rPr>
                <w:rFonts w:ascii="Arial" w:hAnsi="Arial" w:cs="Arial"/>
                <w:sz w:val="21"/>
                <w:szCs w:val="21"/>
              </w:rPr>
            </w:pPr>
            <w:r>
              <w:rPr>
                <w:rFonts w:ascii="Arial" w:hAnsi="Arial"/>
                <w:sz w:val="21"/>
                <w:szCs w:val="21"/>
              </w:rPr>
              <w:t>140</w:t>
            </w:r>
          </w:p>
        </w:tc>
        <w:tc>
          <w:tcPr>
            <w:tcW w:w="576" w:type="dxa"/>
          </w:tcPr>
          <w:p w14:paraId="59F92F87" w14:textId="77777777" w:rsidR="00D37E6A" w:rsidRPr="00D37E6A" w:rsidRDefault="00D37E6A" w:rsidP="0021373E">
            <w:pPr>
              <w:jc w:val="center"/>
              <w:rPr>
                <w:rFonts w:ascii="Arial" w:hAnsi="Arial" w:cs="Arial"/>
                <w:sz w:val="21"/>
                <w:szCs w:val="21"/>
              </w:rPr>
            </w:pPr>
            <w:r>
              <w:rPr>
                <w:rFonts w:ascii="Arial" w:hAnsi="Arial"/>
                <w:sz w:val="21"/>
                <w:szCs w:val="21"/>
              </w:rPr>
              <w:t>76</w:t>
            </w:r>
          </w:p>
        </w:tc>
        <w:tc>
          <w:tcPr>
            <w:tcW w:w="576" w:type="dxa"/>
          </w:tcPr>
          <w:p w14:paraId="47A13AFD" w14:textId="77777777" w:rsidR="00D37E6A" w:rsidRPr="00D37E6A" w:rsidRDefault="00D37E6A" w:rsidP="0021373E">
            <w:pPr>
              <w:jc w:val="center"/>
              <w:rPr>
                <w:rFonts w:ascii="Arial" w:hAnsi="Arial" w:cs="Arial"/>
                <w:sz w:val="21"/>
                <w:szCs w:val="21"/>
              </w:rPr>
            </w:pPr>
            <w:r>
              <w:rPr>
                <w:rFonts w:ascii="Arial" w:hAnsi="Arial"/>
                <w:sz w:val="21"/>
                <w:szCs w:val="21"/>
              </w:rPr>
              <w:t>35</w:t>
            </w:r>
          </w:p>
        </w:tc>
        <w:tc>
          <w:tcPr>
            <w:tcW w:w="579" w:type="dxa"/>
            <w:gridSpan w:val="2"/>
          </w:tcPr>
          <w:p w14:paraId="0F60D9CC" w14:textId="77777777" w:rsidR="00D37E6A" w:rsidRPr="00D37E6A" w:rsidRDefault="00D37E6A" w:rsidP="0021373E">
            <w:pPr>
              <w:jc w:val="center"/>
              <w:rPr>
                <w:rFonts w:ascii="Arial" w:hAnsi="Arial" w:cs="Arial"/>
                <w:sz w:val="21"/>
                <w:szCs w:val="21"/>
              </w:rPr>
            </w:pPr>
            <w:r>
              <w:rPr>
                <w:rFonts w:ascii="Arial" w:hAnsi="Arial"/>
                <w:sz w:val="21"/>
                <w:szCs w:val="21"/>
              </w:rPr>
              <w:t>23</w:t>
            </w:r>
          </w:p>
        </w:tc>
        <w:tc>
          <w:tcPr>
            <w:tcW w:w="486" w:type="dxa"/>
          </w:tcPr>
          <w:p w14:paraId="11903171" w14:textId="77777777" w:rsidR="00D37E6A" w:rsidRPr="00D37E6A" w:rsidRDefault="00D37E6A" w:rsidP="0021373E">
            <w:pPr>
              <w:jc w:val="center"/>
              <w:rPr>
                <w:rFonts w:ascii="Arial" w:hAnsi="Arial" w:cs="Arial"/>
                <w:sz w:val="21"/>
                <w:szCs w:val="21"/>
              </w:rPr>
            </w:pPr>
            <w:r>
              <w:rPr>
                <w:rFonts w:ascii="Arial" w:hAnsi="Arial"/>
                <w:sz w:val="21"/>
                <w:szCs w:val="21"/>
              </w:rPr>
              <w:t>6</w:t>
            </w:r>
          </w:p>
        </w:tc>
        <w:tc>
          <w:tcPr>
            <w:tcW w:w="577" w:type="dxa"/>
            <w:gridSpan w:val="2"/>
          </w:tcPr>
          <w:p w14:paraId="63C576B8" w14:textId="77777777" w:rsidR="00D37E6A" w:rsidRPr="00D37E6A" w:rsidRDefault="00D37E6A" w:rsidP="0021373E">
            <w:pPr>
              <w:jc w:val="center"/>
              <w:rPr>
                <w:rFonts w:ascii="Arial" w:hAnsi="Arial" w:cs="Arial"/>
                <w:sz w:val="21"/>
                <w:szCs w:val="21"/>
              </w:rPr>
            </w:pPr>
            <w:r>
              <w:rPr>
                <w:rFonts w:ascii="Arial" w:hAnsi="Arial"/>
                <w:sz w:val="21"/>
                <w:szCs w:val="21"/>
              </w:rPr>
              <w:t>36</w:t>
            </w:r>
          </w:p>
        </w:tc>
        <w:tc>
          <w:tcPr>
            <w:tcW w:w="576" w:type="dxa"/>
          </w:tcPr>
          <w:p w14:paraId="2968534D" w14:textId="77777777" w:rsidR="00D37E6A" w:rsidRPr="00D37E6A" w:rsidRDefault="00D37E6A" w:rsidP="0021373E">
            <w:pPr>
              <w:jc w:val="center"/>
              <w:rPr>
                <w:rFonts w:ascii="Arial" w:hAnsi="Arial" w:cs="Arial"/>
                <w:sz w:val="21"/>
                <w:szCs w:val="21"/>
              </w:rPr>
            </w:pPr>
            <w:r>
              <w:rPr>
                <w:rFonts w:ascii="Arial" w:hAnsi="Arial"/>
                <w:sz w:val="21"/>
                <w:szCs w:val="21"/>
              </w:rPr>
              <w:t>104</w:t>
            </w:r>
          </w:p>
        </w:tc>
      </w:tr>
      <w:tr w:rsidR="00D37E6A" w:rsidRPr="00D37E6A" w14:paraId="0B8967BB" w14:textId="77777777" w:rsidTr="00D37E6A">
        <w:trPr>
          <w:gridAfter w:val="1"/>
          <w:wAfter w:w="10" w:type="dxa"/>
          <w:trHeight w:val="590"/>
        </w:trPr>
        <w:tc>
          <w:tcPr>
            <w:tcW w:w="1560" w:type="dxa"/>
          </w:tcPr>
          <w:p w14:paraId="050CF4B5" w14:textId="77777777" w:rsidR="00D37E6A" w:rsidRPr="00D37E6A" w:rsidRDefault="00D37E6A" w:rsidP="0021373E">
            <w:pPr>
              <w:rPr>
                <w:rFonts w:ascii="Arial" w:hAnsi="Arial" w:cs="Arial"/>
                <w:sz w:val="21"/>
                <w:szCs w:val="21"/>
              </w:rPr>
            </w:pPr>
          </w:p>
        </w:tc>
        <w:tc>
          <w:tcPr>
            <w:tcW w:w="1701" w:type="dxa"/>
          </w:tcPr>
          <w:p w14:paraId="5D147056" w14:textId="77777777" w:rsidR="00D37E6A" w:rsidRPr="00D37E6A" w:rsidRDefault="00693D1B" w:rsidP="0021373E">
            <w:pPr>
              <w:rPr>
                <w:rFonts w:ascii="Arial" w:hAnsi="Arial" w:cs="Arial"/>
                <w:sz w:val="21"/>
                <w:szCs w:val="21"/>
              </w:rPr>
            </w:pPr>
            <w:r>
              <w:rPr>
                <w:rFonts w:ascii="Arial" w:hAnsi="Arial"/>
                <w:sz w:val="21"/>
                <w:szCs w:val="21"/>
              </w:rPr>
              <w:t>Prosecutor's offices</w:t>
            </w:r>
          </w:p>
        </w:tc>
        <w:tc>
          <w:tcPr>
            <w:tcW w:w="1414" w:type="dxa"/>
          </w:tcPr>
          <w:p w14:paraId="74267000" w14:textId="77777777" w:rsidR="00D37E6A" w:rsidRPr="00D37E6A" w:rsidRDefault="00D37E6A" w:rsidP="0021373E">
            <w:pPr>
              <w:rPr>
                <w:rFonts w:ascii="Arial" w:hAnsi="Arial" w:cs="Arial"/>
                <w:sz w:val="21"/>
                <w:szCs w:val="21"/>
              </w:rPr>
            </w:pPr>
            <w:r>
              <w:rPr>
                <w:rFonts w:ascii="Arial" w:hAnsi="Arial"/>
                <w:sz w:val="21"/>
                <w:szCs w:val="21"/>
              </w:rPr>
              <w:t>210</w:t>
            </w:r>
          </w:p>
        </w:tc>
        <w:tc>
          <w:tcPr>
            <w:tcW w:w="1296" w:type="dxa"/>
          </w:tcPr>
          <w:p w14:paraId="01A3AB43" w14:textId="77777777" w:rsidR="00D37E6A" w:rsidRPr="00D37E6A" w:rsidRDefault="00D37E6A" w:rsidP="0021373E">
            <w:pPr>
              <w:rPr>
                <w:rFonts w:ascii="Arial" w:hAnsi="Arial" w:cs="Arial"/>
                <w:sz w:val="21"/>
                <w:szCs w:val="21"/>
              </w:rPr>
            </w:pPr>
            <w:r>
              <w:rPr>
                <w:rFonts w:ascii="Arial" w:hAnsi="Arial"/>
                <w:sz w:val="21"/>
                <w:szCs w:val="21"/>
              </w:rPr>
              <w:t>193</w:t>
            </w:r>
          </w:p>
        </w:tc>
        <w:tc>
          <w:tcPr>
            <w:tcW w:w="576" w:type="dxa"/>
          </w:tcPr>
          <w:p w14:paraId="7EEDD52B" w14:textId="77777777" w:rsidR="00D37E6A" w:rsidRPr="00D37E6A" w:rsidRDefault="00D37E6A" w:rsidP="0021373E">
            <w:pPr>
              <w:jc w:val="center"/>
              <w:rPr>
                <w:rFonts w:ascii="Arial" w:hAnsi="Arial" w:cs="Arial"/>
                <w:sz w:val="21"/>
                <w:szCs w:val="21"/>
              </w:rPr>
            </w:pPr>
            <w:r>
              <w:rPr>
                <w:rFonts w:ascii="Arial" w:hAnsi="Arial"/>
                <w:sz w:val="21"/>
                <w:szCs w:val="21"/>
              </w:rPr>
              <w:t>112</w:t>
            </w:r>
          </w:p>
        </w:tc>
        <w:tc>
          <w:tcPr>
            <w:tcW w:w="576" w:type="dxa"/>
          </w:tcPr>
          <w:p w14:paraId="0517DCCB" w14:textId="77777777" w:rsidR="00D37E6A" w:rsidRPr="00D37E6A" w:rsidRDefault="00D37E6A" w:rsidP="0021373E">
            <w:pPr>
              <w:jc w:val="center"/>
              <w:rPr>
                <w:rFonts w:ascii="Arial" w:hAnsi="Arial" w:cs="Arial"/>
                <w:sz w:val="21"/>
                <w:szCs w:val="21"/>
              </w:rPr>
            </w:pPr>
            <w:r>
              <w:rPr>
                <w:rFonts w:ascii="Arial" w:hAnsi="Arial"/>
                <w:sz w:val="21"/>
                <w:szCs w:val="21"/>
              </w:rPr>
              <w:t>37</w:t>
            </w:r>
          </w:p>
        </w:tc>
        <w:tc>
          <w:tcPr>
            <w:tcW w:w="579" w:type="dxa"/>
            <w:gridSpan w:val="2"/>
          </w:tcPr>
          <w:p w14:paraId="7F7E14A9" w14:textId="77777777" w:rsidR="00D37E6A" w:rsidRPr="00D37E6A" w:rsidRDefault="00D37E6A" w:rsidP="0021373E">
            <w:pPr>
              <w:jc w:val="center"/>
              <w:rPr>
                <w:rFonts w:ascii="Arial" w:hAnsi="Arial" w:cs="Arial"/>
                <w:sz w:val="21"/>
                <w:szCs w:val="21"/>
              </w:rPr>
            </w:pPr>
            <w:r>
              <w:rPr>
                <w:rFonts w:ascii="Arial" w:hAnsi="Arial"/>
                <w:sz w:val="21"/>
                <w:szCs w:val="21"/>
              </w:rPr>
              <w:t>30</w:t>
            </w:r>
          </w:p>
        </w:tc>
        <w:tc>
          <w:tcPr>
            <w:tcW w:w="486" w:type="dxa"/>
          </w:tcPr>
          <w:p w14:paraId="22EB8B16" w14:textId="77777777" w:rsidR="00D37E6A" w:rsidRPr="00D37E6A" w:rsidRDefault="00D37E6A" w:rsidP="0021373E">
            <w:pPr>
              <w:jc w:val="center"/>
              <w:rPr>
                <w:rFonts w:ascii="Arial" w:hAnsi="Arial" w:cs="Arial"/>
                <w:sz w:val="21"/>
                <w:szCs w:val="21"/>
              </w:rPr>
            </w:pPr>
            <w:r>
              <w:rPr>
                <w:rFonts w:ascii="Arial" w:hAnsi="Arial"/>
                <w:sz w:val="21"/>
                <w:szCs w:val="21"/>
              </w:rPr>
              <w:t>14</w:t>
            </w:r>
          </w:p>
        </w:tc>
        <w:tc>
          <w:tcPr>
            <w:tcW w:w="577" w:type="dxa"/>
            <w:gridSpan w:val="2"/>
          </w:tcPr>
          <w:p w14:paraId="41438FDA" w14:textId="77777777" w:rsidR="00D37E6A" w:rsidRPr="00D37E6A" w:rsidRDefault="00D37E6A" w:rsidP="0021373E">
            <w:pPr>
              <w:jc w:val="center"/>
              <w:rPr>
                <w:rFonts w:ascii="Arial" w:hAnsi="Arial" w:cs="Arial"/>
                <w:sz w:val="21"/>
                <w:szCs w:val="21"/>
              </w:rPr>
            </w:pPr>
            <w:r>
              <w:rPr>
                <w:rFonts w:ascii="Arial" w:hAnsi="Arial"/>
                <w:sz w:val="21"/>
                <w:szCs w:val="21"/>
              </w:rPr>
              <w:t>92</w:t>
            </w:r>
          </w:p>
        </w:tc>
        <w:tc>
          <w:tcPr>
            <w:tcW w:w="576" w:type="dxa"/>
          </w:tcPr>
          <w:p w14:paraId="57F27543" w14:textId="77777777" w:rsidR="00D37E6A" w:rsidRPr="00D37E6A" w:rsidRDefault="00D37E6A" w:rsidP="0021373E">
            <w:pPr>
              <w:jc w:val="center"/>
              <w:rPr>
                <w:rFonts w:ascii="Arial" w:hAnsi="Arial" w:cs="Arial"/>
                <w:sz w:val="21"/>
                <w:szCs w:val="21"/>
              </w:rPr>
            </w:pPr>
            <w:r>
              <w:rPr>
                <w:rFonts w:ascii="Arial" w:hAnsi="Arial"/>
                <w:sz w:val="21"/>
                <w:szCs w:val="21"/>
              </w:rPr>
              <w:t>101</w:t>
            </w:r>
          </w:p>
        </w:tc>
      </w:tr>
      <w:tr w:rsidR="00D37E6A" w:rsidRPr="00D37E6A" w14:paraId="37EFEDBE" w14:textId="77777777" w:rsidTr="00D37E6A">
        <w:trPr>
          <w:gridAfter w:val="1"/>
          <w:wAfter w:w="10" w:type="dxa"/>
          <w:trHeight w:val="557"/>
        </w:trPr>
        <w:tc>
          <w:tcPr>
            <w:tcW w:w="1560" w:type="dxa"/>
          </w:tcPr>
          <w:p w14:paraId="315D22FD" w14:textId="77777777" w:rsidR="00D37E6A" w:rsidRPr="00D37E6A" w:rsidRDefault="00D37E6A" w:rsidP="0021373E">
            <w:pPr>
              <w:rPr>
                <w:rFonts w:ascii="Arial" w:hAnsi="Arial" w:cs="Arial"/>
                <w:sz w:val="21"/>
                <w:szCs w:val="21"/>
              </w:rPr>
            </w:pPr>
            <w:r>
              <w:rPr>
                <w:rFonts w:ascii="Arial" w:hAnsi="Arial"/>
                <w:sz w:val="21"/>
                <w:szCs w:val="21"/>
              </w:rPr>
              <w:t>District courts</w:t>
            </w:r>
          </w:p>
        </w:tc>
        <w:tc>
          <w:tcPr>
            <w:tcW w:w="1701" w:type="dxa"/>
          </w:tcPr>
          <w:p w14:paraId="5D140446" w14:textId="77777777" w:rsidR="00D37E6A" w:rsidRPr="00D37E6A" w:rsidRDefault="00D37E6A" w:rsidP="0021373E">
            <w:pPr>
              <w:rPr>
                <w:rFonts w:ascii="Arial" w:hAnsi="Arial" w:cs="Arial"/>
                <w:sz w:val="21"/>
                <w:szCs w:val="21"/>
              </w:rPr>
            </w:pPr>
          </w:p>
        </w:tc>
        <w:tc>
          <w:tcPr>
            <w:tcW w:w="1414" w:type="dxa"/>
          </w:tcPr>
          <w:p w14:paraId="63F4CC64" w14:textId="77777777" w:rsidR="00D37E6A" w:rsidRPr="00D37E6A" w:rsidRDefault="00D37E6A" w:rsidP="0021373E">
            <w:pPr>
              <w:rPr>
                <w:rFonts w:ascii="Arial" w:hAnsi="Arial" w:cs="Arial"/>
                <w:sz w:val="21"/>
                <w:szCs w:val="21"/>
              </w:rPr>
            </w:pPr>
            <w:r>
              <w:rPr>
                <w:rFonts w:ascii="Arial" w:hAnsi="Arial"/>
                <w:sz w:val="21"/>
                <w:szCs w:val="21"/>
              </w:rPr>
              <w:t>77</w:t>
            </w:r>
          </w:p>
        </w:tc>
        <w:tc>
          <w:tcPr>
            <w:tcW w:w="1296" w:type="dxa"/>
          </w:tcPr>
          <w:p w14:paraId="415205CC" w14:textId="77777777" w:rsidR="00D37E6A" w:rsidRPr="00D37E6A" w:rsidRDefault="00D37E6A" w:rsidP="0021373E">
            <w:pPr>
              <w:rPr>
                <w:rFonts w:ascii="Arial" w:hAnsi="Arial" w:cs="Arial"/>
                <w:sz w:val="21"/>
                <w:szCs w:val="21"/>
              </w:rPr>
            </w:pPr>
            <w:r>
              <w:rPr>
                <w:rFonts w:ascii="Arial" w:hAnsi="Arial"/>
                <w:sz w:val="21"/>
                <w:szCs w:val="21"/>
              </w:rPr>
              <w:t>70</w:t>
            </w:r>
          </w:p>
        </w:tc>
        <w:tc>
          <w:tcPr>
            <w:tcW w:w="576" w:type="dxa"/>
          </w:tcPr>
          <w:p w14:paraId="02B54B6A" w14:textId="77777777" w:rsidR="00D37E6A" w:rsidRPr="00D37E6A" w:rsidRDefault="00D37E6A" w:rsidP="0021373E">
            <w:pPr>
              <w:jc w:val="center"/>
              <w:rPr>
                <w:rFonts w:ascii="Arial" w:hAnsi="Arial" w:cs="Arial"/>
                <w:sz w:val="21"/>
                <w:szCs w:val="21"/>
              </w:rPr>
            </w:pPr>
            <w:r>
              <w:rPr>
                <w:rFonts w:ascii="Arial" w:hAnsi="Arial"/>
                <w:sz w:val="21"/>
                <w:szCs w:val="21"/>
              </w:rPr>
              <w:t>16</w:t>
            </w:r>
          </w:p>
        </w:tc>
        <w:tc>
          <w:tcPr>
            <w:tcW w:w="576" w:type="dxa"/>
          </w:tcPr>
          <w:p w14:paraId="001ACEFE"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9" w:type="dxa"/>
            <w:gridSpan w:val="2"/>
          </w:tcPr>
          <w:p w14:paraId="1F83A392" w14:textId="77777777" w:rsidR="00D37E6A" w:rsidRPr="00D37E6A" w:rsidRDefault="00D37E6A" w:rsidP="0021373E">
            <w:pPr>
              <w:jc w:val="center"/>
              <w:rPr>
                <w:rFonts w:ascii="Arial" w:hAnsi="Arial" w:cs="Arial"/>
                <w:sz w:val="21"/>
                <w:szCs w:val="21"/>
              </w:rPr>
            </w:pPr>
            <w:r>
              <w:rPr>
                <w:rFonts w:ascii="Arial" w:hAnsi="Arial"/>
                <w:sz w:val="21"/>
                <w:szCs w:val="21"/>
              </w:rPr>
              <w:t>47</w:t>
            </w:r>
          </w:p>
        </w:tc>
        <w:tc>
          <w:tcPr>
            <w:tcW w:w="486" w:type="dxa"/>
          </w:tcPr>
          <w:p w14:paraId="1826D27B" w14:textId="77777777" w:rsidR="00D37E6A" w:rsidRPr="00D37E6A" w:rsidRDefault="00D37E6A" w:rsidP="0021373E">
            <w:pPr>
              <w:jc w:val="center"/>
              <w:rPr>
                <w:rFonts w:ascii="Arial" w:hAnsi="Arial" w:cs="Arial"/>
                <w:sz w:val="21"/>
                <w:szCs w:val="21"/>
              </w:rPr>
            </w:pPr>
            <w:r>
              <w:rPr>
                <w:rFonts w:ascii="Arial" w:hAnsi="Arial"/>
                <w:sz w:val="21"/>
                <w:szCs w:val="21"/>
              </w:rPr>
              <w:t>4</w:t>
            </w:r>
          </w:p>
        </w:tc>
        <w:tc>
          <w:tcPr>
            <w:tcW w:w="577" w:type="dxa"/>
            <w:gridSpan w:val="2"/>
          </w:tcPr>
          <w:p w14:paraId="246575FA" w14:textId="77777777" w:rsidR="00D37E6A" w:rsidRPr="00D37E6A" w:rsidRDefault="00D37E6A" w:rsidP="0021373E">
            <w:pPr>
              <w:jc w:val="center"/>
              <w:rPr>
                <w:rFonts w:ascii="Arial" w:hAnsi="Arial" w:cs="Arial"/>
                <w:sz w:val="21"/>
                <w:szCs w:val="21"/>
              </w:rPr>
            </w:pPr>
            <w:r>
              <w:rPr>
                <w:rFonts w:ascii="Arial" w:hAnsi="Arial"/>
                <w:sz w:val="21"/>
                <w:szCs w:val="21"/>
              </w:rPr>
              <w:t>22</w:t>
            </w:r>
          </w:p>
        </w:tc>
        <w:tc>
          <w:tcPr>
            <w:tcW w:w="576" w:type="dxa"/>
          </w:tcPr>
          <w:p w14:paraId="636BC19F" w14:textId="77777777" w:rsidR="00D37E6A" w:rsidRPr="00D37E6A" w:rsidRDefault="00D37E6A" w:rsidP="0021373E">
            <w:pPr>
              <w:jc w:val="center"/>
              <w:rPr>
                <w:rFonts w:ascii="Arial" w:hAnsi="Arial" w:cs="Arial"/>
                <w:sz w:val="21"/>
                <w:szCs w:val="21"/>
              </w:rPr>
            </w:pPr>
            <w:r>
              <w:rPr>
                <w:rFonts w:ascii="Arial" w:hAnsi="Arial"/>
                <w:sz w:val="21"/>
                <w:szCs w:val="21"/>
              </w:rPr>
              <w:t>48</w:t>
            </w:r>
          </w:p>
        </w:tc>
      </w:tr>
      <w:tr w:rsidR="00D37E6A" w:rsidRPr="00D37E6A" w14:paraId="7AD83A38" w14:textId="77777777" w:rsidTr="00D37E6A">
        <w:trPr>
          <w:gridAfter w:val="1"/>
          <w:wAfter w:w="10" w:type="dxa"/>
        </w:trPr>
        <w:tc>
          <w:tcPr>
            <w:tcW w:w="1560" w:type="dxa"/>
          </w:tcPr>
          <w:p w14:paraId="0A806AF8" w14:textId="77777777" w:rsidR="00D37E6A" w:rsidRPr="00D37E6A" w:rsidRDefault="00D37E6A" w:rsidP="0021373E">
            <w:pPr>
              <w:rPr>
                <w:rFonts w:ascii="Arial" w:hAnsi="Arial" w:cs="Arial"/>
                <w:sz w:val="21"/>
                <w:szCs w:val="21"/>
              </w:rPr>
            </w:pPr>
            <w:r>
              <w:rPr>
                <w:rFonts w:ascii="Arial" w:hAnsi="Arial"/>
                <w:sz w:val="21"/>
                <w:szCs w:val="21"/>
              </w:rPr>
              <w:t>District commercial courts</w:t>
            </w:r>
          </w:p>
        </w:tc>
        <w:tc>
          <w:tcPr>
            <w:tcW w:w="1701" w:type="dxa"/>
          </w:tcPr>
          <w:p w14:paraId="7B945081" w14:textId="77777777" w:rsidR="00D37E6A" w:rsidRPr="00D37E6A" w:rsidRDefault="00D37E6A" w:rsidP="0021373E">
            <w:pPr>
              <w:rPr>
                <w:rFonts w:ascii="Arial" w:hAnsi="Arial" w:cs="Arial"/>
                <w:sz w:val="21"/>
                <w:szCs w:val="21"/>
              </w:rPr>
            </w:pPr>
          </w:p>
        </w:tc>
        <w:tc>
          <w:tcPr>
            <w:tcW w:w="1414" w:type="dxa"/>
          </w:tcPr>
          <w:p w14:paraId="03E16FB6" w14:textId="77777777" w:rsidR="00D37E6A" w:rsidRPr="00D37E6A" w:rsidRDefault="00D37E6A" w:rsidP="0021373E">
            <w:pPr>
              <w:rPr>
                <w:rFonts w:ascii="Arial" w:hAnsi="Arial" w:cs="Arial"/>
                <w:sz w:val="21"/>
                <w:szCs w:val="21"/>
              </w:rPr>
            </w:pPr>
            <w:r>
              <w:rPr>
                <w:rFonts w:ascii="Arial" w:hAnsi="Arial"/>
                <w:sz w:val="21"/>
                <w:szCs w:val="21"/>
              </w:rPr>
              <w:t>45</w:t>
            </w:r>
          </w:p>
        </w:tc>
        <w:tc>
          <w:tcPr>
            <w:tcW w:w="1296" w:type="dxa"/>
          </w:tcPr>
          <w:p w14:paraId="7A873C8E" w14:textId="77777777" w:rsidR="00D37E6A" w:rsidRPr="00D37E6A" w:rsidRDefault="00D37E6A" w:rsidP="0021373E">
            <w:pPr>
              <w:rPr>
                <w:rFonts w:ascii="Arial" w:hAnsi="Arial" w:cs="Arial"/>
                <w:sz w:val="21"/>
                <w:szCs w:val="21"/>
              </w:rPr>
            </w:pPr>
            <w:r>
              <w:rPr>
                <w:rFonts w:ascii="Arial" w:hAnsi="Arial"/>
                <w:sz w:val="21"/>
                <w:szCs w:val="21"/>
              </w:rPr>
              <w:t>35</w:t>
            </w:r>
          </w:p>
        </w:tc>
        <w:tc>
          <w:tcPr>
            <w:tcW w:w="576" w:type="dxa"/>
          </w:tcPr>
          <w:p w14:paraId="312B1091" w14:textId="77777777" w:rsidR="00D37E6A" w:rsidRPr="00D37E6A" w:rsidRDefault="00D37E6A" w:rsidP="0021373E">
            <w:pPr>
              <w:jc w:val="center"/>
              <w:rPr>
                <w:rFonts w:ascii="Arial" w:hAnsi="Arial" w:cs="Arial"/>
                <w:sz w:val="21"/>
                <w:szCs w:val="21"/>
              </w:rPr>
            </w:pPr>
            <w:r>
              <w:rPr>
                <w:rFonts w:ascii="Arial" w:hAnsi="Arial"/>
                <w:sz w:val="21"/>
                <w:szCs w:val="21"/>
              </w:rPr>
              <w:t>8</w:t>
            </w:r>
          </w:p>
        </w:tc>
        <w:tc>
          <w:tcPr>
            <w:tcW w:w="576" w:type="dxa"/>
          </w:tcPr>
          <w:p w14:paraId="5C27639D"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9" w:type="dxa"/>
            <w:gridSpan w:val="2"/>
          </w:tcPr>
          <w:p w14:paraId="6E256F2D" w14:textId="77777777" w:rsidR="00D37E6A" w:rsidRPr="00D37E6A" w:rsidRDefault="00D37E6A" w:rsidP="0021373E">
            <w:pPr>
              <w:jc w:val="center"/>
              <w:rPr>
                <w:rFonts w:ascii="Arial" w:hAnsi="Arial" w:cs="Arial"/>
                <w:sz w:val="21"/>
                <w:szCs w:val="21"/>
              </w:rPr>
            </w:pPr>
            <w:r>
              <w:rPr>
                <w:rFonts w:ascii="Arial" w:hAnsi="Arial"/>
                <w:sz w:val="21"/>
                <w:szCs w:val="21"/>
              </w:rPr>
              <w:t>23</w:t>
            </w:r>
          </w:p>
        </w:tc>
        <w:tc>
          <w:tcPr>
            <w:tcW w:w="486" w:type="dxa"/>
          </w:tcPr>
          <w:p w14:paraId="2D26F5D4"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7" w:type="dxa"/>
            <w:gridSpan w:val="2"/>
          </w:tcPr>
          <w:p w14:paraId="4AB18FD2" w14:textId="77777777" w:rsidR="00D37E6A" w:rsidRPr="00D37E6A" w:rsidRDefault="00D37E6A" w:rsidP="0021373E">
            <w:pPr>
              <w:jc w:val="center"/>
              <w:rPr>
                <w:rFonts w:ascii="Arial" w:hAnsi="Arial" w:cs="Arial"/>
                <w:sz w:val="21"/>
                <w:szCs w:val="21"/>
              </w:rPr>
            </w:pPr>
            <w:r>
              <w:rPr>
                <w:rFonts w:ascii="Arial" w:hAnsi="Arial"/>
                <w:sz w:val="21"/>
                <w:szCs w:val="21"/>
              </w:rPr>
              <w:t>11</w:t>
            </w:r>
          </w:p>
        </w:tc>
        <w:tc>
          <w:tcPr>
            <w:tcW w:w="576" w:type="dxa"/>
          </w:tcPr>
          <w:p w14:paraId="18E741E9" w14:textId="77777777" w:rsidR="00D37E6A" w:rsidRPr="00D37E6A" w:rsidRDefault="00D37E6A" w:rsidP="0021373E">
            <w:pPr>
              <w:jc w:val="center"/>
              <w:rPr>
                <w:rFonts w:ascii="Arial" w:hAnsi="Arial" w:cs="Arial"/>
                <w:sz w:val="21"/>
                <w:szCs w:val="21"/>
              </w:rPr>
            </w:pPr>
            <w:r>
              <w:rPr>
                <w:rFonts w:ascii="Arial" w:hAnsi="Arial"/>
                <w:sz w:val="21"/>
                <w:szCs w:val="21"/>
              </w:rPr>
              <w:t>24</w:t>
            </w:r>
          </w:p>
        </w:tc>
      </w:tr>
      <w:tr w:rsidR="00D37E6A" w:rsidRPr="00D37E6A" w14:paraId="426EDED2" w14:textId="77777777" w:rsidTr="00D37E6A">
        <w:trPr>
          <w:gridAfter w:val="1"/>
          <w:wAfter w:w="10" w:type="dxa"/>
        </w:trPr>
        <w:tc>
          <w:tcPr>
            <w:tcW w:w="1560" w:type="dxa"/>
          </w:tcPr>
          <w:p w14:paraId="543E677C" w14:textId="77777777" w:rsidR="00D37E6A" w:rsidRPr="00D37E6A" w:rsidRDefault="00D37E6A" w:rsidP="0021373E">
            <w:pPr>
              <w:rPr>
                <w:rFonts w:ascii="Arial" w:hAnsi="Arial" w:cs="Arial"/>
                <w:sz w:val="21"/>
                <w:szCs w:val="21"/>
              </w:rPr>
            </w:pPr>
            <w:r>
              <w:rPr>
                <w:rFonts w:ascii="Arial" w:hAnsi="Arial"/>
                <w:sz w:val="21"/>
                <w:szCs w:val="21"/>
              </w:rPr>
              <w:t>District Prosecutor's Offices</w:t>
            </w:r>
          </w:p>
        </w:tc>
        <w:tc>
          <w:tcPr>
            <w:tcW w:w="1701" w:type="dxa"/>
          </w:tcPr>
          <w:p w14:paraId="7914E4AC" w14:textId="77777777" w:rsidR="00D37E6A" w:rsidRPr="00D37E6A" w:rsidRDefault="00D37E6A" w:rsidP="0021373E">
            <w:pPr>
              <w:rPr>
                <w:rFonts w:ascii="Arial" w:hAnsi="Arial" w:cs="Arial"/>
                <w:sz w:val="21"/>
                <w:szCs w:val="21"/>
              </w:rPr>
            </w:pPr>
          </w:p>
        </w:tc>
        <w:tc>
          <w:tcPr>
            <w:tcW w:w="1414" w:type="dxa"/>
          </w:tcPr>
          <w:p w14:paraId="31959884" w14:textId="77777777" w:rsidR="00D37E6A" w:rsidRPr="00D37E6A" w:rsidRDefault="00D37E6A" w:rsidP="0021373E">
            <w:pPr>
              <w:rPr>
                <w:rFonts w:ascii="Arial" w:hAnsi="Arial" w:cs="Arial"/>
                <w:sz w:val="21"/>
                <w:szCs w:val="21"/>
              </w:rPr>
            </w:pPr>
            <w:r>
              <w:rPr>
                <w:rFonts w:ascii="Arial" w:hAnsi="Arial"/>
                <w:sz w:val="21"/>
                <w:szCs w:val="21"/>
              </w:rPr>
              <w:t>106</w:t>
            </w:r>
          </w:p>
        </w:tc>
        <w:tc>
          <w:tcPr>
            <w:tcW w:w="1296" w:type="dxa"/>
          </w:tcPr>
          <w:p w14:paraId="5308C782" w14:textId="77777777" w:rsidR="00D37E6A" w:rsidRPr="00D37E6A" w:rsidRDefault="00D37E6A" w:rsidP="0021373E">
            <w:pPr>
              <w:rPr>
                <w:rFonts w:ascii="Arial" w:hAnsi="Arial" w:cs="Arial"/>
                <w:sz w:val="21"/>
                <w:szCs w:val="21"/>
              </w:rPr>
            </w:pPr>
            <w:r>
              <w:rPr>
                <w:rFonts w:ascii="Arial" w:hAnsi="Arial"/>
                <w:sz w:val="21"/>
                <w:szCs w:val="21"/>
              </w:rPr>
              <w:t>79</w:t>
            </w:r>
          </w:p>
        </w:tc>
        <w:tc>
          <w:tcPr>
            <w:tcW w:w="576" w:type="dxa"/>
          </w:tcPr>
          <w:p w14:paraId="12DAB1FA" w14:textId="77777777" w:rsidR="00D37E6A" w:rsidRPr="00D37E6A" w:rsidRDefault="00D37E6A" w:rsidP="0021373E">
            <w:pPr>
              <w:jc w:val="center"/>
              <w:rPr>
                <w:rFonts w:ascii="Arial" w:hAnsi="Arial" w:cs="Arial"/>
                <w:sz w:val="21"/>
                <w:szCs w:val="21"/>
              </w:rPr>
            </w:pPr>
            <w:r>
              <w:rPr>
                <w:rFonts w:ascii="Arial" w:hAnsi="Arial"/>
                <w:sz w:val="21"/>
                <w:szCs w:val="21"/>
              </w:rPr>
              <w:t>11</w:t>
            </w:r>
          </w:p>
        </w:tc>
        <w:tc>
          <w:tcPr>
            <w:tcW w:w="576" w:type="dxa"/>
          </w:tcPr>
          <w:p w14:paraId="6AEA7EF0" w14:textId="77777777" w:rsidR="00D37E6A" w:rsidRPr="00D37E6A" w:rsidRDefault="00D37E6A" w:rsidP="0021373E">
            <w:pPr>
              <w:jc w:val="center"/>
              <w:rPr>
                <w:rFonts w:ascii="Arial" w:hAnsi="Arial" w:cs="Arial"/>
                <w:sz w:val="21"/>
                <w:szCs w:val="21"/>
              </w:rPr>
            </w:pPr>
            <w:r>
              <w:rPr>
                <w:rFonts w:ascii="Arial" w:hAnsi="Arial"/>
                <w:sz w:val="21"/>
                <w:szCs w:val="21"/>
              </w:rPr>
              <w:t>6</w:t>
            </w:r>
          </w:p>
        </w:tc>
        <w:tc>
          <w:tcPr>
            <w:tcW w:w="579" w:type="dxa"/>
            <w:gridSpan w:val="2"/>
          </w:tcPr>
          <w:p w14:paraId="4114A317" w14:textId="77777777" w:rsidR="00D37E6A" w:rsidRPr="00D37E6A" w:rsidRDefault="00D37E6A" w:rsidP="0021373E">
            <w:pPr>
              <w:jc w:val="center"/>
              <w:rPr>
                <w:rFonts w:ascii="Arial" w:hAnsi="Arial" w:cs="Arial"/>
                <w:sz w:val="21"/>
                <w:szCs w:val="21"/>
              </w:rPr>
            </w:pPr>
            <w:r>
              <w:rPr>
                <w:rFonts w:ascii="Arial" w:hAnsi="Arial"/>
                <w:sz w:val="21"/>
                <w:szCs w:val="21"/>
              </w:rPr>
              <w:t>58</w:t>
            </w:r>
          </w:p>
        </w:tc>
        <w:tc>
          <w:tcPr>
            <w:tcW w:w="486" w:type="dxa"/>
          </w:tcPr>
          <w:p w14:paraId="4FC18465" w14:textId="77777777" w:rsidR="00D37E6A" w:rsidRPr="00D37E6A" w:rsidRDefault="00D37E6A" w:rsidP="0021373E">
            <w:pPr>
              <w:jc w:val="center"/>
              <w:rPr>
                <w:rFonts w:ascii="Arial" w:hAnsi="Arial" w:cs="Arial"/>
                <w:sz w:val="21"/>
                <w:szCs w:val="21"/>
              </w:rPr>
            </w:pPr>
            <w:r>
              <w:rPr>
                <w:rFonts w:ascii="Arial" w:hAnsi="Arial"/>
                <w:sz w:val="21"/>
                <w:szCs w:val="21"/>
              </w:rPr>
              <w:t>4</w:t>
            </w:r>
          </w:p>
        </w:tc>
        <w:tc>
          <w:tcPr>
            <w:tcW w:w="577" w:type="dxa"/>
            <w:gridSpan w:val="2"/>
          </w:tcPr>
          <w:p w14:paraId="4E00E4C4" w14:textId="77777777" w:rsidR="00D37E6A" w:rsidRPr="00D37E6A" w:rsidRDefault="00D37E6A" w:rsidP="0021373E">
            <w:pPr>
              <w:jc w:val="center"/>
              <w:rPr>
                <w:rFonts w:ascii="Arial" w:hAnsi="Arial" w:cs="Arial"/>
                <w:sz w:val="21"/>
                <w:szCs w:val="21"/>
              </w:rPr>
            </w:pPr>
            <w:r>
              <w:rPr>
                <w:rFonts w:ascii="Arial" w:hAnsi="Arial"/>
                <w:sz w:val="21"/>
                <w:szCs w:val="21"/>
              </w:rPr>
              <w:t>36</w:t>
            </w:r>
          </w:p>
        </w:tc>
        <w:tc>
          <w:tcPr>
            <w:tcW w:w="576" w:type="dxa"/>
          </w:tcPr>
          <w:p w14:paraId="13551763" w14:textId="77777777" w:rsidR="00D37E6A" w:rsidRPr="00D37E6A" w:rsidRDefault="00D37E6A" w:rsidP="0021373E">
            <w:pPr>
              <w:jc w:val="center"/>
              <w:rPr>
                <w:rFonts w:ascii="Arial" w:hAnsi="Arial" w:cs="Arial"/>
                <w:sz w:val="21"/>
                <w:szCs w:val="21"/>
              </w:rPr>
            </w:pPr>
            <w:r>
              <w:rPr>
                <w:rFonts w:ascii="Arial" w:hAnsi="Arial"/>
                <w:sz w:val="21"/>
                <w:szCs w:val="21"/>
              </w:rPr>
              <w:t>43</w:t>
            </w:r>
          </w:p>
        </w:tc>
      </w:tr>
      <w:tr w:rsidR="00D37E6A" w:rsidRPr="00D37E6A" w14:paraId="1123E818" w14:textId="77777777" w:rsidTr="00D37E6A">
        <w:trPr>
          <w:gridAfter w:val="1"/>
          <w:wAfter w:w="10" w:type="dxa"/>
          <w:trHeight w:val="604"/>
        </w:trPr>
        <w:tc>
          <w:tcPr>
            <w:tcW w:w="1560" w:type="dxa"/>
          </w:tcPr>
          <w:p w14:paraId="3266FE6C" w14:textId="77777777" w:rsidR="00D37E6A" w:rsidRPr="00D37E6A" w:rsidRDefault="00D37E6A" w:rsidP="0021373E">
            <w:pPr>
              <w:rPr>
                <w:rFonts w:ascii="Arial" w:hAnsi="Arial" w:cs="Arial"/>
                <w:sz w:val="21"/>
                <w:szCs w:val="21"/>
              </w:rPr>
            </w:pPr>
            <w:r>
              <w:rPr>
                <w:rFonts w:ascii="Arial" w:hAnsi="Arial"/>
                <w:sz w:val="21"/>
                <w:szCs w:val="21"/>
              </w:rPr>
              <w:t>Municipal Courts</w:t>
            </w:r>
          </w:p>
        </w:tc>
        <w:tc>
          <w:tcPr>
            <w:tcW w:w="1701" w:type="dxa"/>
          </w:tcPr>
          <w:p w14:paraId="343B50CC" w14:textId="77777777" w:rsidR="00D37E6A" w:rsidRPr="00D37E6A" w:rsidRDefault="00D37E6A" w:rsidP="0021373E">
            <w:pPr>
              <w:rPr>
                <w:rFonts w:ascii="Arial" w:hAnsi="Arial" w:cs="Arial"/>
                <w:sz w:val="21"/>
                <w:szCs w:val="21"/>
              </w:rPr>
            </w:pPr>
          </w:p>
        </w:tc>
        <w:tc>
          <w:tcPr>
            <w:tcW w:w="1414" w:type="dxa"/>
          </w:tcPr>
          <w:p w14:paraId="62977A99" w14:textId="77777777" w:rsidR="00D37E6A" w:rsidRPr="00D37E6A" w:rsidRDefault="00D37E6A" w:rsidP="0021373E">
            <w:pPr>
              <w:rPr>
                <w:rFonts w:ascii="Arial" w:hAnsi="Arial" w:cs="Arial"/>
                <w:sz w:val="21"/>
                <w:szCs w:val="21"/>
              </w:rPr>
            </w:pPr>
            <w:r>
              <w:rPr>
                <w:rFonts w:ascii="Arial" w:hAnsi="Arial"/>
                <w:sz w:val="21"/>
                <w:szCs w:val="21"/>
              </w:rPr>
              <w:t>452</w:t>
            </w:r>
          </w:p>
        </w:tc>
        <w:tc>
          <w:tcPr>
            <w:tcW w:w="1296" w:type="dxa"/>
          </w:tcPr>
          <w:p w14:paraId="68472D46" w14:textId="77777777" w:rsidR="00D37E6A" w:rsidRPr="00D37E6A" w:rsidRDefault="00D37E6A" w:rsidP="0021373E">
            <w:pPr>
              <w:rPr>
                <w:rFonts w:ascii="Arial" w:hAnsi="Arial" w:cs="Arial"/>
                <w:sz w:val="21"/>
                <w:szCs w:val="21"/>
              </w:rPr>
            </w:pPr>
            <w:r>
              <w:rPr>
                <w:rFonts w:ascii="Arial" w:hAnsi="Arial"/>
                <w:sz w:val="21"/>
                <w:szCs w:val="21"/>
              </w:rPr>
              <w:t>413</w:t>
            </w:r>
          </w:p>
        </w:tc>
        <w:tc>
          <w:tcPr>
            <w:tcW w:w="576" w:type="dxa"/>
          </w:tcPr>
          <w:p w14:paraId="0DA0D3A3" w14:textId="77777777" w:rsidR="00D37E6A" w:rsidRPr="00D37E6A" w:rsidRDefault="00D37E6A" w:rsidP="0021373E">
            <w:pPr>
              <w:jc w:val="center"/>
              <w:rPr>
                <w:rFonts w:ascii="Arial" w:hAnsi="Arial" w:cs="Arial"/>
                <w:sz w:val="21"/>
                <w:szCs w:val="21"/>
              </w:rPr>
            </w:pPr>
            <w:r>
              <w:rPr>
                <w:rFonts w:ascii="Arial" w:hAnsi="Arial"/>
                <w:sz w:val="21"/>
                <w:szCs w:val="21"/>
              </w:rPr>
              <w:t>219</w:t>
            </w:r>
          </w:p>
        </w:tc>
        <w:tc>
          <w:tcPr>
            <w:tcW w:w="576" w:type="dxa"/>
          </w:tcPr>
          <w:p w14:paraId="6DE3DBB2" w14:textId="77777777" w:rsidR="00D37E6A" w:rsidRPr="00D37E6A" w:rsidRDefault="00D37E6A" w:rsidP="0021373E">
            <w:pPr>
              <w:jc w:val="center"/>
              <w:rPr>
                <w:rFonts w:ascii="Arial" w:hAnsi="Arial" w:cs="Arial"/>
                <w:sz w:val="21"/>
                <w:szCs w:val="21"/>
              </w:rPr>
            </w:pPr>
            <w:r>
              <w:rPr>
                <w:rFonts w:ascii="Arial" w:hAnsi="Arial"/>
                <w:sz w:val="21"/>
                <w:szCs w:val="21"/>
              </w:rPr>
              <w:t>93</w:t>
            </w:r>
          </w:p>
        </w:tc>
        <w:tc>
          <w:tcPr>
            <w:tcW w:w="579" w:type="dxa"/>
            <w:gridSpan w:val="2"/>
          </w:tcPr>
          <w:p w14:paraId="59702071" w14:textId="77777777" w:rsidR="00D37E6A" w:rsidRPr="00D37E6A" w:rsidRDefault="00D37E6A" w:rsidP="0021373E">
            <w:pPr>
              <w:jc w:val="center"/>
              <w:rPr>
                <w:rFonts w:ascii="Arial" w:hAnsi="Arial" w:cs="Arial"/>
                <w:sz w:val="21"/>
                <w:szCs w:val="21"/>
              </w:rPr>
            </w:pPr>
            <w:r>
              <w:rPr>
                <w:rFonts w:ascii="Arial" w:hAnsi="Arial"/>
                <w:sz w:val="21"/>
                <w:szCs w:val="21"/>
              </w:rPr>
              <w:t>69</w:t>
            </w:r>
          </w:p>
        </w:tc>
        <w:tc>
          <w:tcPr>
            <w:tcW w:w="486" w:type="dxa"/>
          </w:tcPr>
          <w:p w14:paraId="3D9974BB" w14:textId="77777777" w:rsidR="00D37E6A" w:rsidRPr="00D37E6A" w:rsidRDefault="00D37E6A" w:rsidP="0021373E">
            <w:pPr>
              <w:jc w:val="center"/>
              <w:rPr>
                <w:rFonts w:ascii="Arial" w:hAnsi="Arial" w:cs="Arial"/>
                <w:sz w:val="21"/>
                <w:szCs w:val="21"/>
              </w:rPr>
            </w:pPr>
            <w:r>
              <w:rPr>
                <w:rFonts w:ascii="Arial" w:hAnsi="Arial"/>
                <w:sz w:val="21"/>
                <w:szCs w:val="21"/>
              </w:rPr>
              <w:t>32</w:t>
            </w:r>
          </w:p>
        </w:tc>
        <w:tc>
          <w:tcPr>
            <w:tcW w:w="577" w:type="dxa"/>
            <w:gridSpan w:val="2"/>
          </w:tcPr>
          <w:p w14:paraId="431FF011" w14:textId="77777777" w:rsidR="00D37E6A" w:rsidRPr="00D37E6A" w:rsidRDefault="00D37E6A" w:rsidP="0021373E">
            <w:pPr>
              <w:jc w:val="center"/>
              <w:rPr>
                <w:rFonts w:ascii="Arial" w:hAnsi="Arial" w:cs="Arial"/>
                <w:sz w:val="21"/>
                <w:szCs w:val="21"/>
              </w:rPr>
            </w:pPr>
            <w:r>
              <w:rPr>
                <w:rFonts w:ascii="Arial" w:hAnsi="Arial"/>
                <w:sz w:val="21"/>
                <w:szCs w:val="21"/>
              </w:rPr>
              <w:t>158</w:t>
            </w:r>
          </w:p>
        </w:tc>
        <w:tc>
          <w:tcPr>
            <w:tcW w:w="576" w:type="dxa"/>
          </w:tcPr>
          <w:p w14:paraId="3B49969D" w14:textId="77777777" w:rsidR="00D37E6A" w:rsidRPr="00D37E6A" w:rsidRDefault="00D37E6A" w:rsidP="0021373E">
            <w:pPr>
              <w:jc w:val="center"/>
              <w:rPr>
                <w:rFonts w:ascii="Arial" w:hAnsi="Arial" w:cs="Arial"/>
                <w:sz w:val="21"/>
                <w:szCs w:val="21"/>
              </w:rPr>
            </w:pPr>
            <w:r>
              <w:rPr>
                <w:rFonts w:ascii="Arial" w:hAnsi="Arial"/>
                <w:sz w:val="21"/>
                <w:szCs w:val="21"/>
              </w:rPr>
              <w:t>255</w:t>
            </w:r>
          </w:p>
        </w:tc>
      </w:tr>
      <w:tr w:rsidR="00D37E6A" w:rsidRPr="00D37E6A" w14:paraId="019FE8FB" w14:textId="77777777" w:rsidTr="00D37E6A">
        <w:trPr>
          <w:gridAfter w:val="1"/>
          <w:wAfter w:w="10" w:type="dxa"/>
          <w:trHeight w:val="466"/>
        </w:trPr>
        <w:tc>
          <w:tcPr>
            <w:tcW w:w="1560" w:type="dxa"/>
          </w:tcPr>
          <w:p w14:paraId="298B9924" w14:textId="77777777" w:rsidR="00D37E6A" w:rsidRPr="00D37E6A" w:rsidRDefault="00D37E6A" w:rsidP="0021373E">
            <w:pPr>
              <w:rPr>
                <w:rFonts w:ascii="Arial" w:hAnsi="Arial" w:cs="Arial"/>
                <w:sz w:val="21"/>
                <w:szCs w:val="21"/>
              </w:rPr>
            </w:pPr>
            <w:r>
              <w:rPr>
                <w:rFonts w:ascii="Arial" w:hAnsi="Arial"/>
                <w:sz w:val="21"/>
                <w:szCs w:val="21"/>
              </w:rPr>
              <w:t>Basic courts</w:t>
            </w:r>
          </w:p>
        </w:tc>
        <w:tc>
          <w:tcPr>
            <w:tcW w:w="1701" w:type="dxa"/>
          </w:tcPr>
          <w:p w14:paraId="6B7ECB4C" w14:textId="77777777" w:rsidR="00D37E6A" w:rsidRPr="00D37E6A" w:rsidRDefault="00D37E6A" w:rsidP="0021373E">
            <w:pPr>
              <w:rPr>
                <w:rFonts w:ascii="Arial" w:hAnsi="Arial" w:cs="Arial"/>
                <w:sz w:val="21"/>
                <w:szCs w:val="21"/>
              </w:rPr>
            </w:pPr>
          </w:p>
        </w:tc>
        <w:tc>
          <w:tcPr>
            <w:tcW w:w="1414" w:type="dxa"/>
          </w:tcPr>
          <w:p w14:paraId="7A4A1EEA" w14:textId="77777777" w:rsidR="00D37E6A" w:rsidRPr="00D37E6A" w:rsidRDefault="00D37E6A" w:rsidP="0021373E">
            <w:pPr>
              <w:rPr>
                <w:rFonts w:ascii="Arial" w:hAnsi="Arial" w:cs="Arial"/>
                <w:sz w:val="21"/>
                <w:szCs w:val="21"/>
              </w:rPr>
            </w:pPr>
            <w:r>
              <w:rPr>
                <w:rFonts w:ascii="Arial" w:hAnsi="Arial"/>
                <w:sz w:val="21"/>
                <w:szCs w:val="21"/>
              </w:rPr>
              <w:t>217</w:t>
            </w:r>
          </w:p>
        </w:tc>
        <w:tc>
          <w:tcPr>
            <w:tcW w:w="1296" w:type="dxa"/>
          </w:tcPr>
          <w:p w14:paraId="0890DE0A" w14:textId="77777777" w:rsidR="00D37E6A" w:rsidRPr="00D37E6A" w:rsidRDefault="00D37E6A" w:rsidP="0021373E">
            <w:pPr>
              <w:rPr>
                <w:rFonts w:ascii="Arial" w:hAnsi="Arial" w:cs="Arial"/>
                <w:sz w:val="21"/>
                <w:szCs w:val="21"/>
              </w:rPr>
            </w:pPr>
            <w:r>
              <w:rPr>
                <w:rFonts w:ascii="Arial" w:hAnsi="Arial"/>
                <w:sz w:val="21"/>
                <w:szCs w:val="21"/>
              </w:rPr>
              <w:t>191</w:t>
            </w:r>
          </w:p>
        </w:tc>
        <w:tc>
          <w:tcPr>
            <w:tcW w:w="576" w:type="dxa"/>
          </w:tcPr>
          <w:p w14:paraId="38A2CFD1" w14:textId="77777777" w:rsidR="00D37E6A" w:rsidRPr="00D37E6A" w:rsidRDefault="00D37E6A" w:rsidP="0021373E">
            <w:pPr>
              <w:jc w:val="center"/>
              <w:rPr>
                <w:rFonts w:ascii="Arial" w:hAnsi="Arial" w:cs="Arial"/>
                <w:sz w:val="21"/>
                <w:szCs w:val="21"/>
              </w:rPr>
            </w:pPr>
            <w:r>
              <w:rPr>
                <w:rFonts w:ascii="Arial" w:hAnsi="Arial"/>
                <w:sz w:val="21"/>
                <w:szCs w:val="21"/>
              </w:rPr>
              <w:t>42</w:t>
            </w:r>
          </w:p>
        </w:tc>
        <w:tc>
          <w:tcPr>
            <w:tcW w:w="576" w:type="dxa"/>
          </w:tcPr>
          <w:p w14:paraId="590B68E1" w14:textId="77777777" w:rsidR="00D37E6A" w:rsidRPr="00D37E6A" w:rsidRDefault="00D37E6A" w:rsidP="0021373E">
            <w:pPr>
              <w:jc w:val="center"/>
              <w:rPr>
                <w:rFonts w:ascii="Arial" w:hAnsi="Arial" w:cs="Arial"/>
                <w:sz w:val="21"/>
                <w:szCs w:val="21"/>
              </w:rPr>
            </w:pPr>
            <w:r>
              <w:rPr>
                <w:rFonts w:ascii="Arial" w:hAnsi="Arial"/>
                <w:sz w:val="21"/>
                <w:szCs w:val="21"/>
              </w:rPr>
              <w:t>13</w:t>
            </w:r>
          </w:p>
        </w:tc>
        <w:tc>
          <w:tcPr>
            <w:tcW w:w="579" w:type="dxa"/>
            <w:gridSpan w:val="2"/>
          </w:tcPr>
          <w:p w14:paraId="25C3656B" w14:textId="77777777" w:rsidR="00D37E6A" w:rsidRPr="00D37E6A" w:rsidRDefault="00D37E6A" w:rsidP="0021373E">
            <w:pPr>
              <w:jc w:val="center"/>
              <w:rPr>
                <w:rFonts w:ascii="Arial" w:hAnsi="Arial" w:cs="Arial"/>
                <w:sz w:val="21"/>
                <w:szCs w:val="21"/>
              </w:rPr>
            </w:pPr>
            <w:r>
              <w:rPr>
                <w:rFonts w:ascii="Arial" w:hAnsi="Arial"/>
                <w:sz w:val="21"/>
                <w:szCs w:val="21"/>
              </w:rPr>
              <w:t>124</w:t>
            </w:r>
          </w:p>
        </w:tc>
        <w:tc>
          <w:tcPr>
            <w:tcW w:w="486" w:type="dxa"/>
          </w:tcPr>
          <w:p w14:paraId="54168001" w14:textId="77777777" w:rsidR="00D37E6A" w:rsidRPr="00D37E6A" w:rsidRDefault="00D37E6A" w:rsidP="0021373E">
            <w:pPr>
              <w:jc w:val="center"/>
              <w:rPr>
                <w:rFonts w:ascii="Arial" w:hAnsi="Arial" w:cs="Arial"/>
                <w:sz w:val="21"/>
                <w:szCs w:val="21"/>
              </w:rPr>
            </w:pPr>
            <w:r>
              <w:rPr>
                <w:rFonts w:ascii="Arial" w:hAnsi="Arial"/>
                <w:sz w:val="21"/>
                <w:szCs w:val="21"/>
              </w:rPr>
              <w:t>12</w:t>
            </w:r>
          </w:p>
        </w:tc>
        <w:tc>
          <w:tcPr>
            <w:tcW w:w="577" w:type="dxa"/>
            <w:gridSpan w:val="2"/>
          </w:tcPr>
          <w:p w14:paraId="7E3980CC" w14:textId="77777777" w:rsidR="00D37E6A" w:rsidRPr="00D37E6A" w:rsidRDefault="00D37E6A" w:rsidP="0021373E">
            <w:pPr>
              <w:jc w:val="center"/>
              <w:rPr>
                <w:rFonts w:ascii="Arial" w:hAnsi="Arial" w:cs="Arial"/>
                <w:sz w:val="21"/>
                <w:szCs w:val="21"/>
              </w:rPr>
            </w:pPr>
            <w:r>
              <w:rPr>
                <w:rFonts w:ascii="Arial" w:hAnsi="Arial"/>
                <w:sz w:val="21"/>
                <w:szCs w:val="21"/>
              </w:rPr>
              <w:t>70</w:t>
            </w:r>
          </w:p>
        </w:tc>
        <w:tc>
          <w:tcPr>
            <w:tcW w:w="576" w:type="dxa"/>
          </w:tcPr>
          <w:p w14:paraId="7F0F1B86" w14:textId="77777777" w:rsidR="00D37E6A" w:rsidRPr="00D37E6A" w:rsidRDefault="00D37E6A" w:rsidP="0021373E">
            <w:pPr>
              <w:jc w:val="center"/>
              <w:rPr>
                <w:rFonts w:ascii="Arial" w:hAnsi="Arial" w:cs="Arial"/>
                <w:sz w:val="21"/>
                <w:szCs w:val="21"/>
              </w:rPr>
            </w:pPr>
            <w:r>
              <w:rPr>
                <w:rFonts w:ascii="Arial" w:hAnsi="Arial"/>
                <w:sz w:val="21"/>
                <w:szCs w:val="21"/>
              </w:rPr>
              <w:t>121</w:t>
            </w:r>
          </w:p>
        </w:tc>
      </w:tr>
      <w:tr w:rsidR="00D37E6A" w:rsidRPr="00D37E6A" w14:paraId="66F8EBBB" w14:textId="77777777" w:rsidTr="00D37E6A">
        <w:trPr>
          <w:gridAfter w:val="1"/>
          <w:wAfter w:w="10" w:type="dxa"/>
        </w:trPr>
        <w:tc>
          <w:tcPr>
            <w:tcW w:w="1560" w:type="dxa"/>
          </w:tcPr>
          <w:p w14:paraId="6EB99E0D" w14:textId="77777777" w:rsidR="00D37E6A" w:rsidRPr="00D37E6A" w:rsidRDefault="00D37E6A" w:rsidP="0021373E">
            <w:pPr>
              <w:rPr>
                <w:rFonts w:ascii="Arial" w:hAnsi="Arial" w:cs="Arial"/>
                <w:sz w:val="21"/>
                <w:szCs w:val="21"/>
              </w:rPr>
            </w:pPr>
            <w:r>
              <w:rPr>
                <w:rFonts w:ascii="Arial" w:hAnsi="Arial"/>
                <w:sz w:val="21"/>
                <w:szCs w:val="21"/>
              </w:rPr>
              <w:t>Basic Court of the Brcko District</w:t>
            </w:r>
          </w:p>
        </w:tc>
        <w:tc>
          <w:tcPr>
            <w:tcW w:w="1701" w:type="dxa"/>
          </w:tcPr>
          <w:p w14:paraId="61F153C1" w14:textId="77777777" w:rsidR="00D37E6A" w:rsidRPr="00D37E6A" w:rsidRDefault="00D37E6A" w:rsidP="0021373E">
            <w:pPr>
              <w:rPr>
                <w:rFonts w:ascii="Arial" w:hAnsi="Arial" w:cs="Arial"/>
                <w:sz w:val="21"/>
                <w:szCs w:val="21"/>
              </w:rPr>
            </w:pPr>
          </w:p>
        </w:tc>
        <w:tc>
          <w:tcPr>
            <w:tcW w:w="1414" w:type="dxa"/>
          </w:tcPr>
          <w:p w14:paraId="0227023C" w14:textId="77777777" w:rsidR="00D37E6A" w:rsidRPr="00D37E6A" w:rsidRDefault="00D37E6A" w:rsidP="0021373E">
            <w:pPr>
              <w:rPr>
                <w:rFonts w:ascii="Arial" w:hAnsi="Arial" w:cs="Arial"/>
                <w:sz w:val="21"/>
                <w:szCs w:val="21"/>
              </w:rPr>
            </w:pPr>
            <w:r>
              <w:rPr>
                <w:rFonts w:ascii="Arial" w:hAnsi="Arial"/>
                <w:sz w:val="21"/>
                <w:szCs w:val="21"/>
              </w:rPr>
              <w:t>20</w:t>
            </w:r>
          </w:p>
        </w:tc>
        <w:tc>
          <w:tcPr>
            <w:tcW w:w="1296" w:type="dxa"/>
          </w:tcPr>
          <w:p w14:paraId="2D8D7996" w14:textId="77777777" w:rsidR="00D37E6A" w:rsidRPr="00D37E6A" w:rsidRDefault="00D37E6A" w:rsidP="0021373E">
            <w:pPr>
              <w:rPr>
                <w:rFonts w:ascii="Arial" w:hAnsi="Arial" w:cs="Arial"/>
                <w:sz w:val="21"/>
                <w:szCs w:val="21"/>
              </w:rPr>
            </w:pPr>
            <w:r>
              <w:rPr>
                <w:rFonts w:ascii="Arial" w:hAnsi="Arial"/>
                <w:sz w:val="21"/>
                <w:szCs w:val="21"/>
              </w:rPr>
              <w:t>20</w:t>
            </w:r>
          </w:p>
        </w:tc>
        <w:tc>
          <w:tcPr>
            <w:tcW w:w="576" w:type="dxa"/>
          </w:tcPr>
          <w:p w14:paraId="277E3568" w14:textId="77777777" w:rsidR="00D37E6A" w:rsidRPr="00D37E6A" w:rsidRDefault="00D37E6A" w:rsidP="0021373E">
            <w:pPr>
              <w:jc w:val="center"/>
              <w:rPr>
                <w:rFonts w:ascii="Arial" w:hAnsi="Arial" w:cs="Arial"/>
                <w:sz w:val="21"/>
                <w:szCs w:val="21"/>
              </w:rPr>
            </w:pPr>
            <w:r>
              <w:rPr>
                <w:rFonts w:ascii="Arial" w:hAnsi="Arial"/>
                <w:sz w:val="21"/>
                <w:szCs w:val="21"/>
              </w:rPr>
              <w:t>8</w:t>
            </w:r>
          </w:p>
        </w:tc>
        <w:tc>
          <w:tcPr>
            <w:tcW w:w="576" w:type="dxa"/>
          </w:tcPr>
          <w:p w14:paraId="2FD38CF5"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9" w:type="dxa"/>
            <w:gridSpan w:val="2"/>
          </w:tcPr>
          <w:p w14:paraId="61D352FE" w14:textId="77777777" w:rsidR="00D37E6A" w:rsidRPr="00D37E6A" w:rsidRDefault="00D37E6A" w:rsidP="0021373E">
            <w:pPr>
              <w:jc w:val="center"/>
              <w:rPr>
                <w:rFonts w:ascii="Arial" w:hAnsi="Arial" w:cs="Arial"/>
                <w:sz w:val="21"/>
                <w:szCs w:val="21"/>
              </w:rPr>
            </w:pPr>
            <w:r>
              <w:rPr>
                <w:rFonts w:ascii="Arial" w:hAnsi="Arial"/>
                <w:sz w:val="21"/>
                <w:szCs w:val="21"/>
              </w:rPr>
              <w:t>7</w:t>
            </w:r>
          </w:p>
        </w:tc>
        <w:tc>
          <w:tcPr>
            <w:tcW w:w="486" w:type="dxa"/>
          </w:tcPr>
          <w:p w14:paraId="0323B8C3" w14:textId="77777777" w:rsidR="00D37E6A" w:rsidRPr="00D37E6A" w:rsidRDefault="00D37E6A" w:rsidP="0021373E">
            <w:pPr>
              <w:jc w:val="center"/>
              <w:rPr>
                <w:rFonts w:ascii="Arial" w:hAnsi="Arial" w:cs="Arial"/>
                <w:sz w:val="21"/>
                <w:szCs w:val="21"/>
              </w:rPr>
            </w:pPr>
            <w:r>
              <w:rPr>
                <w:rFonts w:ascii="Arial" w:hAnsi="Arial"/>
                <w:sz w:val="21"/>
                <w:szCs w:val="21"/>
              </w:rPr>
              <w:t>2</w:t>
            </w:r>
          </w:p>
        </w:tc>
        <w:tc>
          <w:tcPr>
            <w:tcW w:w="577" w:type="dxa"/>
            <w:gridSpan w:val="2"/>
          </w:tcPr>
          <w:p w14:paraId="0C73C631" w14:textId="77777777" w:rsidR="00D37E6A" w:rsidRPr="00D37E6A" w:rsidRDefault="00D37E6A" w:rsidP="0021373E">
            <w:pPr>
              <w:jc w:val="center"/>
              <w:rPr>
                <w:rFonts w:ascii="Arial" w:hAnsi="Arial" w:cs="Arial"/>
                <w:sz w:val="21"/>
                <w:szCs w:val="21"/>
              </w:rPr>
            </w:pPr>
            <w:r>
              <w:rPr>
                <w:rFonts w:ascii="Arial" w:hAnsi="Arial"/>
                <w:sz w:val="21"/>
                <w:szCs w:val="21"/>
              </w:rPr>
              <w:t>11</w:t>
            </w:r>
          </w:p>
        </w:tc>
        <w:tc>
          <w:tcPr>
            <w:tcW w:w="576" w:type="dxa"/>
          </w:tcPr>
          <w:p w14:paraId="508705DE" w14:textId="77777777" w:rsidR="00D37E6A" w:rsidRPr="00D37E6A" w:rsidRDefault="00D37E6A" w:rsidP="0021373E">
            <w:pPr>
              <w:jc w:val="center"/>
              <w:rPr>
                <w:rFonts w:ascii="Arial" w:hAnsi="Arial" w:cs="Arial"/>
                <w:sz w:val="21"/>
                <w:szCs w:val="21"/>
              </w:rPr>
            </w:pPr>
            <w:r>
              <w:rPr>
                <w:rFonts w:ascii="Arial" w:hAnsi="Arial"/>
                <w:sz w:val="21"/>
                <w:szCs w:val="21"/>
              </w:rPr>
              <w:t>9</w:t>
            </w:r>
          </w:p>
        </w:tc>
      </w:tr>
      <w:tr w:rsidR="00D37E6A" w:rsidRPr="00D37E6A" w14:paraId="5019E509" w14:textId="77777777" w:rsidTr="00D37E6A">
        <w:trPr>
          <w:gridAfter w:val="1"/>
          <w:wAfter w:w="10" w:type="dxa"/>
          <w:trHeight w:val="798"/>
        </w:trPr>
        <w:tc>
          <w:tcPr>
            <w:tcW w:w="1560" w:type="dxa"/>
          </w:tcPr>
          <w:p w14:paraId="76784A89" w14:textId="77777777" w:rsidR="00D37E6A" w:rsidRPr="00D37E6A" w:rsidRDefault="00693D1B" w:rsidP="0021373E">
            <w:pPr>
              <w:rPr>
                <w:rFonts w:ascii="Arial" w:hAnsi="Arial" w:cs="Arial"/>
                <w:sz w:val="21"/>
                <w:szCs w:val="21"/>
              </w:rPr>
            </w:pPr>
            <w:r>
              <w:rPr>
                <w:rFonts w:ascii="Arial" w:hAnsi="Arial"/>
                <w:sz w:val="21"/>
                <w:szCs w:val="21"/>
              </w:rPr>
              <w:t>The Prosecutors Office of the Brcko District BiH</w:t>
            </w:r>
          </w:p>
        </w:tc>
        <w:tc>
          <w:tcPr>
            <w:tcW w:w="1701" w:type="dxa"/>
          </w:tcPr>
          <w:p w14:paraId="7FD04F4B" w14:textId="77777777" w:rsidR="00D37E6A" w:rsidRPr="00D37E6A" w:rsidRDefault="00D37E6A" w:rsidP="0021373E">
            <w:pPr>
              <w:rPr>
                <w:rFonts w:ascii="Arial" w:hAnsi="Arial" w:cs="Arial"/>
                <w:sz w:val="21"/>
                <w:szCs w:val="21"/>
              </w:rPr>
            </w:pPr>
          </w:p>
        </w:tc>
        <w:tc>
          <w:tcPr>
            <w:tcW w:w="1414" w:type="dxa"/>
          </w:tcPr>
          <w:p w14:paraId="757EF53E" w14:textId="77777777" w:rsidR="00D37E6A" w:rsidRPr="00D37E6A" w:rsidRDefault="00D37E6A" w:rsidP="0021373E">
            <w:pPr>
              <w:rPr>
                <w:rFonts w:ascii="Arial" w:hAnsi="Arial" w:cs="Arial"/>
                <w:sz w:val="21"/>
                <w:szCs w:val="21"/>
              </w:rPr>
            </w:pPr>
            <w:r>
              <w:rPr>
                <w:rFonts w:ascii="Arial" w:hAnsi="Arial"/>
                <w:sz w:val="21"/>
                <w:szCs w:val="21"/>
              </w:rPr>
              <w:t>9</w:t>
            </w:r>
          </w:p>
        </w:tc>
        <w:tc>
          <w:tcPr>
            <w:tcW w:w="1296" w:type="dxa"/>
          </w:tcPr>
          <w:p w14:paraId="22933540" w14:textId="77777777" w:rsidR="00D37E6A" w:rsidRPr="00D37E6A" w:rsidRDefault="00D37E6A" w:rsidP="0021373E">
            <w:pPr>
              <w:rPr>
                <w:rFonts w:ascii="Arial" w:hAnsi="Arial" w:cs="Arial"/>
                <w:sz w:val="21"/>
                <w:szCs w:val="21"/>
              </w:rPr>
            </w:pPr>
            <w:r>
              <w:rPr>
                <w:rFonts w:ascii="Arial" w:hAnsi="Arial"/>
                <w:sz w:val="21"/>
                <w:szCs w:val="21"/>
              </w:rPr>
              <w:t>8</w:t>
            </w:r>
          </w:p>
        </w:tc>
        <w:tc>
          <w:tcPr>
            <w:tcW w:w="576" w:type="dxa"/>
          </w:tcPr>
          <w:p w14:paraId="046E971E"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576" w:type="dxa"/>
          </w:tcPr>
          <w:p w14:paraId="21A81C96" w14:textId="77777777" w:rsidR="00D37E6A" w:rsidRPr="00D37E6A" w:rsidRDefault="00D37E6A" w:rsidP="0021373E">
            <w:pPr>
              <w:jc w:val="center"/>
              <w:rPr>
                <w:rFonts w:ascii="Arial" w:hAnsi="Arial" w:cs="Arial"/>
                <w:sz w:val="21"/>
                <w:szCs w:val="21"/>
              </w:rPr>
            </w:pPr>
            <w:r>
              <w:rPr>
                <w:rFonts w:ascii="Arial" w:hAnsi="Arial"/>
                <w:sz w:val="21"/>
                <w:szCs w:val="21"/>
              </w:rPr>
              <w:t>2</w:t>
            </w:r>
          </w:p>
        </w:tc>
        <w:tc>
          <w:tcPr>
            <w:tcW w:w="579" w:type="dxa"/>
            <w:gridSpan w:val="2"/>
          </w:tcPr>
          <w:p w14:paraId="495D734B"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486" w:type="dxa"/>
          </w:tcPr>
          <w:p w14:paraId="211CE50E" w14:textId="77777777" w:rsidR="00D37E6A" w:rsidRPr="00D37E6A" w:rsidRDefault="00D37E6A" w:rsidP="0021373E">
            <w:pPr>
              <w:jc w:val="center"/>
              <w:rPr>
                <w:rFonts w:ascii="Arial" w:hAnsi="Arial" w:cs="Arial"/>
                <w:sz w:val="21"/>
                <w:szCs w:val="21"/>
              </w:rPr>
            </w:pPr>
            <w:r>
              <w:rPr>
                <w:rFonts w:ascii="Arial" w:hAnsi="Arial"/>
                <w:sz w:val="21"/>
                <w:szCs w:val="21"/>
              </w:rPr>
              <w:t>0</w:t>
            </w:r>
          </w:p>
        </w:tc>
        <w:tc>
          <w:tcPr>
            <w:tcW w:w="577" w:type="dxa"/>
            <w:gridSpan w:val="2"/>
          </w:tcPr>
          <w:p w14:paraId="6C8C17A2" w14:textId="77777777" w:rsidR="00D37E6A" w:rsidRPr="00D37E6A" w:rsidRDefault="00D37E6A" w:rsidP="0021373E">
            <w:pPr>
              <w:jc w:val="center"/>
              <w:rPr>
                <w:rFonts w:ascii="Arial" w:hAnsi="Arial" w:cs="Arial"/>
                <w:sz w:val="21"/>
                <w:szCs w:val="21"/>
              </w:rPr>
            </w:pPr>
            <w:r>
              <w:rPr>
                <w:rFonts w:ascii="Arial" w:hAnsi="Arial"/>
                <w:sz w:val="21"/>
                <w:szCs w:val="21"/>
              </w:rPr>
              <w:t>4</w:t>
            </w:r>
          </w:p>
        </w:tc>
        <w:tc>
          <w:tcPr>
            <w:tcW w:w="576" w:type="dxa"/>
          </w:tcPr>
          <w:p w14:paraId="5573A1FA" w14:textId="77777777" w:rsidR="00D37E6A" w:rsidRPr="00D37E6A" w:rsidRDefault="00D37E6A" w:rsidP="0021373E">
            <w:pPr>
              <w:jc w:val="center"/>
              <w:rPr>
                <w:rFonts w:ascii="Arial" w:hAnsi="Arial" w:cs="Arial"/>
                <w:sz w:val="21"/>
                <w:szCs w:val="21"/>
              </w:rPr>
            </w:pPr>
            <w:r>
              <w:rPr>
                <w:rFonts w:ascii="Arial" w:hAnsi="Arial"/>
                <w:sz w:val="21"/>
                <w:szCs w:val="21"/>
              </w:rPr>
              <w:t>4</w:t>
            </w:r>
          </w:p>
        </w:tc>
      </w:tr>
      <w:tr w:rsidR="00D37E6A" w:rsidRPr="00D37E6A" w14:paraId="3A1DEF10" w14:textId="77777777" w:rsidTr="00D37E6A">
        <w:trPr>
          <w:gridAfter w:val="1"/>
          <w:wAfter w:w="10" w:type="dxa"/>
          <w:trHeight w:val="696"/>
        </w:trPr>
        <w:tc>
          <w:tcPr>
            <w:tcW w:w="1560" w:type="dxa"/>
          </w:tcPr>
          <w:p w14:paraId="0C7475B8" w14:textId="77777777" w:rsidR="00D37E6A" w:rsidRPr="00D37E6A" w:rsidRDefault="00D37E6A" w:rsidP="0021373E">
            <w:pPr>
              <w:rPr>
                <w:rFonts w:ascii="Arial" w:hAnsi="Arial" w:cs="Arial"/>
                <w:sz w:val="21"/>
                <w:szCs w:val="21"/>
              </w:rPr>
            </w:pPr>
            <w:r>
              <w:rPr>
                <w:rFonts w:ascii="Arial" w:hAnsi="Arial"/>
                <w:sz w:val="21"/>
                <w:szCs w:val="21"/>
              </w:rPr>
              <w:t>Appellate Court</w:t>
            </w:r>
          </w:p>
        </w:tc>
        <w:tc>
          <w:tcPr>
            <w:tcW w:w="1701" w:type="dxa"/>
          </w:tcPr>
          <w:p w14:paraId="6AD4D973" w14:textId="77777777" w:rsidR="00D37E6A" w:rsidRPr="00D37E6A" w:rsidRDefault="00D37E6A" w:rsidP="0021373E">
            <w:pPr>
              <w:rPr>
                <w:rFonts w:ascii="Arial" w:hAnsi="Arial" w:cs="Arial"/>
                <w:sz w:val="21"/>
                <w:szCs w:val="21"/>
              </w:rPr>
            </w:pPr>
          </w:p>
        </w:tc>
        <w:tc>
          <w:tcPr>
            <w:tcW w:w="1414" w:type="dxa"/>
          </w:tcPr>
          <w:p w14:paraId="02A7072B" w14:textId="77777777" w:rsidR="00D37E6A" w:rsidRPr="00D37E6A" w:rsidRDefault="00D37E6A" w:rsidP="0021373E">
            <w:pPr>
              <w:rPr>
                <w:rFonts w:ascii="Arial" w:hAnsi="Arial" w:cs="Arial"/>
                <w:sz w:val="21"/>
                <w:szCs w:val="21"/>
              </w:rPr>
            </w:pPr>
            <w:r>
              <w:rPr>
                <w:rFonts w:ascii="Arial" w:hAnsi="Arial"/>
                <w:sz w:val="21"/>
                <w:szCs w:val="21"/>
              </w:rPr>
              <w:t>8</w:t>
            </w:r>
          </w:p>
        </w:tc>
        <w:tc>
          <w:tcPr>
            <w:tcW w:w="1296" w:type="dxa"/>
          </w:tcPr>
          <w:p w14:paraId="5CCAAFCC" w14:textId="77777777" w:rsidR="00D37E6A" w:rsidRPr="00D37E6A" w:rsidRDefault="00D37E6A" w:rsidP="0021373E">
            <w:pPr>
              <w:rPr>
                <w:rFonts w:ascii="Arial" w:hAnsi="Arial" w:cs="Arial"/>
                <w:sz w:val="21"/>
                <w:szCs w:val="21"/>
              </w:rPr>
            </w:pPr>
            <w:r>
              <w:rPr>
                <w:rFonts w:ascii="Arial" w:hAnsi="Arial"/>
                <w:sz w:val="21"/>
                <w:szCs w:val="21"/>
              </w:rPr>
              <w:t>6</w:t>
            </w:r>
          </w:p>
        </w:tc>
        <w:tc>
          <w:tcPr>
            <w:tcW w:w="576" w:type="dxa"/>
          </w:tcPr>
          <w:p w14:paraId="66C70145" w14:textId="77777777" w:rsidR="00D37E6A" w:rsidRPr="00D37E6A" w:rsidRDefault="00D37E6A" w:rsidP="0021373E">
            <w:pPr>
              <w:jc w:val="center"/>
              <w:rPr>
                <w:rFonts w:ascii="Arial" w:hAnsi="Arial" w:cs="Arial"/>
                <w:sz w:val="21"/>
                <w:szCs w:val="21"/>
              </w:rPr>
            </w:pPr>
            <w:r>
              <w:rPr>
                <w:rFonts w:ascii="Arial" w:hAnsi="Arial"/>
                <w:sz w:val="21"/>
                <w:szCs w:val="21"/>
              </w:rPr>
              <w:t>2</w:t>
            </w:r>
          </w:p>
        </w:tc>
        <w:tc>
          <w:tcPr>
            <w:tcW w:w="576" w:type="dxa"/>
          </w:tcPr>
          <w:p w14:paraId="7B88B4F1" w14:textId="77777777" w:rsidR="00D37E6A" w:rsidRPr="00D37E6A" w:rsidRDefault="00D37E6A" w:rsidP="0021373E">
            <w:pPr>
              <w:jc w:val="center"/>
              <w:rPr>
                <w:rFonts w:ascii="Arial" w:hAnsi="Arial" w:cs="Arial"/>
                <w:sz w:val="21"/>
                <w:szCs w:val="21"/>
              </w:rPr>
            </w:pPr>
            <w:r>
              <w:rPr>
                <w:rFonts w:ascii="Arial" w:hAnsi="Arial"/>
                <w:sz w:val="21"/>
                <w:szCs w:val="21"/>
              </w:rPr>
              <w:t>1</w:t>
            </w:r>
          </w:p>
        </w:tc>
        <w:tc>
          <w:tcPr>
            <w:tcW w:w="579" w:type="dxa"/>
            <w:gridSpan w:val="2"/>
          </w:tcPr>
          <w:p w14:paraId="46926B93" w14:textId="77777777" w:rsidR="00D37E6A" w:rsidRPr="00D37E6A" w:rsidRDefault="00D37E6A" w:rsidP="0021373E">
            <w:pPr>
              <w:jc w:val="center"/>
              <w:rPr>
                <w:rFonts w:ascii="Arial" w:hAnsi="Arial" w:cs="Arial"/>
                <w:sz w:val="21"/>
                <w:szCs w:val="21"/>
              </w:rPr>
            </w:pPr>
            <w:r>
              <w:rPr>
                <w:rFonts w:ascii="Arial" w:hAnsi="Arial"/>
                <w:sz w:val="21"/>
                <w:szCs w:val="21"/>
              </w:rPr>
              <w:t>3</w:t>
            </w:r>
          </w:p>
        </w:tc>
        <w:tc>
          <w:tcPr>
            <w:tcW w:w="486" w:type="dxa"/>
          </w:tcPr>
          <w:p w14:paraId="7A35C123" w14:textId="77777777" w:rsidR="00D37E6A" w:rsidRPr="00D37E6A" w:rsidRDefault="00D37E6A" w:rsidP="0021373E">
            <w:pPr>
              <w:jc w:val="center"/>
              <w:rPr>
                <w:rFonts w:ascii="Arial" w:hAnsi="Arial" w:cs="Arial"/>
                <w:sz w:val="21"/>
                <w:szCs w:val="21"/>
              </w:rPr>
            </w:pPr>
            <w:r>
              <w:rPr>
                <w:rFonts w:ascii="Arial" w:hAnsi="Arial"/>
                <w:sz w:val="21"/>
                <w:szCs w:val="21"/>
              </w:rPr>
              <w:t>0</w:t>
            </w:r>
          </w:p>
        </w:tc>
        <w:tc>
          <w:tcPr>
            <w:tcW w:w="577" w:type="dxa"/>
            <w:gridSpan w:val="2"/>
          </w:tcPr>
          <w:p w14:paraId="7B3F5AA4" w14:textId="77777777" w:rsidR="00D37E6A" w:rsidRPr="00D37E6A" w:rsidRDefault="00D37E6A" w:rsidP="0021373E">
            <w:pPr>
              <w:jc w:val="center"/>
              <w:rPr>
                <w:rFonts w:ascii="Arial" w:hAnsi="Arial" w:cs="Arial"/>
                <w:sz w:val="21"/>
                <w:szCs w:val="21"/>
              </w:rPr>
            </w:pPr>
            <w:r>
              <w:rPr>
                <w:rFonts w:ascii="Arial" w:hAnsi="Arial"/>
                <w:sz w:val="21"/>
                <w:szCs w:val="21"/>
              </w:rPr>
              <w:t>4</w:t>
            </w:r>
          </w:p>
        </w:tc>
        <w:tc>
          <w:tcPr>
            <w:tcW w:w="576" w:type="dxa"/>
          </w:tcPr>
          <w:p w14:paraId="48853A64" w14:textId="77777777" w:rsidR="00D37E6A" w:rsidRPr="00D37E6A" w:rsidRDefault="00D37E6A" w:rsidP="0021373E">
            <w:pPr>
              <w:jc w:val="center"/>
              <w:rPr>
                <w:rFonts w:ascii="Arial" w:hAnsi="Arial" w:cs="Arial"/>
                <w:sz w:val="21"/>
                <w:szCs w:val="21"/>
              </w:rPr>
            </w:pPr>
            <w:r>
              <w:rPr>
                <w:rFonts w:ascii="Arial" w:hAnsi="Arial"/>
                <w:sz w:val="21"/>
                <w:szCs w:val="21"/>
              </w:rPr>
              <w:t>2</w:t>
            </w:r>
          </w:p>
        </w:tc>
      </w:tr>
      <w:tr w:rsidR="00D37E6A" w:rsidRPr="00D37E6A" w14:paraId="2F0C1BC1" w14:textId="77777777" w:rsidTr="00D37E6A">
        <w:trPr>
          <w:gridAfter w:val="1"/>
          <w:wAfter w:w="10" w:type="dxa"/>
          <w:trHeight w:val="564"/>
        </w:trPr>
        <w:tc>
          <w:tcPr>
            <w:tcW w:w="1560" w:type="dxa"/>
          </w:tcPr>
          <w:p w14:paraId="2968FF66" w14:textId="77777777" w:rsidR="00D37E6A" w:rsidRPr="00D37E6A" w:rsidRDefault="00D37E6A" w:rsidP="0021373E">
            <w:pPr>
              <w:rPr>
                <w:rFonts w:ascii="Arial" w:hAnsi="Arial" w:cs="Arial"/>
                <w:sz w:val="21"/>
                <w:szCs w:val="21"/>
              </w:rPr>
            </w:pPr>
            <w:r>
              <w:rPr>
                <w:rFonts w:ascii="Arial" w:hAnsi="Arial"/>
                <w:sz w:val="21"/>
                <w:szCs w:val="21"/>
              </w:rPr>
              <w:t>TOTAL</w:t>
            </w:r>
          </w:p>
        </w:tc>
        <w:tc>
          <w:tcPr>
            <w:tcW w:w="1701" w:type="dxa"/>
          </w:tcPr>
          <w:p w14:paraId="3C1AA394" w14:textId="77777777" w:rsidR="00D37E6A" w:rsidRPr="00D37E6A" w:rsidRDefault="00D37E6A" w:rsidP="0021373E">
            <w:pPr>
              <w:rPr>
                <w:rFonts w:ascii="Arial" w:hAnsi="Arial" w:cs="Arial"/>
                <w:sz w:val="21"/>
                <w:szCs w:val="21"/>
              </w:rPr>
            </w:pPr>
          </w:p>
        </w:tc>
        <w:tc>
          <w:tcPr>
            <w:tcW w:w="1414" w:type="dxa"/>
          </w:tcPr>
          <w:p w14:paraId="65022F18" w14:textId="77777777" w:rsidR="00D37E6A" w:rsidRPr="00D37E6A" w:rsidRDefault="00D37E6A" w:rsidP="0021373E">
            <w:pPr>
              <w:rPr>
                <w:rFonts w:ascii="Arial" w:hAnsi="Arial" w:cs="Arial"/>
                <w:sz w:val="21"/>
                <w:szCs w:val="21"/>
              </w:rPr>
            </w:pPr>
            <w:r>
              <w:rPr>
                <w:rFonts w:ascii="Arial" w:hAnsi="Arial"/>
                <w:sz w:val="21"/>
                <w:szCs w:val="21"/>
              </w:rPr>
              <w:t xml:space="preserve">1566 </w:t>
            </w:r>
          </w:p>
        </w:tc>
        <w:tc>
          <w:tcPr>
            <w:tcW w:w="1296" w:type="dxa"/>
          </w:tcPr>
          <w:p w14:paraId="1FD58CC1" w14:textId="77777777" w:rsidR="00D37E6A" w:rsidRPr="00D37E6A" w:rsidRDefault="00D37E6A" w:rsidP="0021373E">
            <w:pPr>
              <w:rPr>
                <w:rFonts w:ascii="Arial" w:hAnsi="Arial" w:cs="Arial"/>
                <w:sz w:val="21"/>
                <w:szCs w:val="21"/>
              </w:rPr>
            </w:pPr>
            <w:r>
              <w:rPr>
                <w:rFonts w:ascii="Arial" w:hAnsi="Arial"/>
                <w:sz w:val="21"/>
                <w:szCs w:val="21"/>
              </w:rPr>
              <w:t>1359</w:t>
            </w:r>
          </w:p>
        </w:tc>
        <w:tc>
          <w:tcPr>
            <w:tcW w:w="576" w:type="dxa"/>
          </w:tcPr>
          <w:p w14:paraId="5E858434" w14:textId="77777777" w:rsidR="00D37E6A" w:rsidRPr="00D37E6A" w:rsidRDefault="00D37E6A" w:rsidP="0021373E">
            <w:pPr>
              <w:jc w:val="center"/>
              <w:rPr>
                <w:rFonts w:ascii="Arial" w:hAnsi="Arial" w:cs="Arial"/>
                <w:sz w:val="21"/>
                <w:szCs w:val="21"/>
              </w:rPr>
            </w:pPr>
            <w:r>
              <w:rPr>
                <w:rFonts w:ascii="Arial" w:hAnsi="Arial"/>
                <w:sz w:val="21"/>
                <w:szCs w:val="21"/>
              </w:rPr>
              <w:t>585</w:t>
            </w:r>
          </w:p>
        </w:tc>
        <w:tc>
          <w:tcPr>
            <w:tcW w:w="576" w:type="dxa"/>
          </w:tcPr>
          <w:p w14:paraId="432DB2A8" w14:textId="77777777" w:rsidR="00D37E6A" w:rsidRPr="00D37E6A" w:rsidRDefault="00D37E6A" w:rsidP="0021373E">
            <w:pPr>
              <w:jc w:val="center"/>
              <w:rPr>
                <w:rFonts w:ascii="Arial" w:hAnsi="Arial" w:cs="Arial"/>
                <w:sz w:val="21"/>
                <w:szCs w:val="21"/>
              </w:rPr>
            </w:pPr>
            <w:r>
              <w:rPr>
                <w:rFonts w:ascii="Arial" w:hAnsi="Arial"/>
                <w:sz w:val="21"/>
                <w:szCs w:val="21"/>
              </w:rPr>
              <w:t>228</w:t>
            </w:r>
          </w:p>
        </w:tc>
        <w:tc>
          <w:tcPr>
            <w:tcW w:w="579" w:type="dxa"/>
            <w:gridSpan w:val="2"/>
          </w:tcPr>
          <w:p w14:paraId="4B2BA2DC" w14:textId="77777777" w:rsidR="00D37E6A" w:rsidRPr="00D37E6A" w:rsidRDefault="00D37E6A" w:rsidP="0021373E">
            <w:pPr>
              <w:jc w:val="center"/>
              <w:rPr>
                <w:rFonts w:ascii="Arial" w:hAnsi="Arial" w:cs="Arial"/>
                <w:sz w:val="21"/>
                <w:szCs w:val="21"/>
              </w:rPr>
            </w:pPr>
            <w:r>
              <w:rPr>
                <w:rFonts w:ascii="Arial" w:hAnsi="Arial"/>
                <w:sz w:val="21"/>
                <w:szCs w:val="21"/>
              </w:rPr>
              <w:t>456</w:t>
            </w:r>
          </w:p>
        </w:tc>
        <w:tc>
          <w:tcPr>
            <w:tcW w:w="486" w:type="dxa"/>
          </w:tcPr>
          <w:p w14:paraId="6413A4DE" w14:textId="77777777" w:rsidR="00D37E6A" w:rsidRPr="00D37E6A" w:rsidRDefault="00D37E6A" w:rsidP="0021373E">
            <w:pPr>
              <w:jc w:val="center"/>
              <w:rPr>
                <w:rFonts w:ascii="Arial" w:hAnsi="Arial" w:cs="Arial"/>
                <w:sz w:val="21"/>
                <w:szCs w:val="21"/>
              </w:rPr>
            </w:pPr>
            <w:r>
              <w:rPr>
                <w:rFonts w:ascii="Arial" w:hAnsi="Arial"/>
                <w:sz w:val="21"/>
                <w:szCs w:val="21"/>
              </w:rPr>
              <w:t>87</w:t>
            </w:r>
          </w:p>
        </w:tc>
        <w:tc>
          <w:tcPr>
            <w:tcW w:w="577" w:type="dxa"/>
            <w:gridSpan w:val="2"/>
          </w:tcPr>
          <w:p w14:paraId="60A8B568" w14:textId="77777777" w:rsidR="00D37E6A" w:rsidRPr="00D37E6A" w:rsidRDefault="00D37E6A" w:rsidP="0021373E">
            <w:pPr>
              <w:jc w:val="center"/>
              <w:rPr>
                <w:rFonts w:ascii="Arial" w:hAnsi="Arial" w:cs="Arial"/>
                <w:sz w:val="21"/>
                <w:szCs w:val="21"/>
              </w:rPr>
            </w:pPr>
            <w:r>
              <w:rPr>
                <w:rFonts w:ascii="Arial" w:hAnsi="Arial"/>
                <w:sz w:val="21"/>
                <w:szCs w:val="21"/>
              </w:rPr>
              <w:t>531</w:t>
            </w:r>
          </w:p>
        </w:tc>
        <w:tc>
          <w:tcPr>
            <w:tcW w:w="576" w:type="dxa"/>
          </w:tcPr>
          <w:p w14:paraId="4344520A" w14:textId="77777777" w:rsidR="00D37E6A" w:rsidRPr="00D37E6A" w:rsidRDefault="00D37E6A" w:rsidP="0021373E">
            <w:pPr>
              <w:jc w:val="center"/>
              <w:rPr>
                <w:rFonts w:ascii="Arial" w:hAnsi="Arial" w:cs="Arial"/>
                <w:sz w:val="21"/>
                <w:szCs w:val="21"/>
              </w:rPr>
            </w:pPr>
            <w:r>
              <w:rPr>
                <w:rFonts w:ascii="Arial" w:hAnsi="Arial"/>
                <w:sz w:val="21"/>
                <w:szCs w:val="21"/>
              </w:rPr>
              <w:t>828</w:t>
            </w:r>
          </w:p>
        </w:tc>
      </w:tr>
    </w:tbl>
    <w:p w14:paraId="7E9197F2" w14:textId="77777777" w:rsidR="00D37E6A" w:rsidRDefault="00D37E6A" w:rsidP="00D37E6A">
      <w:pPr>
        <w:pStyle w:val="ListParagraph"/>
        <w:ind w:left="360"/>
      </w:pPr>
    </w:p>
    <w:p w14:paraId="327F2124" w14:textId="44EF1183" w:rsidR="00D37E6A" w:rsidRPr="00D37E6A" w:rsidRDefault="00D37E6A" w:rsidP="00D37E6A">
      <w:pPr>
        <w:pStyle w:val="Caption"/>
      </w:pPr>
      <w:r>
        <w:t xml:space="preserve">Table </w:t>
      </w:r>
      <w:r w:rsidR="006D1459">
        <w:fldChar w:fldCharType="begin"/>
      </w:r>
      <w:r w:rsidR="006D1459">
        <w:instrText xml:space="preserve"> SEQ Tablica \* ARABIC </w:instrText>
      </w:r>
      <w:r w:rsidR="006D1459">
        <w:fldChar w:fldCharType="separate"/>
      </w:r>
      <w:r w:rsidR="002B094A">
        <w:t>4</w:t>
      </w:r>
      <w:r w:rsidR="006D1459">
        <w:fldChar w:fldCharType="end"/>
      </w:r>
      <w:r>
        <w:t>: Ethnic and gender breakdown of the managers of judicial institutio</w:t>
      </w:r>
      <w:r w:rsidR="00AD013A">
        <w:t>ns (prosecutor’s offices include</w:t>
      </w:r>
      <w:r>
        <w:t xml:space="preserve"> chief prosecutors and deputy chief prosecutors)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9"/>
        <w:gridCol w:w="1403"/>
        <w:gridCol w:w="964"/>
        <w:gridCol w:w="894"/>
        <w:gridCol w:w="894"/>
        <w:gridCol w:w="894"/>
        <w:gridCol w:w="980"/>
        <w:gridCol w:w="937"/>
      </w:tblGrid>
      <w:tr w:rsidR="00D37E6A" w:rsidRPr="00D37E6A" w14:paraId="15EF83EE" w14:textId="77777777" w:rsidTr="0021373E">
        <w:tc>
          <w:tcPr>
            <w:tcW w:w="1549" w:type="dxa"/>
            <w:shd w:val="clear" w:color="auto" w:fill="auto"/>
          </w:tcPr>
          <w:p w14:paraId="5227303A" w14:textId="77777777" w:rsidR="00D37E6A" w:rsidRPr="00D37E6A" w:rsidRDefault="00AC4955" w:rsidP="0021373E">
            <w:pPr>
              <w:spacing w:before="80"/>
              <w:jc w:val="center"/>
              <w:rPr>
                <w:rFonts w:ascii="Arial" w:hAnsi="Arial" w:cs="Arial"/>
                <w:b/>
                <w:sz w:val="21"/>
                <w:szCs w:val="21"/>
              </w:rPr>
            </w:pPr>
            <w:r>
              <w:rPr>
                <w:rFonts w:ascii="Arial" w:hAnsi="Arial"/>
                <w:b/>
                <w:sz w:val="21"/>
                <w:szCs w:val="21"/>
              </w:rPr>
              <w:t>Level</w:t>
            </w:r>
          </w:p>
        </w:tc>
        <w:tc>
          <w:tcPr>
            <w:tcW w:w="1403" w:type="dxa"/>
            <w:shd w:val="clear" w:color="auto" w:fill="auto"/>
          </w:tcPr>
          <w:p w14:paraId="44720C38" w14:textId="77777777" w:rsidR="00D37E6A" w:rsidRPr="00D37E6A" w:rsidRDefault="00D37E6A" w:rsidP="0021373E">
            <w:pPr>
              <w:spacing w:before="80"/>
              <w:rPr>
                <w:rFonts w:ascii="Arial" w:hAnsi="Arial" w:cs="Arial"/>
                <w:b/>
                <w:sz w:val="21"/>
                <w:szCs w:val="21"/>
              </w:rPr>
            </w:pPr>
            <w:r>
              <w:rPr>
                <w:rFonts w:ascii="Arial" w:hAnsi="Arial"/>
                <w:b/>
                <w:sz w:val="21"/>
                <w:szCs w:val="21"/>
              </w:rPr>
              <w:t>Institution</w:t>
            </w:r>
          </w:p>
        </w:tc>
        <w:tc>
          <w:tcPr>
            <w:tcW w:w="894" w:type="dxa"/>
            <w:shd w:val="clear" w:color="auto" w:fill="auto"/>
          </w:tcPr>
          <w:p w14:paraId="664B9071" w14:textId="77777777" w:rsidR="00D37E6A" w:rsidRPr="00D37E6A" w:rsidRDefault="00D37E6A" w:rsidP="0021373E">
            <w:pPr>
              <w:spacing w:before="80"/>
              <w:rPr>
                <w:rFonts w:ascii="Arial" w:hAnsi="Arial" w:cs="Arial"/>
                <w:sz w:val="21"/>
                <w:szCs w:val="21"/>
              </w:rPr>
            </w:pPr>
            <w:r>
              <w:rPr>
                <w:rFonts w:ascii="Arial" w:hAnsi="Arial"/>
                <w:sz w:val="21"/>
                <w:szCs w:val="21"/>
              </w:rPr>
              <w:t>Bosniac</w:t>
            </w:r>
          </w:p>
        </w:tc>
        <w:tc>
          <w:tcPr>
            <w:tcW w:w="894" w:type="dxa"/>
            <w:shd w:val="clear" w:color="auto" w:fill="auto"/>
          </w:tcPr>
          <w:p w14:paraId="7BF11F8E" w14:textId="77777777" w:rsidR="00D37E6A" w:rsidRPr="00D37E6A" w:rsidRDefault="00D37E6A" w:rsidP="0021373E">
            <w:pPr>
              <w:spacing w:before="80"/>
              <w:rPr>
                <w:rFonts w:ascii="Arial" w:hAnsi="Arial" w:cs="Arial"/>
                <w:sz w:val="21"/>
                <w:szCs w:val="21"/>
              </w:rPr>
            </w:pPr>
            <w:r>
              <w:rPr>
                <w:rFonts w:ascii="Arial" w:hAnsi="Arial"/>
                <w:sz w:val="21"/>
                <w:szCs w:val="21"/>
              </w:rPr>
              <w:t>Croat</w:t>
            </w:r>
          </w:p>
        </w:tc>
        <w:tc>
          <w:tcPr>
            <w:tcW w:w="894" w:type="dxa"/>
            <w:shd w:val="clear" w:color="auto" w:fill="auto"/>
          </w:tcPr>
          <w:p w14:paraId="6C5488FD" w14:textId="77777777" w:rsidR="00D37E6A" w:rsidRPr="00D37E6A" w:rsidRDefault="00D37E6A" w:rsidP="0021373E">
            <w:pPr>
              <w:spacing w:before="80"/>
              <w:rPr>
                <w:rFonts w:ascii="Arial" w:hAnsi="Arial" w:cs="Arial"/>
                <w:sz w:val="21"/>
                <w:szCs w:val="21"/>
              </w:rPr>
            </w:pPr>
            <w:r>
              <w:rPr>
                <w:rFonts w:ascii="Arial" w:hAnsi="Arial"/>
                <w:sz w:val="21"/>
                <w:szCs w:val="21"/>
              </w:rPr>
              <w:t xml:space="preserve">Serb </w:t>
            </w:r>
          </w:p>
        </w:tc>
        <w:tc>
          <w:tcPr>
            <w:tcW w:w="894" w:type="dxa"/>
            <w:shd w:val="clear" w:color="auto" w:fill="auto"/>
          </w:tcPr>
          <w:p w14:paraId="02183C3D" w14:textId="64952839" w:rsidR="00D37E6A" w:rsidRPr="00D37E6A" w:rsidRDefault="00D37E6A" w:rsidP="00AD013A">
            <w:pPr>
              <w:spacing w:before="80"/>
              <w:rPr>
                <w:rFonts w:ascii="Arial" w:hAnsi="Arial" w:cs="Arial"/>
                <w:sz w:val="21"/>
                <w:szCs w:val="21"/>
              </w:rPr>
            </w:pPr>
            <w:r>
              <w:rPr>
                <w:rFonts w:ascii="Arial" w:hAnsi="Arial"/>
                <w:sz w:val="21"/>
                <w:szCs w:val="21"/>
              </w:rPr>
              <w:t xml:space="preserve">Other </w:t>
            </w:r>
          </w:p>
        </w:tc>
        <w:tc>
          <w:tcPr>
            <w:tcW w:w="980" w:type="dxa"/>
            <w:shd w:val="clear" w:color="auto" w:fill="auto"/>
          </w:tcPr>
          <w:p w14:paraId="76CB9A0B" w14:textId="77777777" w:rsidR="00D37E6A" w:rsidRPr="00D37E6A" w:rsidRDefault="00D37E6A" w:rsidP="0021373E">
            <w:pPr>
              <w:spacing w:before="80"/>
              <w:rPr>
                <w:rFonts w:ascii="Arial" w:hAnsi="Arial" w:cs="Arial"/>
                <w:sz w:val="21"/>
                <w:szCs w:val="21"/>
              </w:rPr>
            </w:pPr>
            <w:r>
              <w:rPr>
                <w:rFonts w:ascii="Arial" w:hAnsi="Arial"/>
                <w:sz w:val="21"/>
                <w:szCs w:val="21"/>
              </w:rPr>
              <w:t>Male</w:t>
            </w:r>
          </w:p>
        </w:tc>
        <w:tc>
          <w:tcPr>
            <w:tcW w:w="937" w:type="dxa"/>
            <w:shd w:val="clear" w:color="auto" w:fill="auto"/>
          </w:tcPr>
          <w:p w14:paraId="7BE18670" w14:textId="77777777" w:rsidR="00D37E6A" w:rsidRPr="00D37E6A" w:rsidRDefault="00D37E6A" w:rsidP="0021373E">
            <w:pPr>
              <w:spacing w:before="80"/>
              <w:rPr>
                <w:rFonts w:ascii="Arial" w:hAnsi="Arial" w:cs="Arial"/>
                <w:sz w:val="21"/>
                <w:szCs w:val="21"/>
              </w:rPr>
            </w:pPr>
            <w:r>
              <w:rPr>
                <w:rFonts w:ascii="Arial" w:hAnsi="Arial"/>
                <w:sz w:val="21"/>
                <w:szCs w:val="21"/>
              </w:rPr>
              <w:t>Female</w:t>
            </w:r>
          </w:p>
        </w:tc>
      </w:tr>
      <w:tr w:rsidR="00D37E6A" w:rsidRPr="00D37E6A" w14:paraId="4BDD4F52" w14:textId="77777777" w:rsidTr="0021373E">
        <w:tc>
          <w:tcPr>
            <w:tcW w:w="1549" w:type="dxa"/>
            <w:shd w:val="clear" w:color="auto" w:fill="auto"/>
          </w:tcPr>
          <w:p w14:paraId="20A50413" w14:textId="77777777" w:rsidR="00D37E6A" w:rsidRPr="00D37E6A" w:rsidRDefault="00D37E6A" w:rsidP="0021373E">
            <w:pPr>
              <w:spacing w:before="80"/>
              <w:jc w:val="center"/>
              <w:rPr>
                <w:rFonts w:ascii="Arial" w:hAnsi="Arial" w:cs="Arial"/>
                <w:sz w:val="21"/>
                <w:szCs w:val="21"/>
                <w:lang w:val="en-US"/>
              </w:rPr>
            </w:pPr>
          </w:p>
        </w:tc>
        <w:tc>
          <w:tcPr>
            <w:tcW w:w="1403" w:type="dxa"/>
            <w:shd w:val="clear" w:color="auto" w:fill="auto"/>
          </w:tcPr>
          <w:p w14:paraId="759A12BC" w14:textId="77777777" w:rsidR="00D37E6A" w:rsidRPr="00D37E6A" w:rsidRDefault="00D37E6A" w:rsidP="0021373E">
            <w:pPr>
              <w:spacing w:before="80"/>
              <w:rPr>
                <w:rFonts w:ascii="Arial" w:hAnsi="Arial" w:cs="Arial"/>
                <w:sz w:val="21"/>
                <w:szCs w:val="21"/>
                <w:lang w:val="en-US"/>
              </w:rPr>
            </w:pPr>
          </w:p>
        </w:tc>
        <w:tc>
          <w:tcPr>
            <w:tcW w:w="894" w:type="dxa"/>
          </w:tcPr>
          <w:p w14:paraId="32CD9B3A" w14:textId="77777777" w:rsidR="00D37E6A" w:rsidRPr="00D37E6A" w:rsidRDefault="00D37E6A" w:rsidP="0021373E">
            <w:pPr>
              <w:spacing w:before="80"/>
              <w:rPr>
                <w:rFonts w:ascii="Arial" w:hAnsi="Arial" w:cs="Arial"/>
                <w:sz w:val="21"/>
                <w:szCs w:val="21"/>
                <w:lang w:val="en-US"/>
              </w:rPr>
            </w:pPr>
          </w:p>
        </w:tc>
        <w:tc>
          <w:tcPr>
            <w:tcW w:w="894" w:type="dxa"/>
          </w:tcPr>
          <w:p w14:paraId="14C8CD53" w14:textId="77777777" w:rsidR="00D37E6A" w:rsidRPr="00D37E6A" w:rsidRDefault="00D37E6A" w:rsidP="0021373E">
            <w:pPr>
              <w:spacing w:before="80"/>
              <w:rPr>
                <w:rFonts w:ascii="Arial" w:hAnsi="Arial" w:cs="Arial"/>
                <w:sz w:val="21"/>
                <w:szCs w:val="21"/>
                <w:lang w:val="en-US"/>
              </w:rPr>
            </w:pPr>
          </w:p>
        </w:tc>
        <w:tc>
          <w:tcPr>
            <w:tcW w:w="894" w:type="dxa"/>
          </w:tcPr>
          <w:p w14:paraId="7679A70A" w14:textId="77777777" w:rsidR="00D37E6A" w:rsidRPr="00D37E6A" w:rsidRDefault="00D37E6A" w:rsidP="0021373E">
            <w:pPr>
              <w:spacing w:before="80"/>
              <w:rPr>
                <w:rFonts w:ascii="Arial" w:hAnsi="Arial" w:cs="Arial"/>
                <w:sz w:val="21"/>
                <w:szCs w:val="21"/>
                <w:lang w:val="en-US"/>
              </w:rPr>
            </w:pPr>
          </w:p>
        </w:tc>
        <w:tc>
          <w:tcPr>
            <w:tcW w:w="894" w:type="dxa"/>
          </w:tcPr>
          <w:p w14:paraId="340A2C2F" w14:textId="77777777" w:rsidR="00D37E6A" w:rsidRPr="00D37E6A" w:rsidRDefault="00D37E6A" w:rsidP="0021373E">
            <w:pPr>
              <w:spacing w:before="80"/>
              <w:rPr>
                <w:rFonts w:ascii="Arial" w:hAnsi="Arial" w:cs="Arial"/>
                <w:sz w:val="21"/>
                <w:szCs w:val="21"/>
                <w:lang w:val="en-US"/>
              </w:rPr>
            </w:pPr>
          </w:p>
        </w:tc>
        <w:tc>
          <w:tcPr>
            <w:tcW w:w="980" w:type="dxa"/>
            <w:shd w:val="clear" w:color="auto" w:fill="auto"/>
          </w:tcPr>
          <w:p w14:paraId="054DE32A" w14:textId="77777777" w:rsidR="00D37E6A" w:rsidRPr="00D37E6A" w:rsidRDefault="00D37E6A" w:rsidP="0021373E">
            <w:pPr>
              <w:spacing w:before="80"/>
              <w:rPr>
                <w:rFonts w:ascii="Arial" w:hAnsi="Arial" w:cs="Arial"/>
                <w:sz w:val="21"/>
                <w:szCs w:val="21"/>
                <w:lang w:val="en-US"/>
              </w:rPr>
            </w:pPr>
          </w:p>
        </w:tc>
        <w:tc>
          <w:tcPr>
            <w:tcW w:w="937" w:type="dxa"/>
            <w:shd w:val="clear" w:color="auto" w:fill="auto"/>
          </w:tcPr>
          <w:p w14:paraId="18107ECD" w14:textId="77777777" w:rsidR="00D37E6A" w:rsidRPr="00D37E6A" w:rsidRDefault="00D37E6A" w:rsidP="0021373E">
            <w:pPr>
              <w:spacing w:before="80"/>
              <w:rPr>
                <w:rFonts w:ascii="Arial" w:hAnsi="Arial" w:cs="Arial"/>
                <w:sz w:val="21"/>
                <w:szCs w:val="21"/>
                <w:lang w:val="en-US"/>
              </w:rPr>
            </w:pPr>
          </w:p>
        </w:tc>
      </w:tr>
      <w:tr w:rsidR="00D37E6A" w:rsidRPr="00D37E6A" w14:paraId="2E0A1AB1" w14:textId="77777777" w:rsidTr="0021373E">
        <w:tc>
          <w:tcPr>
            <w:tcW w:w="1549" w:type="dxa"/>
            <w:shd w:val="clear" w:color="auto" w:fill="auto"/>
          </w:tcPr>
          <w:p w14:paraId="0438D642" w14:textId="77777777" w:rsidR="00D37E6A" w:rsidRPr="00D37E6A" w:rsidRDefault="00D37E6A" w:rsidP="0021373E">
            <w:pPr>
              <w:spacing w:before="80"/>
              <w:jc w:val="center"/>
              <w:rPr>
                <w:rFonts w:ascii="Arial" w:hAnsi="Arial" w:cs="Arial"/>
                <w:sz w:val="21"/>
                <w:szCs w:val="21"/>
              </w:rPr>
            </w:pPr>
            <w:r>
              <w:rPr>
                <w:rFonts w:ascii="Arial" w:hAnsi="Arial"/>
                <w:sz w:val="21"/>
                <w:szCs w:val="21"/>
              </w:rPr>
              <w:t>The Court of BiH</w:t>
            </w:r>
          </w:p>
        </w:tc>
        <w:tc>
          <w:tcPr>
            <w:tcW w:w="1403" w:type="dxa"/>
            <w:shd w:val="clear" w:color="auto" w:fill="auto"/>
          </w:tcPr>
          <w:p w14:paraId="138050CF" w14:textId="77777777" w:rsidR="00D37E6A" w:rsidRPr="00D37E6A" w:rsidRDefault="00D37E6A" w:rsidP="0021373E">
            <w:pPr>
              <w:spacing w:before="80"/>
              <w:rPr>
                <w:rFonts w:ascii="Arial" w:hAnsi="Arial" w:cs="Arial"/>
                <w:i/>
                <w:sz w:val="21"/>
                <w:szCs w:val="21"/>
                <w:lang w:val="en-US"/>
              </w:rPr>
            </w:pPr>
          </w:p>
        </w:tc>
        <w:tc>
          <w:tcPr>
            <w:tcW w:w="894" w:type="dxa"/>
          </w:tcPr>
          <w:p w14:paraId="3CA8DCD5" w14:textId="77777777" w:rsidR="00D37E6A" w:rsidRPr="00D37E6A" w:rsidRDefault="00D37E6A" w:rsidP="0021373E">
            <w:pPr>
              <w:spacing w:before="80"/>
              <w:rPr>
                <w:rFonts w:ascii="Arial" w:hAnsi="Arial" w:cs="Arial"/>
                <w:sz w:val="21"/>
                <w:szCs w:val="21"/>
                <w:lang w:val="en-US"/>
              </w:rPr>
            </w:pPr>
          </w:p>
        </w:tc>
        <w:tc>
          <w:tcPr>
            <w:tcW w:w="894" w:type="dxa"/>
          </w:tcPr>
          <w:p w14:paraId="352CA3BB" w14:textId="77777777" w:rsidR="00D37E6A" w:rsidRPr="00D37E6A" w:rsidRDefault="00D37E6A" w:rsidP="0021373E">
            <w:pPr>
              <w:spacing w:before="80"/>
              <w:rPr>
                <w:rFonts w:ascii="Arial" w:hAnsi="Arial" w:cs="Arial"/>
                <w:sz w:val="21"/>
                <w:szCs w:val="21"/>
                <w:lang w:val="en-US"/>
              </w:rPr>
            </w:pPr>
          </w:p>
        </w:tc>
        <w:tc>
          <w:tcPr>
            <w:tcW w:w="894" w:type="dxa"/>
          </w:tcPr>
          <w:p w14:paraId="0C921A4C" w14:textId="77777777" w:rsidR="00D37E6A" w:rsidRPr="00D37E6A" w:rsidRDefault="00D37E6A" w:rsidP="0021373E">
            <w:pPr>
              <w:spacing w:before="80"/>
              <w:rPr>
                <w:rFonts w:ascii="Arial" w:hAnsi="Arial" w:cs="Arial"/>
                <w:sz w:val="21"/>
                <w:szCs w:val="21"/>
                <w:lang w:val="en-US"/>
              </w:rPr>
            </w:pPr>
          </w:p>
        </w:tc>
        <w:tc>
          <w:tcPr>
            <w:tcW w:w="894" w:type="dxa"/>
          </w:tcPr>
          <w:p w14:paraId="5C079586"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980" w:type="dxa"/>
            <w:shd w:val="clear" w:color="auto" w:fill="auto"/>
          </w:tcPr>
          <w:p w14:paraId="2A000D33"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937" w:type="dxa"/>
            <w:shd w:val="clear" w:color="auto" w:fill="auto"/>
          </w:tcPr>
          <w:p w14:paraId="5F0716FF" w14:textId="77777777" w:rsidR="00D37E6A" w:rsidRPr="00D37E6A" w:rsidRDefault="00D37E6A" w:rsidP="0021373E">
            <w:pPr>
              <w:spacing w:before="80"/>
              <w:rPr>
                <w:rFonts w:ascii="Arial" w:hAnsi="Arial" w:cs="Arial"/>
                <w:sz w:val="21"/>
                <w:szCs w:val="21"/>
                <w:lang w:val="en-US"/>
              </w:rPr>
            </w:pPr>
          </w:p>
        </w:tc>
      </w:tr>
      <w:tr w:rsidR="00D37E6A" w:rsidRPr="00D37E6A" w14:paraId="1E9D57F1" w14:textId="77777777" w:rsidTr="0021373E">
        <w:tc>
          <w:tcPr>
            <w:tcW w:w="1549" w:type="dxa"/>
            <w:shd w:val="clear" w:color="auto" w:fill="auto"/>
          </w:tcPr>
          <w:p w14:paraId="54AEBAE9" w14:textId="77777777" w:rsidR="00D37E6A" w:rsidRPr="00D37E6A" w:rsidRDefault="00693D1B" w:rsidP="0021373E">
            <w:pPr>
              <w:spacing w:before="80"/>
              <w:jc w:val="center"/>
              <w:rPr>
                <w:rFonts w:ascii="Arial" w:hAnsi="Arial" w:cs="Arial"/>
                <w:sz w:val="21"/>
                <w:szCs w:val="21"/>
              </w:rPr>
            </w:pPr>
            <w:r>
              <w:rPr>
                <w:rFonts w:ascii="Arial" w:hAnsi="Arial"/>
                <w:sz w:val="21"/>
                <w:szCs w:val="21"/>
              </w:rPr>
              <w:lastRenderedPageBreak/>
              <w:t>The Prosecutor's Office of BiH</w:t>
            </w:r>
          </w:p>
        </w:tc>
        <w:tc>
          <w:tcPr>
            <w:tcW w:w="1403" w:type="dxa"/>
            <w:shd w:val="clear" w:color="auto" w:fill="auto"/>
          </w:tcPr>
          <w:p w14:paraId="4E4568D7" w14:textId="77777777" w:rsidR="00D37E6A" w:rsidRPr="00D37E6A" w:rsidRDefault="00D37E6A" w:rsidP="0021373E">
            <w:pPr>
              <w:spacing w:before="80"/>
              <w:rPr>
                <w:rFonts w:ascii="Arial" w:hAnsi="Arial" w:cs="Arial"/>
                <w:i/>
                <w:sz w:val="21"/>
                <w:szCs w:val="21"/>
                <w:lang w:val="en-US"/>
              </w:rPr>
            </w:pPr>
          </w:p>
        </w:tc>
        <w:tc>
          <w:tcPr>
            <w:tcW w:w="894" w:type="dxa"/>
          </w:tcPr>
          <w:p w14:paraId="57D3E508"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894" w:type="dxa"/>
          </w:tcPr>
          <w:p w14:paraId="77065771" w14:textId="77777777" w:rsidR="00D37E6A" w:rsidRPr="00D37E6A" w:rsidRDefault="00D37E6A" w:rsidP="0021373E">
            <w:pPr>
              <w:spacing w:before="80"/>
              <w:rPr>
                <w:rFonts w:ascii="Arial" w:hAnsi="Arial" w:cs="Arial"/>
                <w:sz w:val="21"/>
                <w:szCs w:val="21"/>
                <w:lang w:val="en-US"/>
              </w:rPr>
            </w:pPr>
          </w:p>
        </w:tc>
        <w:tc>
          <w:tcPr>
            <w:tcW w:w="894" w:type="dxa"/>
          </w:tcPr>
          <w:p w14:paraId="49558DB3"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894" w:type="dxa"/>
          </w:tcPr>
          <w:p w14:paraId="7229EB69" w14:textId="77777777" w:rsidR="00D37E6A" w:rsidRPr="00D37E6A" w:rsidRDefault="00D37E6A" w:rsidP="0021373E">
            <w:pPr>
              <w:spacing w:before="80"/>
              <w:rPr>
                <w:rFonts w:ascii="Arial" w:hAnsi="Arial" w:cs="Arial"/>
                <w:sz w:val="21"/>
                <w:szCs w:val="21"/>
                <w:lang w:val="en-US"/>
              </w:rPr>
            </w:pPr>
          </w:p>
        </w:tc>
        <w:tc>
          <w:tcPr>
            <w:tcW w:w="980" w:type="dxa"/>
            <w:shd w:val="clear" w:color="auto" w:fill="auto"/>
          </w:tcPr>
          <w:p w14:paraId="4D38FDC0"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937" w:type="dxa"/>
            <w:shd w:val="clear" w:color="auto" w:fill="auto"/>
          </w:tcPr>
          <w:p w14:paraId="1E6B8A17" w14:textId="77777777" w:rsidR="00D37E6A" w:rsidRPr="00D37E6A" w:rsidRDefault="00D37E6A" w:rsidP="0021373E">
            <w:pPr>
              <w:spacing w:before="80"/>
              <w:rPr>
                <w:rFonts w:ascii="Arial" w:hAnsi="Arial" w:cs="Arial"/>
                <w:sz w:val="21"/>
                <w:szCs w:val="21"/>
              </w:rPr>
            </w:pPr>
            <w:r>
              <w:rPr>
                <w:rFonts w:ascii="Arial" w:hAnsi="Arial"/>
                <w:sz w:val="21"/>
                <w:szCs w:val="21"/>
              </w:rPr>
              <w:t>2</w:t>
            </w:r>
          </w:p>
        </w:tc>
      </w:tr>
      <w:tr w:rsidR="00D37E6A" w:rsidRPr="00D37E6A" w14:paraId="04109A0C" w14:textId="77777777" w:rsidTr="0021373E">
        <w:tc>
          <w:tcPr>
            <w:tcW w:w="1549" w:type="dxa"/>
            <w:shd w:val="clear" w:color="auto" w:fill="auto"/>
          </w:tcPr>
          <w:p w14:paraId="15438C40" w14:textId="77777777" w:rsidR="00D37E6A" w:rsidRPr="00D37E6A" w:rsidRDefault="00D37E6A" w:rsidP="0021373E">
            <w:pPr>
              <w:spacing w:before="80"/>
              <w:jc w:val="center"/>
              <w:rPr>
                <w:rFonts w:ascii="Arial" w:hAnsi="Arial" w:cs="Arial"/>
                <w:sz w:val="21"/>
                <w:szCs w:val="21"/>
              </w:rPr>
            </w:pPr>
            <w:r>
              <w:rPr>
                <w:rFonts w:ascii="Arial" w:hAnsi="Arial"/>
                <w:sz w:val="21"/>
                <w:szCs w:val="21"/>
              </w:rPr>
              <w:t>The Supreme Court of FBIH</w:t>
            </w:r>
          </w:p>
        </w:tc>
        <w:tc>
          <w:tcPr>
            <w:tcW w:w="1403" w:type="dxa"/>
            <w:shd w:val="clear" w:color="auto" w:fill="auto"/>
          </w:tcPr>
          <w:p w14:paraId="5B68229A" w14:textId="77777777" w:rsidR="00D37E6A" w:rsidRPr="00D37E6A" w:rsidRDefault="00D37E6A" w:rsidP="0021373E">
            <w:pPr>
              <w:spacing w:before="80"/>
              <w:rPr>
                <w:rFonts w:ascii="Arial" w:hAnsi="Arial" w:cs="Arial"/>
                <w:i/>
                <w:sz w:val="21"/>
                <w:szCs w:val="21"/>
                <w:lang w:val="en-US"/>
              </w:rPr>
            </w:pPr>
          </w:p>
        </w:tc>
        <w:tc>
          <w:tcPr>
            <w:tcW w:w="894" w:type="dxa"/>
          </w:tcPr>
          <w:p w14:paraId="4504665B" w14:textId="77777777" w:rsidR="00D37E6A" w:rsidRPr="00D37E6A" w:rsidRDefault="00D37E6A" w:rsidP="0021373E">
            <w:pPr>
              <w:spacing w:before="80"/>
              <w:rPr>
                <w:rFonts w:ascii="Arial" w:hAnsi="Arial" w:cs="Arial"/>
                <w:sz w:val="21"/>
                <w:szCs w:val="21"/>
                <w:lang w:val="en-US"/>
              </w:rPr>
            </w:pPr>
          </w:p>
        </w:tc>
        <w:tc>
          <w:tcPr>
            <w:tcW w:w="894" w:type="dxa"/>
          </w:tcPr>
          <w:p w14:paraId="54D786ED" w14:textId="77777777" w:rsidR="00D37E6A" w:rsidRPr="00D37E6A" w:rsidRDefault="00D37E6A" w:rsidP="0021373E">
            <w:pPr>
              <w:spacing w:before="80"/>
              <w:rPr>
                <w:rFonts w:ascii="Arial" w:hAnsi="Arial" w:cs="Arial"/>
                <w:sz w:val="21"/>
                <w:szCs w:val="21"/>
                <w:lang w:val="en-US"/>
              </w:rPr>
            </w:pPr>
          </w:p>
        </w:tc>
        <w:tc>
          <w:tcPr>
            <w:tcW w:w="894" w:type="dxa"/>
          </w:tcPr>
          <w:p w14:paraId="6B601214"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5FA27D41" w14:textId="77777777" w:rsidR="00D37E6A" w:rsidRPr="00D37E6A" w:rsidRDefault="00D37E6A" w:rsidP="0021373E">
            <w:pPr>
              <w:spacing w:before="80"/>
              <w:rPr>
                <w:rFonts w:ascii="Arial" w:hAnsi="Arial" w:cs="Arial"/>
                <w:sz w:val="21"/>
                <w:szCs w:val="21"/>
                <w:lang w:val="en-US"/>
              </w:rPr>
            </w:pPr>
          </w:p>
        </w:tc>
        <w:tc>
          <w:tcPr>
            <w:tcW w:w="980" w:type="dxa"/>
            <w:shd w:val="clear" w:color="auto" w:fill="auto"/>
          </w:tcPr>
          <w:p w14:paraId="77AC0758" w14:textId="77777777" w:rsidR="00D37E6A" w:rsidRPr="00D37E6A" w:rsidRDefault="00D37E6A" w:rsidP="0021373E">
            <w:pPr>
              <w:spacing w:before="80"/>
              <w:rPr>
                <w:rFonts w:ascii="Arial" w:hAnsi="Arial" w:cs="Arial"/>
                <w:sz w:val="21"/>
                <w:szCs w:val="21"/>
                <w:lang w:val="en-US"/>
              </w:rPr>
            </w:pPr>
          </w:p>
        </w:tc>
        <w:tc>
          <w:tcPr>
            <w:tcW w:w="937" w:type="dxa"/>
            <w:shd w:val="clear" w:color="auto" w:fill="auto"/>
          </w:tcPr>
          <w:p w14:paraId="1DA2A7EB" w14:textId="77777777" w:rsidR="00D37E6A" w:rsidRPr="00D37E6A" w:rsidRDefault="00D37E6A" w:rsidP="0021373E">
            <w:pPr>
              <w:spacing w:before="80"/>
              <w:rPr>
                <w:rFonts w:ascii="Arial" w:hAnsi="Arial" w:cs="Arial"/>
                <w:sz w:val="21"/>
                <w:szCs w:val="21"/>
              </w:rPr>
            </w:pPr>
            <w:r>
              <w:rPr>
                <w:rFonts w:ascii="Arial" w:hAnsi="Arial"/>
                <w:sz w:val="21"/>
                <w:szCs w:val="21"/>
              </w:rPr>
              <w:t>1</w:t>
            </w:r>
          </w:p>
        </w:tc>
      </w:tr>
      <w:tr w:rsidR="00D37E6A" w:rsidRPr="00D37E6A" w14:paraId="7F581241" w14:textId="77777777" w:rsidTr="0021373E">
        <w:tc>
          <w:tcPr>
            <w:tcW w:w="1549" w:type="dxa"/>
            <w:shd w:val="clear" w:color="auto" w:fill="auto"/>
          </w:tcPr>
          <w:p w14:paraId="0BF27044" w14:textId="77777777" w:rsidR="00D37E6A" w:rsidRPr="00D37E6A" w:rsidRDefault="00693D1B" w:rsidP="0021373E">
            <w:pPr>
              <w:spacing w:before="80"/>
              <w:jc w:val="center"/>
              <w:rPr>
                <w:rFonts w:ascii="Arial" w:hAnsi="Arial" w:cs="Arial"/>
                <w:sz w:val="21"/>
                <w:szCs w:val="21"/>
              </w:rPr>
            </w:pPr>
            <w:r>
              <w:rPr>
                <w:rFonts w:ascii="Arial" w:hAnsi="Arial"/>
                <w:sz w:val="21"/>
                <w:szCs w:val="21"/>
              </w:rPr>
              <w:t>Prosecutors Office FBiH</w:t>
            </w:r>
          </w:p>
        </w:tc>
        <w:tc>
          <w:tcPr>
            <w:tcW w:w="1403" w:type="dxa"/>
            <w:shd w:val="clear" w:color="auto" w:fill="auto"/>
          </w:tcPr>
          <w:p w14:paraId="6EC99321" w14:textId="77777777" w:rsidR="00D37E6A" w:rsidRPr="00D37E6A" w:rsidRDefault="00D37E6A" w:rsidP="0021373E">
            <w:pPr>
              <w:spacing w:before="80"/>
              <w:rPr>
                <w:rFonts w:ascii="Arial" w:hAnsi="Arial" w:cs="Arial"/>
                <w:i/>
                <w:sz w:val="21"/>
                <w:szCs w:val="21"/>
                <w:lang w:val="en-US"/>
              </w:rPr>
            </w:pPr>
          </w:p>
        </w:tc>
        <w:tc>
          <w:tcPr>
            <w:tcW w:w="894" w:type="dxa"/>
          </w:tcPr>
          <w:p w14:paraId="461E3C31"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894" w:type="dxa"/>
          </w:tcPr>
          <w:p w14:paraId="10F81086"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179EADAA" w14:textId="77777777" w:rsidR="00D37E6A" w:rsidRPr="00D37E6A" w:rsidRDefault="00D37E6A" w:rsidP="0021373E">
            <w:pPr>
              <w:spacing w:before="80"/>
              <w:rPr>
                <w:rFonts w:ascii="Arial" w:hAnsi="Arial" w:cs="Arial"/>
                <w:sz w:val="21"/>
                <w:szCs w:val="21"/>
                <w:lang w:val="en-US"/>
              </w:rPr>
            </w:pPr>
          </w:p>
        </w:tc>
        <w:tc>
          <w:tcPr>
            <w:tcW w:w="894" w:type="dxa"/>
          </w:tcPr>
          <w:p w14:paraId="3D790316" w14:textId="77777777" w:rsidR="00D37E6A" w:rsidRPr="00D37E6A" w:rsidRDefault="00D37E6A" w:rsidP="0021373E">
            <w:pPr>
              <w:spacing w:before="80"/>
              <w:rPr>
                <w:rFonts w:ascii="Arial" w:hAnsi="Arial" w:cs="Arial"/>
                <w:sz w:val="21"/>
                <w:szCs w:val="21"/>
                <w:lang w:val="en-US"/>
              </w:rPr>
            </w:pPr>
          </w:p>
        </w:tc>
        <w:tc>
          <w:tcPr>
            <w:tcW w:w="980" w:type="dxa"/>
            <w:shd w:val="clear" w:color="auto" w:fill="auto"/>
          </w:tcPr>
          <w:p w14:paraId="667842E6"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937" w:type="dxa"/>
            <w:shd w:val="clear" w:color="auto" w:fill="auto"/>
          </w:tcPr>
          <w:p w14:paraId="2EAB5E94" w14:textId="77777777" w:rsidR="00D37E6A" w:rsidRPr="00D37E6A" w:rsidRDefault="00D37E6A" w:rsidP="0021373E">
            <w:pPr>
              <w:spacing w:before="80"/>
              <w:rPr>
                <w:rFonts w:ascii="Arial" w:hAnsi="Arial" w:cs="Arial"/>
                <w:sz w:val="21"/>
                <w:szCs w:val="21"/>
              </w:rPr>
            </w:pPr>
            <w:r>
              <w:rPr>
                <w:rFonts w:ascii="Arial" w:hAnsi="Arial"/>
                <w:sz w:val="21"/>
                <w:szCs w:val="21"/>
              </w:rPr>
              <w:t>1</w:t>
            </w:r>
          </w:p>
        </w:tc>
      </w:tr>
      <w:tr w:rsidR="00D37E6A" w:rsidRPr="00D37E6A" w14:paraId="09EB84EA" w14:textId="77777777" w:rsidTr="0021373E">
        <w:tc>
          <w:tcPr>
            <w:tcW w:w="1549" w:type="dxa"/>
            <w:shd w:val="clear" w:color="auto" w:fill="auto"/>
          </w:tcPr>
          <w:p w14:paraId="70C1342F" w14:textId="77777777" w:rsidR="00D37E6A" w:rsidRPr="00D37E6A" w:rsidRDefault="00D37E6A" w:rsidP="0021373E">
            <w:pPr>
              <w:spacing w:before="80"/>
              <w:jc w:val="center"/>
              <w:rPr>
                <w:rFonts w:ascii="Arial" w:hAnsi="Arial" w:cs="Arial"/>
                <w:sz w:val="21"/>
                <w:szCs w:val="21"/>
              </w:rPr>
            </w:pPr>
            <w:r>
              <w:rPr>
                <w:rFonts w:ascii="Arial" w:hAnsi="Arial"/>
                <w:sz w:val="21"/>
                <w:szCs w:val="21"/>
              </w:rPr>
              <w:t xml:space="preserve">High Commercial Court </w:t>
            </w:r>
          </w:p>
        </w:tc>
        <w:tc>
          <w:tcPr>
            <w:tcW w:w="1403" w:type="dxa"/>
            <w:shd w:val="clear" w:color="auto" w:fill="auto"/>
          </w:tcPr>
          <w:p w14:paraId="3EFBD08E" w14:textId="77777777" w:rsidR="00D37E6A" w:rsidRPr="00D37E6A" w:rsidRDefault="00D37E6A" w:rsidP="0021373E">
            <w:pPr>
              <w:spacing w:before="80"/>
              <w:rPr>
                <w:rFonts w:ascii="Arial" w:hAnsi="Arial" w:cs="Arial"/>
                <w:i/>
                <w:sz w:val="21"/>
                <w:szCs w:val="21"/>
                <w:lang w:val="en-US"/>
              </w:rPr>
            </w:pPr>
          </w:p>
        </w:tc>
        <w:tc>
          <w:tcPr>
            <w:tcW w:w="894" w:type="dxa"/>
          </w:tcPr>
          <w:p w14:paraId="5D7CBD90" w14:textId="77777777" w:rsidR="00D37E6A" w:rsidRPr="00D37E6A" w:rsidRDefault="00D37E6A" w:rsidP="0021373E">
            <w:pPr>
              <w:spacing w:before="80"/>
              <w:rPr>
                <w:rFonts w:ascii="Arial" w:hAnsi="Arial" w:cs="Arial"/>
                <w:sz w:val="21"/>
                <w:szCs w:val="21"/>
                <w:lang w:val="en-US"/>
              </w:rPr>
            </w:pPr>
          </w:p>
        </w:tc>
        <w:tc>
          <w:tcPr>
            <w:tcW w:w="894" w:type="dxa"/>
          </w:tcPr>
          <w:p w14:paraId="15811F52"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159B56BF" w14:textId="77777777" w:rsidR="00D37E6A" w:rsidRPr="00D37E6A" w:rsidRDefault="00D37E6A" w:rsidP="0021373E">
            <w:pPr>
              <w:spacing w:before="80"/>
              <w:rPr>
                <w:rFonts w:ascii="Arial" w:hAnsi="Arial" w:cs="Arial"/>
                <w:sz w:val="21"/>
                <w:szCs w:val="21"/>
                <w:lang w:val="en-US"/>
              </w:rPr>
            </w:pPr>
          </w:p>
        </w:tc>
        <w:tc>
          <w:tcPr>
            <w:tcW w:w="894" w:type="dxa"/>
          </w:tcPr>
          <w:p w14:paraId="035B9B95" w14:textId="77777777" w:rsidR="00D37E6A" w:rsidRPr="00D37E6A" w:rsidRDefault="00D37E6A" w:rsidP="0021373E">
            <w:pPr>
              <w:spacing w:before="80"/>
              <w:rPr>
                <w:rFonts w:ascii="Arial" w:hAnsi="Arial" w:cs="Arial"/>
                <w:sz w:val="21"/>
                <w:szCs w:val="21"/>
                <w:lang w:val="en-US"/>
              </w:rPr>
            </w:pPr>
          </w:p>
        </w:tc>
        <w:tc>
          <w:tcPr>
            <w:tcW w:w="980" w:type="dxa"/>
            <w:shd w:val="clear" w:color="auto" w:fill="auto"/>
          </w:tcPr>
          <w:p w14:paraId="6C6C4D76"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937" w:type="dxa"/>
            <w:shd w:val="clear" w:color="auto" w:fill="auto"/>
          </w:tcPr>
          <w:p w14:paraId="11E499C3" w14:textId="77777777" w:rsidR="00D37E6A" w:rsidRPr="00D37E6A" w:rsidRDefault="00D37E6A" w:rsidP="0021373E">
            <w:pPr>
              <w:spacing w:before="80"/>
              <w:rPr>
                <w:rFonts w:ascii="Arial" w:hAnsi="Arial" w:cs="Arial"/>
                <w:sz w:val="21"/>
                <w:szCs w:val="21"/>
                <w:lang w:val="en-US"/>
              </w:rPr>
            </w:pPr>
          </w:p>
        </w:tc>
      </w:tr>
      <w:tr w:rsidR="00D37E6A" w:rsidRPr="00D37E6A" w14:paraId="2855E80C" w14:textId="77777777" w:rsidTr="0021373E">
        <w:tc>
          <w:tcPr>
            <w:tcW w:w="1549" w:type="dxa"/>
            <w:shd w:val="clear" w:color="auto" w:fill="auto"/>
          </w:tcPr>
          <w:p w14:paraId="2B56CBE4" w14:textId="77777777" w:rsidR="00D37E6A" w:rsidRPr="00D37E6A" w:rsidRDefault="00D37E6A" w:rsidP="0021373E">
            <w:pPr>
              <w:spacing w:before="80"/>
              <w:jc w:val="center"/>
              <w:rPr>
                <w:rFonts w:ascii="Arial" w:hAnsi="Arial" w:cs="Arial"/>
                <w:sz w:val="21"/>
                <w:szCs w:val="21"/>
              </w:rPr>
            </w:pPr>
            <w:r>
              <w:rPr>
                <w:rFonts w:ascii="Arial" w:hAnsi="Arial"/>
                <w:sz w:val="21"/>
                <w:szCs w:val="21"/>
              </w:rPr>
              <w:t>Supreme Court RS</w:t>
            </w:r>
          </w:p>
        </w:tc>
        <w:tc>
          <w:tcPr>
            <w:tcW w:w="1403" w:type="dxa"/>
            <w:shd w:val="clear" w:color="auto" w:fill="auto"/>
          </w:tcPr>
          <w:p w14:paraId="3BD8BD39" w14:textId="77777777" w:rsidR="00D37E6A" w:rsidRPr="00D37E6A" w:rsidRDefault="00D37E6A" w:rsidP="0021373E">
            <w:pPr>
              <w:spacing w:before="80"/>
              <w:rPr>
                <w:rFonts w:ascii="Arial" w:hAnsi="Arial" w:cs="Arial"/>
                <w:i/>
                <w:sz w:val="21"/>
                <w:szCs w:val="21"/>
                <w:lang w:val="en-US"/>
              </w:rPr>
            </w:pPr>
          </w:p>
        </w:tc>
        <w:tc>
          <w:tcPr>
            <w:tcW w:w="894" w:type="dxa"/>
          </w:tcPr>
          <w:p w14:paraId="04E013EB" w14:textId="77777777" w:rsidR="00D37E6A" w:rsidRPr="00D37E6A" w:rsidRDefault="00D37E6A" w:rsidP="0021373E">
            <w:pPr>
              <w:spacing w:before="80"/>
              <w:rPr>
                <w:rFonts w:ascii="Arial" w:hAnsi="Arial" w:cs="Arial"/>
                <w:sz w:val="21"/>
                <w:szCs w:val="21"/>
                <w:lang w:val="en-US"/>
              </w:rPr>
            </w:pPr>
          </w:p>
        </w:tc>
        <w:tc>
          <w:tcPr>
            <w:tcW w:w="894" w:type="dxa"/>
          </w:tcPr>
          <w:p w14:paraId="2368DA8A" w14:textId="77777777" w:rsidR="00D37E6A" w:rsidRPr="00D37E6A" w:rsidRDefault="00D37E6A" w:rsidP="0021373E">
            <w:pPr>
              <w:spacing w:before="80"/>
              <w:rPr>
                <w:rFonts w:ascii="Arial" w:hAnsi="Arial" w:cs="Arial"/>
                <w:sz w:val="21"/>
                <w:szCs w:val="21"/>
                <w:lang w:val="en-US"/>
              </w:rPr>
            </w:pPr>
          </w:p>
        </w:tc>
        <w:tc>
          <w:tcPr>
            <w:tcW w:w="894" w:type="dxa"/>
          </w:tcPr>
          <w:p w14:paraId="0894B481" w14:textId="77777777" w:rsidR="00D37E6A" w:rsidRPr="00D37E6A" w:rsidRDefault="00D37E6A" w:rsidP="0021373E">
            <w:pPr>
              <w:spacing w:before="80"/>
              <w:rPr>
                <w:rFonts w:ascii="Arial" w:hAnsi="Arial" w:cs="Arial"/>
                <w:sz w:val="21"/>
                <w:szCs w:val="21"/>
                <w:lang w:val="en-US"/>
              </w:rPr>
            </w:pPr>
          </w:p>
        </w:tc>
        <w:tc>
          <w:tcPr>
            <w:tcW w:w="894" w:type="dxa"/>
          </w:tcPr>
          <w:p w14:paraId="4BDD8092"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980" w:type="dxa"/>
            <w:shd w:val="clear" w:color="auto" w:fill="auto"/>
          </w:tcPr>
          <w:p w14:paraId="0B9A345D" w14:textId="77777777" w:rsidR="00D37E6A" w:rsidRPr="00D37E6A" w:rsidRDefault="00D37E6A" w:rsidP="0021373E">
            <w:pPr>
              <w:spacing w:before="80"/>
              <w:rPr>
                <w:rFonts w:ascii="Arial" w:hAnsi="Arial" w:cs="Arial"/>
                <w:sz w:val="21"/>
                <w:szCs w:val="21"/>
                <w:lang w:val="en-US"/>
              </w:rPr>
            </w:pPr>
          </w:p>
        </w:tc>
        <w:tc>
          <w:tcPr>
            <w:tcW w:w="937" w:type="dxa"/>
            <w:shd w:val="clear" w:color="auto" w:fill="auto"/>
          </w:tcPr>
          <w:p w14:paraId="35D786AA" w14:textId="77777777" w:rsidR="00D37E6A" w:rsidRPr="00D37E6A" w:rsidRDefault="00D37E6A" w:rsidP="0021373E">
            <w:pPr>
              <w:spacing w:before="80"/>
              <w:rPr>
                <w:rFonts w:ascii="Arial" w:hAnsi="Arial" w:cs="Arial"/>
                <w:sz w:val="21"/>
                <w:szCs w:val="21"/>
              </w:rPr>
            </w:pPr>
            <w:r>
              <w:rPr>
                <w:rFonts w:ascii="Arial" w:hAnsi="Arial"/>
                <w:sz w:val="21"/>
                <w:szCs w:val="21"/>
              </w:rPr>
              <w:t>1</w:t>
            </w:r>
          </w:p>
        </w:tc>
      </w:tr>
      <w:tr w:rsidR="00D37E6A" w:rsidRPr="00D37E6A" w14:paraId="553DD29F" w14:textId="77777777" w:rsidTr="0021373E">
        <w:tc>
          <w:tcPr>
            <w:tcW w:w="1549" w:type="dxa"/>
            <w:shd w:val="clear" w:color="auto" w:fill="auto"/>
          </w:tcPr>
          <w:p w14:paraId="02B3E85C" w14:textId="77777777" w:rsidR="00D37E6A" w:rsidRPr="00D37E6A" w:rsidRDefault="00D37E6A" w:rsidP="0021373E">
            <w:pPr>
              <w:spacing w:before="80"/>
              <w:jc w:val="center"/>
              <w:rPr>
                <w:rFonts w:ascii="Arial" w:hAnsi="Arial" w:cs="Arial"/>
                <w:sz w:val="21"/>
                <w:szCs w:val="21"/>
              </w:rPr>
            </w:pPr>
            <w:r>
              <w:rPr>
                <w:rFonts w:ascii="Arial" w:hAnsi="Arial"/>
                <w:sz w:val="21"/>
                <w:szCs w:val="21"/>
              </w:rPr>
              <w:t>Republic Prosecutors Office of RS</w:t>
            </w:r>
          </w:p>
        </w:tc>
        <w:tc>
          <w:tcPr>
            <w:tcW w:w="1403" w:type="dxa"/>
            <w:shd w:val="clear" w:color="auto" w:fill="auto"/>
          </w:tcPr>
          <w:p w14:paraId="4AE5B649" w14:textId="77777777" w:rsidR="00D37E6A" w:rsidRPr="00D37E6A" w:rsidRDefault="00D37E6A" w:rsidP="0021373E">
            <w:pPr>
              <w:spacing w:before="80"/>
              <w:rPr>
                <w:rFonts w:ascii="Arial" w:hAnsi="Arial" w:cs="Arial"/>
                <w:i/>
                <w:sz w:val="21"/>
                <w:szCs w:val="21"/>
                <w:lang w:val="en-US"/>
              </w:rPr>
            </w:pPr>
          </w:p>
        </w:tc>
        <w:tc>
          <w:tcPr>
            <w:tcW w:w="894" w:type="dxa"/>
          </w:tcPr>
          <w:p w14:paraId="698EF672"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2C9161C9"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606124D9"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09CF87F4" w14:textId="77777777" w:rsidR="00D37E6A" w:rsidRPr="00D37E6A" w:rsidRDefault="00D37E6A" w:rsidP="0021373E">
            <w:pPr>
              <w:spacing w:before="80"/>
              <w:rPr>
                <w:rFonts w:ascii="Arial" w:hAnsi="Arial" w:cs="Arial"/>
                <w:sz w:val="21"/>
                <w:szCs w:val="21"/>
                <w:lang w:val="en-US"/>
              </w:rPr>
            </w:pPr>
          </w:p>
        </w:tc>
        <w:tc>
          <w:tcPr>
            <w:tcW w:w="980" w:type="dxa"/>
            <w:shd w:val="clear" w:color="auto" w:fill="auto"/>
          </w:tcPr>
          <w:p w14:paraId="799F5D6D"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937" w:type="dxa"/>
            <w:shd w:val="clear" w:color="auto" w:fill="auto"/>
          </w:tcPr>
          <w:p w14:paraId="71D00ADE" w14:textId="77777777" w:rsidR="00D37E6A" w:rsidRPr="00D37E6A" w:rsidRDefault="00D37E6A" w:rsidP="0021373E">
            <w:pPr>
              <w:spacing w:before="80"/>
              <w:rPr>
                <w:rFonts w:ascii="Arial" w:hAnsi="Arial" w:cs="Arial"/>
                <w:sz w:val="21"/>
                <w:szCs w:val="21"/>
              </w:rPr>
            </w:pPr>
            <w:r>
              <w:rPr>
                <w:rFonts w:ascii="Arial" w:hAnsi="Arial"/>
                <w:sz w:val="21"/>
                <w:szCs w:val="21"/>
              </w:rPr>
              <w:t>1</w:t>
            </w:r>
          </w:p>
        </w:tc>
      </w:tr>
      <w:tr w:rsidR="00D37E6A" w:rsidRPr="00D37E6A" w14:paraId="6DD2BA8E" w14:textId="77777777" w:rsidTr="0021373E">
        <w:tc>
          <w:tcPr>
            <w:tcW w:w="1549" w:type="dxa"/>
            <w:shd w:val="clear" w:color="auto" w:fill="auto"/>
          </w:tcPr>
          <w:p w14:paraId="3FC5EDDC" w14:textId="77777777" w:rsidR="00D37E6A" w:rsidRPr="00D37E6A" w:rsidRDefault="00D37E6A" w:rsidP="0021373E">
            <w:pPr>
              <w:spacing w:before="80"/>
              <w:jc w:val="center"/>
              <w:rPr>
                <w:rFonts w:ascii="Arial" w:hAnsi="Arial" w:cs="Arial"/>
                <w:sz w:val="21"/>
                <w:szCs w:val="21"/>
              </w:rPr>
            </w:pPr>
            <w:r>
              <w:rPr>
                <w:rFonts w:ascii="Arial" w:hAnsi="Arial"/>
                <w:sz w:val="21"/>
                <w:szCs w:val="21"/>
              </w:rPr>
              <w:t>Cantonal</w:t>
            </w:r>
          </w:p>
        </w:tc>
        <w:tc>
          <w:tcPr>
            <w:tcW w:w="1403" w:type="dxa"/>
            <w:shd w:val="clear" w:color="auto" w:fill="auto"/>
          </w:tcPr>
          <w:p w14:paraId="2742F16E" w14:textId="77777777" w:rsidR="00D37E6A" w:rsidRPr="00D37E6A" w:rsidRDefault="00D37E6A" w:rsidP="0021373E">
            <w:pPr>
              <w:spacing w:before="80"/>
              <w:rPr>
                <w:rFonts w:ascii="Arial" w:hAnsi="Arial" w:cs="Arial"/>
                <w:i/>
                <w:sz w:val="21"/>
                <w:szCs w:val="21"/>
              </w:rPr>
            </w:pPr>
            <w:r>
              <w:rPr>
                <w:rFonts w:ascii="Arial" w:hAnsi="Arial"/>
                <w:i/>
                <w:sz w:val="21"/>
                <w:szCs w:val="21"/>
              </w:rPr>
              <w:t>Court</w:t>
            </w:r>
          </w:p>
        </w:tc>
        <w:tc>
          <w:tcPr>
            <w:tcW w:w="894" w:type="dxa"/>
          </w:tcPr>
          <w:p w14:paraId="4E34E100" w14:textId="77777777" w:rsidR="00D37E6A" w:rsidRPr="00D37E6A" w:rsidRDefault="00D37E6A" w:rsidP="0021373E">
            <w:pPr>
              <w:spacing w:before="80"/>
              <w:rPr>
                <w:rFonts w:ascii="Arial" w:hAnsi="Arial" w:cs="Arial"/>
                <w:sz w:val="21"/>
                <w:szCs w:val="21"/>
              </w:rPr>
            </w:pPr>
            <w:r>
              <w:rPr>
                <w:rFonts w:ascii="Arial" w:hAnsi="Arial"/>
                <w:sz w:val="21"/>
                <w:szCs w:val="21"/>
              </w:rPr>
              <w:t>3</w:t>
            </w:r>
          </w:p>
        </w:tc>
        <w:tc>
          <w:tcPr>
            <w:tcW w:w="894" w:type="dxa"/>
          </w:tcPr>
          <w:p w14:paraId="5DA8A73F" w14:textId="77777777" w:rsidR="00D37E6A" w:rsidRPr="00D37E6A" w:rsidRDefault="00D37E6A" w:rsidP="0021373E">
            <w:pPr>
              <w:spacing w:before="80"/>
              <w:rPr>
                <w:rFonts w:ascii="Arial" w:hAnsi="Arial" w:cs="Arial"/>
                <w:sz w:val="21"/>
                <w:szCs w:val="21"/>
              </w:rPr>
            </w:pPr>
            <w:r>
              <w:rPr>
                <w:rFonts w:ascii="Arial" w:hAnsi="Arial"/>
                <w:sz w:val="21"/>
                <w:szCs w:val="21"/>
              </w:rPr>
              <w:t>5</w:t>
            </w:r>
          </w:p>
        </w:tc>
        <w:tc>
          <w:tcPr>
            <w:tcW w:w="894" w:type="dxa"/>
          </w:tcPr>
          <w:p w14:paraId="2A250B75" w14:textId="77777777" w:rsidR="00D37E6A" w:rsidRPr="00D37E6A" w:rsidRDefault="00D37E6A" w:rsidP="0021373E">
            <w:pPr>
              <w:spacing w:before="80"/>
              <w:rPr>
                <w:rFonts w:ascii="Arial" w:hAnsi="Arial" w:cs="Arial"/>
                <w:sz w:val="21"/>
                <w:szCs w:val="21"/>
              </w:rPr>
            </w:pPr>
            <w:r>
              <w:rPr>
                <w:rFonts w:ascii="Arial" w:hAnsi="Arial"/>
                <w:sz w:val="21"/>
                <w:szCs w:val="21"/>
              </w:rPr>
              <w:t>2</w:t>
            </w:r>
          </w:p>
        </w:tc>
        <w:tc>
          <w:tcPr>
            <w:tcW w:w="894" w:type="dxa"/>
          </w:tcPr>
          <w:p w14:paraId="6A354CBC" w14:textId="77777777" w:rsidR="00D37E6A" w:rsidRPr="00D37E6A" w:rsidRDefault="00D37E6A" w:rsidP="0021373E">
            <w:pPr>
              <w:spacing w:before="80"/>
              <w:rPr>
                <w:rFonts w:ascii="Arial" w:hAnsi="Arial" w:cs="Arial"/>
                <w:sz w:val="21"/>
                <w:szCs w:val="21"/>
              </w:rPr>
            </w:pPr>
            <w:r>
              <w:rPr>
                <w:rFonts w:ascii="Arial" w:hAnsi="Arial"/>
                <w:sz w:val="21"/>
                <w:szCs w:val="21"/>
              </w:rPr>
              <w:t>0</w:t>
            </w:r>
          </w:p>
        </w:tc>
        <w:tc>
          <w:tcPr>
            <w:tcW w:w="980" w:type="dxa"/>
            <w:shd w:val="clear" w:color="auto" w:fill="auto"/>
          </w:tcPr>
          <w:p w14:paraId="19CDC235" w14:textId="77777777" w:rsidR="00D37E6A" w:rsidRPr="00D37E6A" w:rsidRDefault="00D37E6A" w:rsidP="0021373E">
            <w:pPr>
              <w:spacing w:before="80"/>
              <w:rPr>
                <w:rFonts w:ascii="Arial" w:hAnsi="Arial" w:cs="Arial"/>
                <w:sz w:val="21"/>
                <w:szCs w:val="21"/>
              </w:rPr>
            </w:pPr>
            <w:r>
              <w:rPr>
                <w:rFonts w:ascii="Arial" w:hAnsi="Arial"/>
                <w:sz w:val="21"/>
                <w:szCs w:val="21"/>
              </w:rPr>
              <w:t>3</w:t>
            </w:r>
          </w:p>
        </w:tc>
        <w:tc>
          <w:tcPr>
            <w:tcW w:w="937" w:type="dxa"/>
            <w:shd w:val="clear" w:color="auto" w:fill="auto"/>
          </w:tcPr>
          <w:p w14:paraId="05A0330A" w14:textId="77777777" w:rsidR="00D37E6A" w:rsidRPr="00D37E6A" w:rsidRDefault="00D37E6A" w:rsidP="0021373E">
            <w:pPr>
              <w:spacing w:before="80"/>
              <w:rPr>
                <w:rFonts w:ascii="Arial" w:hAnsi="Arial" w:cs="Arial"/>
                <w:sz w:val="21"/>
                <w:szCs w:val="21"/>
              </w:rPr>
            </w:pPr>
            <w:r>
              <w:rPr>
                <w:rFonts w:ascii="Arial" w:hAnsi="Arial"/>
                <w:sz w:val="21"/>
                <w:szCs w:val="21"/>
              </w:rPr>
              <w:t>7</w:t>
            </w:r>
          </w:p>
        </w:tc>
      </w:tr>
      <w:tr w:rsidR="00D37E6A" w:rsidRPr="00D37E6A" w14:paraId="13E45EF2" w14:textId="77777777" w:rsidTr="0021373E">
        <w:tc>
          <w:tcPr>
            <w:tcW w:w="1549" w:type="dxa"/>
            <w:shd w:val="clear" w:color="auto" w:fill="auto"/>
          </w:tcPr>
          <w:p w14:paraId="484BD511" w14:textId="77777777" w:rsidR="00D37E6A" w:rsidRPr="00D37E6A" w:rsidRDefault="00D37E6A" w:rsidP="0021373E">
            <w:pPr>
              <w:spacing w:before="80"/>
              <w:jc w:val="center"/>
              <w:rPr>
                <w:rFonts w:ascii="Arial" w:hAnsi="Arial" w:cs="Arial"/>
                <w:sz w:val="21"/>
                <w:szCs w:val="21"/>
                <w:lang w:val="en-US"/>
              </w:rPr>
            </w:pPr>
          </w:p>
        </w:tc>
        <w:tc>
          <w:tcPr>
            <w:tcW w:w="1403" w:type="dxa"/>
            <w:shd w:val="clear" w:color="auto" w:fill="auto"/>
          </w:tcPr>
          <w:p w14:paraId="2039D434" w14:textId="338E2B73" w:rsidR="00D37E6A" w:rsidRPr="00D37E6A" w:rsidRDefault="00AD013A" w:rsidP="00AD013A">
            <w:pPr>
              <w:spacing w:before="80"/>
              <w:rPr>
                <w:rFonts w:ascii="Arial" w:hAnsi="Arial" w:cs="Arial"/>
                <w:i/>
                <w:sz w:val="21"/>
                <w:szCs w:val="21"/>
              </w:rPr>
            </w:pPr>
            <w:r>
              <w:rPr>
                <w:rFonts w:ascii="Arial" w:hAnsi="Arial"/>
                <w:i/>
                <w:sz w:val="21"/>
                <w:szCs w:val="21"/>
              </w:rPr>
              <w:t>P</w:t>
            </w:r>
            <w:r w:rsidR="00693D1B">
              <w:rPr>
                <w:rFonts w:ascii="Arial" w:hAnsi="Arial"/>
                <w:i/>
                <w:sz w:val="21"/>
                <w:szCs w:val="21"/>
              </w:rPr>
              <w:t xml:space="preserve">rosecutors </w:t>
            </w:r>
            <w:r>
              <w:rPr>
                <w:rFonts w:ascii="Arial" w:hAnsi="Arial"/>
                <w:i/>
                <w:sz w:val="21"/>
                <w:szCs w:val="21"/>
              </w:rPr>
              <w:t>O</w:t>
            </w:r>
            <w:r w:rsidR="00693D1B">
              <w:rPr>
                <w:rFonts w:ascii="Arial" w:hAnsi="Arial"/>
                <w:i/>
                <w:sz w:val="21"/>
                <w:szCs w:val="21"/>
              </w:rPr>
              <w:t>ffice</w:t>
            </w:r>
          </w:p>
        </w:tc>
        <w:tc>
          <w:tcPr>
            <w:tcW w:w="894" w:type="dxa"/>
          </w:tcPr>
          <w:p w14:paraId="658E9F5D" w14:textId="77777777" w:rsidR="00D37E6A" w:rsidRPr="00D37E6A" w:rsidRDefault="00D37E6A" w:rsidP="0021373E">
            <w:pPr>
              <w:spacing w:before="80"/>
              <w:rPr>
                <w:rFonts w:ascii="Arial" w:hAnsi="Arial" w:cs="Arial"/>
                <w:sz w:val="21"/>
                <w:szCs w:val="21"/>
              </w:rPr>
            </w:pPr>
            <w:r>
              <w:rPr>
                <w:rFonts w:ascii="Arial" w:hAnsi="Arial"/>
                <w:sz w:val="21"/>
                <w:szCs w:val="21"/>
              </w:rPr>
              <w:t>10</w:t>
            </w:r>
          </w:p>
        </w:tc>
        <w:tc>
          <w:tcPr>
            <w:tcW w:w="894" w:type="dxa"/>
          </w:tcPr>
          <w:p w14:paraId="2B848FC6" w14:textId="77777777" w:rsidR="00D37E6A" w:rsidRPr="00D37E6A" w:rsidRDefault="00D37E6A" w:rsidP="0021373E">
            <w:pPr>
              <w:spacing w:before="80"/>
              <w:rPr>
                <w:rFonts w:ascii="Arial" w:hAnsi="Arial" w:cs="Arial"/>
                <w:sz w:val="21"/>
                <w:szCs w:val="21"/>
              </w:rPr>
            </w:pPr>
            <w:r>
              <w:rPr>
                <w:rFonts w:ascii="Arial" w:hAnsi="Arial"/>
                <w:sz w:val="21"/>
                <w:szCs w:val="21"/>
              </w:rPr>
              <w:t>7</w:t>
            </w:r>
          </w:p>
        </w:tc>
        <w:tc>
          <w:tcPr>
            <w:tcW w:w="894" w:type="dxa"/>
          </w:tcPr>
          <w:p w14:paraId="178C625E" w14:textId="77777777" w:rsidR="00D37E6A" w:rsidRPr="00D37E6A" w:rsidRDefault="00D37E6A" w:rsidP="0021373E">
            <w:pPr>
              <w:spacing w:before="80"/>
              <w:rPr>
                <w:rFonts w:ascii="Arial" w:hAnsi="Arial" w:cs="Arial"/>
                <w:sz w:val="21"/>
                <w:szCs w:val="21"/>
              </w:rPr>
            </w:pPr>
            <w:r>
              <w:rPr>
                <w:rFonts w:ascii="Arial" w:hAnsi="Arial"/>
                <w:sz w:val="21"/>
                <w:szCs w:val="21"/>
              </w:rPr>
              <w:t>3</w:t>
            </w:r>
          </w:p>
        </w:tc>
        <w:tc>
          <w:tcPr>
            <w:tcW w:w="894" w:type="dxa"/>
          </w:tcPr>
          <w:p w14:paraId="7FA675E7" w14:textId="77777777" w:rsidR="00D37E6A" w:rsidRPr="00D37E6A" w:rsidRDefault="00D37E6A" w:rsidP="0021373E">
            <w:pPr>
              <w:spacing w:before="80"/>
              <w:rPr>
                <w:rFonts w:ascii="Arial" w:hAnsi="Arial" w:cs="Arial"/>
                <w:sz w:val="21"/>
                <w:szCs w:val="21"/>
              </w:rPr>
            </w:pPr>
            <w:r>
              <w:rPr>
                <w:rFonts w:ascii="Arial" w:hAnsi="Arial"/>
                <w:sz w:val="21"/>
                <w:szCs w:val="21"/>
              </w:rPr>
              <w:t>3</w:t>
            </w:r>
          </w:p>
        </w:tc>
        <w:tc>
          <w:tcPr>
            <w:tcW w:w="980" w:type="dxa"/>
            <w:shd w:val="clear" w:color="auto" w:fill="auto"/>
          </w:tcPr>
          <w:p w14:paraId="3006233E" w14:textId="77777777" w:rsidR="00D37E6A" w:rsidRPr="00D37E6A" w:rsidRDefault="00D37E6A" w:rsidP="0021373E">
            <w:pPr>
              <w:spacing w:before="80"/>
              <w:rPr>
                <w:rFonts w:ascii="Arial" w:hAnsi="Arial" w:cs="Arial"/>
                <w:sz w:val="21"/>
                <w:szCs w:val="21"/>
              </w:rPr>
            </w:pPr>
            <w:r>
              <w:rPr>
                <w:rFonts w:ascii="Arial" w:hAnsi="Arial"/>
                <w:sz w:val="21"/>
                <w:szCs w:val="21"/>
              </w:rPr>
              <w:t>13</w:t>
            </w:r>
          </w:p>
        </w:tc>
        <w:tc>
          <w:tcPr>
            <w:tcW w:w="937" w:type="dxa"/>
            <w:shd w:val="clear" w:color="auto" w:fill="auto"/>
          </w:tcPr>
          <w:p w14:paraId="7682D2F8" w14:textId="77777777" w:rsidR="00D37E6A" w:rsidRPr="00D37E6A" w:rsidRDefault="00D37E6A" w:rsidP="0021373E">
            <w:pPr>
              <w:spacing w:before="80"/>
              <w:rPr>
                <w:rFonts w:ascii="Arial" w:hAnsi="Arial" w:cs="Arial"/>
                <w:sz w:val="21"/>
                <w:szCs w:val="21"/>
              </w:rPr>
            </w:pPr>
            <w:r>
              <w:rPr>
                <w:rFonts w:ascii="Arial" w:hAnsi="Arial"/>
                <w:sz w:val="21"/>
                <w:szCs w:val="21"/>
              </w:rPr>
              <w:t>10</w:t>
            </w:r>
          </w:p>
        </w:tc>
      </w:tr>
      <w:tr w:rsidR="00D37E6A" w:rsidRPr="00D37E6A" w14:paraId="730365E3" w14:textId="77777777" w:rsidTr="0021373E">
        <w:tc>
          <w:tcPr>
            <w:tcW w:w="1549" w:type="dxa"/>
            <w:shd w:val="clear" w:color="auto" w:fill="auto"/>
          </w:tcPr>
          <w:p w14:paraId="3B1B1E4A" w14:textId="77777777" w:rsidR="00D37E6A" w:rsidRPr="00D37E6A" w:rsidRDefault="00D37E6A" w:rsidP="0021373E">
            <w:pPr>
              <w:spacing w:before="80"/>
              <w:jc w:val="center"/>
              <w:rPr>
                <w:rFonts w:ascii="Arial" w:hAnsi="Arial" w:cs="Arial"/>
                <w:sz w:val="21"/>
                <w:szCs w:val="21"/>
              </w:rPr>
            </w:pPr>
            <w:r>
              <w:rPr>
                <w:rFonts w:ascii="Arial" w:hAnsi="Arial"/>
                <w:sz w:val="21"/>
                <w:szCs w:val="21"/>
              </w:rPr>
              <w:t>District courts</w:t>
            </w:r>
          </w:p>
        </w:tc>
        <w:tc>
          <w:tcPr>
            <w:tcW w:w="1403" w:type="dxa"/>
            <w:shd w:val="clear" w:color="auto" w:fill="auto"/>
          </w:tcPr>
          <w:p w14:paraId="1A65D573" w14:textId="77777777" w:rsidR="00D37E6A" w:rsidRPr="00D37E6A" w:rsidRDefault="00D37E6A" w:rsidP="0021373E">
            <w:pPr>
              <w:spacing w:before="80"/>
              <w:rPr>
                <w:rFonts w:ascii="Arial" w:hAnsi="Arial" w:cs="Arial"/>
                <w:i/>
                <w:sz w:val="21"/>
                <w:szCs w:val="21"/>
                <w:lang w:val="en-US"/>
              </w:rPr>
            </w:pPr>
          </w:p>
        </w:tc>
        <w:tc>
          <w:tcPr>
            <w:tcW w:w="894" w:type="dxa"/>
          </w:tcPr>
          <w:p w14:paraId="4FBA6B14" w14:textId="77777777" w:rsidR="00D37E6A" w:rsidRPr="00D37E6A" w:rsidRDefault="00D37E6A" w:rsidP="0021373E">
            <w:pPr>
              <w:spacing w:before="80"/>
              <w:rPr>
                <w:rFonts w:ascii="Arial" w:hAnsi="Arial" w:cs="Arial"/>
                <w:sz w:val="21"/>
                <w:szCs w:val="21"/>
              </w:rPr>
            </w:pPr>
            <w:r>
              <w:rPr>
                <w:rFonts w:ascii="Arial" w:hAnsi="Arial"/>
                <w:sz w:val="21"/>
                <w:szCs w:val="21"/>
              </w:rPr>
              <w:t>1</w:t>
            </w:r>
          </w:p>
        </w:tc>
        <w:tc>
          <w:tcPr>
            <w:tcW w:w="894" w:type="dxa"/>
          </w:tcPr>
          <w:p w14:paraId="3DAAB0FD" w14:textId="77777777" w:rsidR="00D37E6A" w:rsidRPr="00D37E6A" w:rsidRDefault="00D37E6A" w:rsidP="0021373E">
            <w:pPr>
              <w:spacing w:before="80"/>
              <w:rPr>
                <w:rFonts w:ascii="Arial" w:hAnsi="Arial" w:cs="Arial"/>
                <w:sz w:val="21"/>
                <w:szCs w:val="21"/>
              </w:rPr>
            </w:pPr>
            <w:r>
              <w:rPr>
                <w:rFonts w:ascii="Arial" w:hAnsi="Arial"/>
                <w:sz w:val="21"/>
                <w:szCs w:val="21"/>
              </w:rPr>
              <w:t>0</w:t>
            </w:r>
          </w:p>
        </w:tc>
        <w:tc>
          <w:tcPr>
            <w:tcW w:w="894" w:type="dxa"/>
          </w:tcPr>
          <w:p w14:paraId="5854A1C4" w14:textId="77777777" w:rsidR="00D37E6A" w:rsidRPr="00D37E6A" w:rsidRDefault="00D37E6A" w:rsidP="0021373E">
            <w:pPr>
              <w:spacing w:before="80"/>
              <w:rPr>
                <w:rFonts w:ascii="Arial" w:hAnsi="Arial" w:cs="Arial"/>
                <w:sz w:val="21"/>
                <w:szCs w:val="21"/>
              </w:rPr>
            </w:pPr>
            <w:r>
              <w:rPr>
                <w:rFonts w:ascii="Arial" w:hAnsi="Arial"/>
                <w:sz w:val="21"/>
                <w:szCs w:val="21"/>
              </w:rPr>
              <w:t>5</w:t>
            </w:r>
          </w:p>
        </w:tc>
        <w:tc>
          <w:tcPr>
            <w:tcW w:w="894" w:type="dxa"/>
          </w:tcPr>
          <w:p w14:paraId="41CEBD76" w14:textId="77777777" w:rsidR="00D37E6A" w:rsidRPr="00D37E6A" w:rsidRDefault="00D37E6A" w:rsidP="0021373E">
            <w:pPr>
              <w:spacing w:before="80"/>
              <w:rPr>
                <w:rFonts w:ascii="Arial" w:hAnsi="Arial" w:cs="Arial"/>
                <w:sz w:val="21"/>
                <w:szCs w:val="21"/>
              </w:rPr>
            </w:pPr>
            <w:r>
              <w:rPr>
                <w:rFonts w:ascii="Arial" w:hAnsi="Arial"/>
                <w:sz w:val="21"/>
                <w:szCs w:val="21"/>
              </w:rPr>
              <w:t>0</w:t>
            </w:r>
          </w:p>
        </w:tc>
        <w:tc>
          <w:tcPr>
            <w:tcW w:w="980" w:type="dxa"/>
            <w:shd w:val="clear" w:color="auto" w:fill="auto"/>
          </w:tcPr>
          <w:p w14:paraId="334728DE" w14:textId="77777777" w:rsidR="00D37E6A" w:rsidRPr="00D37E6A" w:rsidRDefault="00D37E6A" w:rsidP="0021373E">
            <w:pPr>
              <w:spacing w:before="80"/>
              <w:rPr>
                <w:rFonts w:ascii="Arial" w:hAnsi="Arial" w:cs="Arial"/>
                <w:sz w:val="21"/>
                <w:szCs w:val="21"/>
              </w:rPr>
            </w:pPr>
            <w:r>
              <w:rPr>
                <w:rFonts w:ascii="Arial" w:hAnsi="Arial"/>
                <w:sz w:val="21"/>
                <w:szCs w:val="21"/>
              </w:rPr>
              <w:t>4</w:t>
            </w:r>
          </w:p>
        </w:tc>
        <w:tc>
          <w:tcPr>
            <w:tcW w:w="937" w:type="dxa"/>
            <w:shd w:val="clear" w:color="auto" w:fill="auto"/>
          </w:tcPr>
          <w:p w14:paraId="4BF78DB0" w14:textId="77777777" w:rsidR="00D37E6A" w:rsidRPr="00D37E6A" w:rsidRDefault="00D37E6A" w:rsidP="0021373E">
            <w:pPr>
              <w:spacing w:before="80"/>
              <w:rPr>
                <w:rFonts w:ascii="Arial" w:hAnsi="Arial" w:cs="Arial"/>
                <w:sz w:val="21"/>
                <w:szCs w:val="21"/>
              </w:rPr>
            </w:pPr>
            <w:r>
              <w:rPr>
                <w:rFonts w:ascii="Arial" w:hAnsi="Arial"/>
                <w:sz w:val="21"/>
                <w:szCs w:val="21"/>
              </w:rPr>
              <w:t>2</w:t>
            </w:r>
          </w:p>
        </w:tc>
      </w:tr>
      <w:tr w:rsidR="00D37E6A" w:rsidRPr="00D37E6A" w14:paraId="3AD3574A" w14:textId="77777777" w:rsidTr="0021373E">
        <w:tc>
          <w:tcPr>
            <w:tcW w:w="1549" w:type="dxa"/>
            <w:shd w:val="clear" w:color="auto" w:fill="auto"/>
          </w:tcPr>
          <w:p w14:paraId="6468A435" w14:textId="77777777" w:rsidR="00D37E6A" w:rsidRPr="00D37E6A" w:rsidRDefault="00D37E6A" w:rsidP="0021373E">
            <w:pPr>
              <w:spacing w:before="80"/>
              <w:jc w:val="center"/>
              <w:rPr>
                <w:rFonts w:ascii="Arial" w:hAnsi="Arial" w:cs="Arial"/>
                <w:sz w:val="21"/>
                <w:szCs w:val="21"/>
              </w:rPr>
            </w:pPr>
            <w:r>
              <w:rPr>
                <w:rFonts w:ascii="Arial" w:hAnsi="Arial"/>
                <w:sz w:val="21"/>
                <w:szCs w:val="21"/>
              </w:rPr>
              <w:t>District commercial courts</w:t>
            </w:r>
          </w:p>
        </w:tc>
        <w:tc>
          <w:tcPr>
            <w:tcW w:w="1403" w:type="dxa"/>
            <w:shd w:val="clear" w:color="auto" w:fill="D9D9D9"/>
          </w:tcPr>
          <w:p w14:paraId="1D707114" w14:textId="77777777" w:rsidR="00D37E6A" w:rsidRPr="00D37E6A" w:rsidRDefault="00D37E6A" w:rsidP="0021373E">
            <w:pPr>
              <w:spacing w:before="80"/>
              <w:jc w:val="center"/>
              <w:rPr>
                <w:rFonts w:ascii="Arial" w:hAnsi="Arial" w:cs="Arial"/>
                <w:i/>
                <w:sz w:val="21"/>
                <w:szCs w:val="21"/>
                <w:lang w:val="en-US"/>
              </w:rPr>
            </w:pPr>
          </w:p>
        </w:tc>
        <w:tc>
          <w:tcPr>
            <w:tcW w:w="894" w:type="dxa"/>
            <w:shd w:val="clear" w:color="auto" w:fill="D9D9D9"/>
          </w:tcPr>
          <w:p w14:paraId="7DAECE59" w14:textId="77777777" w:rsidR="00D37E6A" w:rsidRPr="00D37E6A" w:rsidRDefault="00D37E6A" w:rsidP="0021373E">
            <w:pPr>
              <w:spacing w:before="80"/>
              <w:jc w:val="both"/>
              <w:rPr>
                <w:rFonts w:ascii="Arial" w:hAnsi="Arial" w:cs="Arial"/>
                <w:sz w:val="21"/>
                <w:szCs w:val="21"/>
              </w:rPr>
            </w:pPr>
            <w:r>
              <w:rPr>
                <w:rFonts w:ascii="Arial" w:hAnsi="Arial"/>
                <w:sz w:val="21"/>
                <w:szCs w:val="21"/>
              </w:rPr>
              <w:t>2</w:t>
            </w:r>
          </w:p>
        </w:tc>
        <w:tc>
          <w:tcPr>
            <w:tcW w:w="894" w:type="dxa"/>
            <w:shd w:val="clear" w:color="auto" w:fill="D9D9D9"/>
          </w:tcPr>
          <w:p w14:paraId="362F347A" w14:textId="77777777" w:rsidR="00D37E6A" w:rsidRPr="00D37E6A" w:rsidRDefault="00D37E6A" w:rsidP="0021373E">
            <w:pPr>
              <w:spacing w:before="80"/>
              <w:jc w:val="both"/>
              <w:rPr>
                <w:rFonts w:ascii="Arial" w:hAnsi="Arial" w:cs="Arial"/>
                <w:sz w:val="21"/>
                <w:szCs w:val="21"/>
              </w:rPr>
            </w:pPr>
            <w:r>
              <w:rPr>
                <w:rFonts w:ascii="Arial" w:hAnsi="Arial"/>
                <w:sz w:val="21"/>
                <w:szCs w:val="21"/>
              </w:rPr>
              <w:t>0</w:t>
            </w:r>
          </w:p>
        </w:tc>
        <w:tc>
          <w:tcPr>
            <w:tcW w:w="894" w:type="dxa"/>
            <w:shd w:val="clear" w:color="auto" w:fill="D9D9D9"/>
          </w:tcPr>
          <w:p w14:paraId="4BFD07CF" w14:textId="77777777" w:rsidR="00D37E6A" w:rsidRPr="00D37E6A" w:rsidRDefault="00D37E6A" w:rsidP="0021373E">
            <w:pPr>
              <w:spacing w:before="80"/>
              <w:jc w:val="both"/>
              <w:rPr>
                <w:rFonts w:ascii="Arial" w:hAnsi="Arial" w:cs="Arial"/>
                <w:sz w:val="21"/>
                <w:szCs w:val="21"/>
              </w:rPr>
            </w:pPr>
            <w:r>
              <w:rPr>
                <w:rFonts w:ascii="Arial" w:hAnsi="Arial"/>
                <w:sz w:val="21"/>
                <w:szCs w:val="21"/>
              </w:rPr>
              <w:t>3</w:t>
            </w:r>
          </w:p>
        </w:tc>
        <w:tc>
          <w:tcPr>
            <w:tcW w:w="894" w:type="dxa"/>
            <w:shd w:val="clear" w:color="auto" w:fill="D9D9D9"/>
          </w:tcPr>
          <w:p w14:paraId="452161B9" w14:textId="77777777" w:rsidR="00D37E6A" w:rsidRPr="00D37E6A" w:rsidRDefault="00D37E6A" w:rsidP="0021373E">
            <w:pPr>
              <w:spacing w:before="80"/>
              <w:jc w:val="both"/>
              <w:rPr>
                <w:rFonts w:ascii="Arial" w:hAnsi="Arial" w:cs="Arial"/>
                <w:sz w:val="21"/>
                <w:szCs w:val="21"/>
              </w:rPr>
            </w:pPr>
            <w:r>
              <w:rPr>
                <w:rFonts w:ascii="Arial" w:hAnsi="Arial"/>
                <w:sz w:val="21"/>
                <w:szCs w:val="21"/>
              </w:rPr>
              <w:t>0</w:t>
            </w:r>
          </w:p>
        </w:tc>
        <w:tc>
          <w:tcPr>
            <w:tcW w:w="980" w:type="dxa"/>
            <w:shd w:val="clear" w:color="auto" w:fill="D9D9D9"/>
          </w:tcPr>
          <w:p w14:paraId="2CAEC1A9" w14:textId="77777777" w:rsidR="00D37E6A" w:rsidRPr="00D37E6A" w:rsidRDefault="00D37E6A" w:rsidP="0021373E">
            <w:pPr>
              <w:spacing w:before="80"/>
              <w:jc w:val="both"/>
              <w:rPr>
                <w:rFonts w:ascii="Arial" w:hAnsi="Arial" w:cs="Arial"/>
                <w:sz w:val="21"/>
                <w:szCs w:val="21"/>
              </w:rPr>
            </w:pPr>
            <w:r>
              <w:rPr>
                <w:rFonts w:ascii="Arial" w:hAnsi="Arial"/>
                <w:sz w:val="21"/>
                <w:szCs w:val="21"/>
              </w:rPr>
              <w:t>2</w:t>
            </w:r>
          </w:p>
        </w:tc>
        <w:tc>
          <w:tcPr>
            <w:tcW w:w="937" w:type="dxa"/>
            <w:shd w:val="clear" w:color="auto" w:fill="D9D9D9"/>
          </w:tcPr>
          <w:p w14:paraId="474846DD" w14:textId="77777777" w:rsidR="00D37E6A" w:rsidRPr="00D37E6A" w:rsidRDefault="00D37E6A" w:rsidP="0021373E">
            <w:pPr>
              <w:spacing w:before="80"/>
              <w:jc w:val="both"/>
              <w:rPr>
                <w:rFonts w:ascii="Arial" w:hAnsi="Arial" w:cs="Arial"/>
                <w:sz w:val="21"/>
                <w:szCs w:val="21"/>
              </w:rPr>
            </w:pPr>
            <w:r>
              <w:rPr>
                <w:rFonts w:ascii="Arial" w:hAnsi="Arial"/>
                <w:sz w:val="21"/>
                <w:szCs w:val="21"/>
              </w:rPr>
              <w:t>3</w:t>
            </w:r>
          </w:p>
        </w:tc>
      </w:tr>
      <w:tr w:rsidR="00D37E6A" w:rsidRPr="00D37E6A" w14:paraId="4B5A0C2B" w14:textId="77777777" w:rsidTr="0021373E">
        <w:tc>
          <w:tcPr>
            <w:tcW w:w="1549" w:type="dxa"/>
            <w:shd w:val="clear" w:color="auto" w:fill="auto"/>
          </w:tcPr>
          <w:p w14:paraId="58C884E7" w14:textId="77777777" w:rsidR="00D37E6A" w:rsidRPr="00D37E6A" w:rsidRDefault="00D37E6A" w:rsidP="0021373E">
            <w:pPr>
              <w:spacing w:before="80"/>
              <w:jc w:val="center"/>
              <w:rPr>
                <w:rFonts w:ascii="Arial" w:hAnsi="Arial" w:cs="Arial"/>
                <w:sz w:val="21"/>
                <w:szCs w:val="21"/>
              </w:rPr>
            </w:pPr>
            <w:r>
              <w:rPr>
                <w:rFonts w:ascii="Arial" w:hAnsi="Arial"/>
                <w:sz w:val="21"/>
                <w:szCs w:val="21"/>
              </w:rPr>
              <w:t>District Prosecutor's Offices</w:t>
            </w:r>
          </w:p>
        </w:tc>
        <w:tc>
          <w:tcPr>
            <w:tcW w:w="1403" w:type="dxa"/>
            <w:shd w:val="clear" w:color="auto" w:fill="D9D9D9"/>
          </w:tcPr>
          <w:p w14:paraId="1F9F75A6" w14:textId="77777777" w:rsidR="00D37E6A" w:rsidRPr="00D37E6A" w:rsidRDefault="00693D1B" w:rsidP="0021373E">
            <w:pPr>
              <w:spacing w:before="80"/>
              <w:jc w:val="center"/>
              <w:rPr>
                <w:rFonts w:ascii="Arial" w:hAnsi="Arial" w:cs="Arial"/>
                <w:i/>
                <w:sz w:val="21"/>
                <w:szCs w:val="21"/>
              </w:rPr>
            </w:pPr>
            <w:r>
              <w:rPr>
                <w:rFonts w:ascii="Arial" w:hAnsi="Arial"/>
                <w:i/>
                <w:sz w:val="21"/>
                <w:szCs w:val="21"/>
              </w:rPr>
              <w:t>prosecutors office</w:t>
            </w:r>
          </w:p>
        </w:tc>
        <w:tc>
          <w:tcPr>
            <w:tcW w:w="894" w:type="dxa"/>
            <w:shd w:val="clear" w:color="auto" w:fill="D9D9D9"/>
          </w:tcPr>
          <w:p w14:paraId="43713214" w14:textId="77777777" w:rsidR="00D37E6A" w:rsidRPr="00D37E6A" w:rsidRDefault="00D37E6A" w:rsidP="0021373E">
            <w:pPr>
              <w:spacing w:before="80"/>
              <w:jc w:val="both"/>
              <w:rPr>
                <w:rFonts w:ascii="Arial" w:hAnsi="Arial" w:cs="Arial"/>
                <w:sz w:val="21"/>
                <w:szCs w:val="21"/>
              </w:rPr>
            </w:pPr>
            <w:r>
              <w:rPr>
                <w:rFonts w:ascii="Arial" w:hAnsi="Arial"/>
                <w:sz w:val="21"/>
                <w:szCs w:val="21"/>
              </w:rPr>
              <w:t>4</w:t>
            </w:r>
          </w:p>
        </w:tc>
        <w:tc>
          <w:tcPr>
            <w:tcW w:w="894" w:type="dxa"/>
            <w:shd w:val="clear" w:color="auto" w:fill="D9D9D9"/>
          </w:tcPr>
          <w:p w14:paraId="689AFBC2"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894" w:type="dxa"/>
            <w:shd w:val="clear" w:color="auto" w:fill="D9D9D9"/>
          </w:tcPr>
          <w:p w14:paraId="1CB94128" w14:textId="77777777" w:rsidR="00D37E6A" w:rsidRPr="00D37E6A" w:rsidRDefault="00D37E6A" w:rsidP="0021373E">
            <w:pPr>
              <w:spacing w:before="80"/>
              <w:jc w:val="both"/>
              <w:rPr>
                <w:rFonts w:ascii="Arial" w:hAnsi="Arial" w:cs="Arial"/>
                <w:sz w:val="21"/>
                <w:szCs w:val="21"/>
              </w:rPr>
            </w:pPr>
            <w:r>
              <w:rPr>
                <w:rFonts w:ascii="Arial" w:hAnsi="Arial"/>
                <w:sz w:val="21"/>
                <w:szCs w:val="21"/>
              </w:rPr>
              <w:t>7</w:t>
            </w:r>
          </w:p>
        </w:tc>
        <w:tc>
          <w:tcPr>
            <w:tcW w:w="894" w:type="dxa"/>
            <w:shd w:val="clear" w:color="auto" w:fill="D9D9D9"/>
          </w:tcPr>
          <w:p w14:paraId="0A0562CB" w14:textId="77777777" w:rsidR="00D37E6A" w:rsidRPr="00D37E6A" w:rsidRDefault="00D37E6A" w:rsidP="0021373E">
            <w:pPr>
              <w:spacing w:before="80"/>
              <w:jc w:val="both"/>
              <w:rPr>
                <w:rFonts w:ascii="Arial" w:hAnsi="Arial" w:cs="Arial"/>
                <w:sz w:val="21"/>
                <w:szCs w:val="21"/>
              </w:rPr>
            </w:pPr>
            <w:r>
              <w:rPr>
                <w:rFonts w:ascii="Arial" w:hAnsi="Arial"/>
                <w:sz w:val="21"/>
                <w:szCs w:val="21"/>
              </w:rPr>
              <w:t>2</w:t>
            </w:r>
          </w:p>
        </w:tc>
        <w:tc>
          <w:tcPr>
            <w:tcW w:w="980" w:type="dxa"/>
            <w:shd w:val="clear" w:color="auto" w:fill="D9D9D9"/>
          </w:tcPr>
          <w:p w14:paraId="0BABAF43" w14:textId="77777777" w:rsidR="00D37E6A" w:rsidRPr="00D37E6A" w:rsidRDefault="00D37E6A" w:rsidP="0021373E">
            <w:pPr>
              <w:spacing w:before="80"/>
              <w:jc w:val="both"/>
              <w:rPr>
                <w:rFonts w:ascii="Arial" w:hAnsi="Arial" w:cs="Arial"/>
                <w:sz w:val="21"/>
                <w:szCs w:val="21"/>
              </w:rPr>
            </w:pPr>
            <w:r>
              <w:rPr>
                <w:rFonts w:ascii="Arial" w:hAnsi="Arial"/>
                <w:sz w:val="21"/>
                <w:szCs w:val="21"/>
              </w:rPr>
              <w:t>7</w:t>
            </w:r>
          </w:p>
        </w:tc>
        <w:tc>
          <w:tcPr>
            <w:tcW w:w="937" w:type="dxa"/>
            <w:shd w:val="clear" w:color="auto" w:fill="D9D9D9"/>
          </w:tcPr>
          <w:p w14:paraId="546F4294" w14:textId="77777777" w:rsidR="00D37E6A" w:rsidRPr="00D37E6A" w:rsidRDefault="00D37E6A" w:rsidP="0021373E">
            <w:pPr>
              <w:spacing w:before="80"/>
              <w:jc w:val="both"/>
              <w:rPr>
                <w:rFonts w:ascii="Arial" w:hAnsi="Arial" w:cs="Arial"/>
                <w:sz w:val="21"/>
                <w:szCs w:val="21"/>
              </w:rPr>
            </w:pPr>
            <w:r>
              <w:rPr>
                <w:rFonts w:ascii="Arial" w:hAnsi="Arial"/>
                <w:sz w:val="21"/>
                <w:szCs w:val="21"/>
              </w:rPr>
              <w:t>7</w:t>
            </w:r>
          </w:p>
        </w:tc>
      </w:tr>
      <w:tr w:rsidR="00D37E6A" w:rsidRPr="00D37E6A" w14:paraId="72FDC464" w14:textId="77777777" w:rsidTr="0021373E">
        <w:tc>
          <w:tcPr>
            <w:tcW w:w="1549" w:type="dxa"/>
            <w:shd w:val="clear" w:color="auto" w:fill="auto"/>
          </w:tcPr>
          <w:p w14:paraId="5891B6BF" w14:textId="77777777" w:rsidR="00D37E6A" w:rsidRPr="00D37E6A" w:rsidRDefault="00D37E6A" w:rsidP="0021373E">
            <w:pPr>
              <w:spacing w:before="80"/>
              <w:jc w:val="center"/>
              <w:rPr>
                <w:rFonts w:ascii="Arial" w:hAnsi="Arial" w:cs="Arial"/>
                <w:sz w:val="21"/>
                <w:szCs w:val="21"/>
              </w:rPr>
            </w:pPr>
            <w:r>
              <w:rPr>
                <w:rFonts w:ascii="Arial" w:hAnsi="Arial"/>
                <w:sz w:val="21"/>
                <w:szCs w:val="21"/>
              </w:rPr>
              <w:t>Municipal</w:t>
            </w:r>
          </w:p>
        </w:tc>
        <w:tc>
          <w:tcPr>
            <w:tcW w:w="1403" w:type="dxa"/>
            <w:shd w:val="clear" w:color="auto" w:fill="D9D9D9"/>
          </w:tcPr>
          <w:p w14:paraId="691C9128" w14:textId="77777777" w:rsidR="00D37E6A" w:rsidRPr="00D37E6A" w:rsidRDefault="00D37E6A" w:rsidP="0021373E">
            <w:pPr>
              <w:spacing w:before="80"/>
              <w:jc w:val="center"/>
              <w:rPr>
                <w:rFonts w:ascii="Arial" w:hAnsi="Arial" w:cs="Arial"/>
                <w:i/>
                <w:sz w:val="21"/>
                <w:szCs w:val="21"/>
              </w:rPr>
            </w:pPr>
            <w:r>
              <w:rPr>
                <w:rFonts w:ascii="Arial" w:hAnsi="Arial"/>
                <w:i/>
                <w:sz w:val="21"/>
                <w:szCs w:val="21"/>
              </w:rPr>
              <w:t>Courts</w:t>
            </w:r>
          </w:p>
        </w:tc>
        <w:tc>
          <w:tcPr>
            <w:tcW w:w="894" w:type="dxa"/>
            <w:shd w:val="clear" w:color="auto" w:fill="D9D9D9"/>
          </w:tcPr>
          <w:p w14:paraId="07F98839" w14:textId="77777777" w:rsidR="00D37E6A" w:rsidRPr="00D37E6A" w:rsidRDefault="00D37E6A" w:rsidP="0021373E">
            <w:pPr>
              <w:spacing w:before="80"/>
              <w:jc w:val="both"/>
              <w:rPr>
                <w:rFonts w:ascii="Arial" w:hAnsi="Arial" w:cs="Arial"/>
                <w:sz w:val="21"/>
                <w:szCs w:val="21"/>
              </w:rPr>
            </w:pPr>
            <w:r>
              <w:rPr>
                <w:rFonts w:ascii="Arial" w:hAnsi="Arial"/>
                <w:sz w:val="21"/>
                <w:szCs w:val="21"/>
              </w:rPr>
              <w:t>17</w:t>
            </w:r>
          </w:p>
        </w:tc>
        <w:tc>
          <w:tcPr>
            <w:tcW w:w="894" w:type="dxa"/>
            <w:shd w:val="clear" w:color="auto" w:fill="D9D9D9"/>
          </w:tcPr>
          <w:p w14:paraId="0AEB9A46" w14:textId="77777777" w:rsidR="00D37E6A" w:rsidRPr="00D37E6A" w:rsidRDefault="00D37E6A" w:rsidP="0021373E">
            <w:pPr>
              <w:spacing w:before="80"/>
              <w:jc w:val="both"/>
              <w:rPr>
                <w:rFonts w:ascii="Arial" w:hAnsi="Arial" w:cs="Arial"/>
                <w:sz w:val="21"/>
                <w:szCs w:val="21"/>
              </w:rPr>
            </w:pPr>
            <w:r>
              <w:rPr>
                <w:rFonts w:ascii="Arial" w:hAnsi="Arial"/>
                <w:sz w:val="21"/>
                <w:szCs w:val="21"/>
              </w:rPr>
              <w:t>10</w:t>
            </w:r>
          </w:p>
        </w:tc>
        <w:tc>
          <w:tcPr>
            <w:tcW w:w="894" w:type="dxa"/>
            <w:shd w:val="clear" w:color="auto" w:fill="D9D9D9"/>
          </w:tcPr>
          <w:p w14:paraId="0B8A1F50" w14:textId="77777777" w:rsidR="00D37E6A" w:rsidRPr="00D37E6A" w:rsidRDefault="00D37E6A" w:rsidP="0021373E">
            <w:pPr>
              <w:spacing w:before="80"/>
              <w:jc w:val="both"/>
              <w:rPr>
                <w:rFonts w:ascii="Arial" w:hAnsi="Arial" w:cs="Arial"/>
                <w:sz w:val="21"/>
                <w:szCs w:val="21"/>
              </w:rPr>
            </w:pPr>
            <w:r>
              <w:rPr>
                <w:rFonts w:ascii="Arial" w:hAnsi="Arial"/>
                <w:sz w:val="21"/>
                <w:szCs w:val="21"/>
              </w:rPr>
              <w:t>4</w:t>
            </w:r>
          </w:p>
        </w:tc>
        <w:tc>
          <w:tcPr>
            <w:tcW w:w="894" w:type="dxa"/>
            <w:shd w:val="clear" w:color="auto" w:fill="D9D9D9"/>
          </w:tcPr>
          <w:p w14:paraId="4CDFF629"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980" w:type="dxa"/>
            <w:shd w:val="clear" w:color="auto" w:fill="D9D9D9"/>
          </w:tcPr>
          <w:p w14:paraId="46F36247" w14:textId="77777777" w:rsidR="00D37E6A" w:rsidRPr="00D37E6A" w:rsidRDefault="00D37E6A" w:rsidP="0021373E">
            <w:pPr>
              <w:spacing w:before="80"/>
              <w:jc w:val="both"/>
              <w:rPr>
                <w:rFonts w:ascii="Arial" w:hAnsi="Arial" w:cs="Arial"/>
                <w:sz w:val="21"/>
                <w:szCs w:val="21"/>
              </w:rPr>
            </w:pPr>
            <w:r>
              <w:rPr>
                <w:rFonts w:ascii="Arial" w:hAnsi="Arial"/>
                <w:sz w:val="21"/>
                <w:szCs w:val="21"/>
              </w:rPr>
              <w:t>15</w:t>
            </w:r>
          </w:p>
        </w:tc>
        <w:tc>
          <w:tcPr>
            <w:tcW w:w="937" w:type="dxa"/>
            <w:shd w:val="clear" w:color="auto" w:fill="D9D9D9"/>
          </w:tcPr>
          <w:p w14:paraId="020E2067" w14:textId="77777777" w:rsidR="00D37E6A" w:rsidRPr="00D37E6A" w:rsidRDefault="00D37E6A" w:rsidP="0021373E">
            <w:pPr>
              <w:spacing w:before="80"/>
              <w:jc w:val="both"/>
              <w:rPr>
                <w:rFonts w:ascii="Arial" w:hAnsi="Arial" w:cs="Arial"/>
                <w:sz w:val="21"/>
                <w:szCs w:val="21"/>
              </w:rPr>
            </w:pPr>
            <w:r>
              <w:rPr>
                <w:rFonts w:ascii="Arial" w:hAnsi="Arial"/>
                <w:sz w:val="21"/>
                <w:szCs w:val="21"/>
              </w:rPr>
              <w:t>17</w:t>
            </w:r>
          </w:p>
        </w:tc>
      </w:tr>
      <w:tr w:rsidR="00D37E6A" w:rsidRPr="00D37E6A" w14:paraId="2AFE53B0" w14:textId="77777777" w:rsidTr="0021373E">
        <w:tc>
          <w:tcPr>
            <w:tcW w:w="1549" w:type="dxa"/>
            <w:shd w:val="clear" w:color="auto" w:fill="auto"/>
          </w:tcPr>
          <w:p w14:paraId="0C641A48" w14:textId="77777777" w:rsidR="00D37E6A" w:rsidRPr="00D37E6A" w:rsidRDefault="00D37E6A" w:rsidP="0021373E">
            <w:pPr>
              <w:spacing w:before="80"/>
              <w:jc w:val="center"/>
              <w:rPr>
                <w:rFonts w:ascii="Arial" w:hAnsi="Arial" w:cs="Arial"/>
                <w:sz w:val="21"/>
                <w:szCs w:val="21"/>
              </w:rPr>
            </w:pPr>
            <w:r>
              <w:rPr>
                <w:rFonts w:ascii="Arial" w:hAnsi="Arial"/>
                <w:sz w:val="21"/>
                <w:szCs w:val="21"/>
              </w:rPr>
              <w:t>Basic</w:t>
            </w:r>
          </w:p>
        </w:tc>
        <w:tc>
          <w:tcPr>
            <w:tcW w:w="1403" w:type="dxa"/>
            <w:shd w:val="clear" w:color="auto" w:fill="D9D9D9"/>
          </w:tcPr>
          <w:p w14:paraId="77510090" w14:textId="413F94C5" w:rsidR="00D37E6A" w:rsidRPr="00D37E6A" w:rsidRDefault="00AD013A" w:rsidP="0021373E">
            <w:pPr>
              <w:spacing w:before="80"/>
              <w:jc w:val="center"/>
              <w:rPr>
                <w:rFonts w:ascii="Arial" w:hAnsi="Arial" w:cs="Arial"/>
                <w:i/>
                <w:sz w:val="21"/>
                <w:szCs w:val="21"/>
              </w:rPr>
            </w:pPr>
            <w:r>
              <w:rPr>
                <w:rFonts w:ascii="Arial" w:hAnsi="Arial"/>
                <w:i/>
                <w:sz w:val="21"/>
                <w:szCs w:val="21"/>
              </w:rPr>
              <w:t>C</w:t>
            </w:r>
            <w:r w:rsidR="00D37E6A">
              <w:rPr>
                <w:rFonts w:ascii="Arial" w:hAnsi="Arial"/>
                <w:i/>
                <w:sz w:val="21"/>
                <w:szCs w:val="21"/>
              </w:rPr>
              <w:t>ourts</w:t>
            </w:r>
          </w:p>
        </w:tc>
        <w:tc>
          <w:tcPr>
            <w:tcW w:w="894" w:type="dxa"/>
            <w:shd w:val="clear" w:color="auto" w:fill="D9D9D9"/>
          </w:tcPr>
          <w:p w14:paraId="798F8E4B" w14:textId="77777777" w:rsidR="00D37E6A" w:rsidRPr="00D37E6A" w:rsidRDefault="00D37E6A" w:rsidP="0021373E">
            <w:pPr>
              <w:spacing w:before="80"/>
              <w:jc w:val="both"/>
              <w:rPr>
                <w:rFonts w:ascii="Arial" w:hAnsi="Arial" w:cs="Arial"/>
                <w:sz w:val="21"/>
                <w:szCs w:val="21"/>
              </w:rPr>
            </w:pPr>
            <w:r>
              <w:rPr>
                <w:rFonts w:ascii="Arial" w:hAnsi="Arial"/>
                <w:sz w:val="21"/>
                <w:szCs w:val="21"/>
              </w:rPr>
              <w:t>4</w:t>
            </w:r>
          </w:p>
        </w:tc>
        <w:tc>
          <w:tcPr>
            <w:tcW w:w="894" w:type="dxa"/>
            <w:shd w:val="clear" w:color="auto" w:fill="D9D9D9"/>
          </w:tcPr>
          <w:p w14:paraId="1352C85D"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894" w:type="dxa"/>
            <w:shd w:val="clear" w:color="auto" w:fill="D9D9D9"/>
          </w:tcPr>
          <w:p w14:paraId="69DD47AA" w14:textId="77777777" w:rsidR="00D37E6A" w:rsidRPr="00D37E6A" w:rsidRDefault="00D37E6A" w:rsidP="0021373E">
            <w:pPr>
              <w:spacing w:before="80"/>
              <w:jc w:val="both"/>
              <w:rPr>
                <w:rFonts w:ascii="Arial" w:hAnsi="Arial" w:cs="Arial"/>
                <w:sz w:val="21"/>
                <w:szCs w:val="21"/>
              </w:rPr>
            </w:pPr>
            <w:r>
              <w:rPr>
                <w:rFonts w:ascii="Arial" w:hAnsi="Arial"/>
                <w:sz w:val="21"/>
                <w:szCs w:val="21"/>
              </w:rPr>
              <w:t>15</w:t>
            </w:r>
          </w:p>
        </w:tc>
        <w:tc>
          <w:tcPr>
            <w:tcW w:w="894" w:type="dxa"/>
            <w:shd w:val="clear" w:color="auto" w:fill="D9D9D9"/>
          </w:tcPr>
          <w:p w14:paraId="69132138"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980" w:type="dxa"/>
            <w:shd w:val="clear" w:color="auto" w:fill="D9D9D9"/>
          </w:tcPr>
          <w:p w14:paraId="1DEE40BB" w14:textId="77777777" w:rsidR="00D37E6A" w:rsidRPr="00D37E6A" w:rsidRDefault="00D37E6A" w:rsidP="0021373E">
            <w:pPr>
              <w:spacing w:before="80"/>
              <w:jc w:val="both"/>
              <w:rPr>
                <w:rFonts w:ascii="Arial" w:hAnsi="Arial" w:cs="Arial"/>
                <w:sz w:val="21"/>
                <w:szCs w:val="21"/>
              </w:rPr>
            </w:pPr>
            <w:r>
              <w:rPr>
                <w:rFonts w:ascii="Arial" w:hAnsi="Arial"/>
                <w:sz w:val="21"/>
                <w:szCs w:val="21"/>
              </w:rPr>
              <w:t>9</w:t>
            </w:r>
          </w:p>
        </w:tc>
        <w:tc>
          <w:tcPr>
            <w:tcW w:w="937" w:type="dxa"/>
            <w:shd w:val="clear" w:color="auto" w:fill="D9D9D9"/>
          </w:tcPr>
          <w:p w14:paraId="5836022D" w14:textId="77777777" w:rsidR="00D37E6A" w:rsidRPr="00D37E6A" w:rsidRDefault="00D37E6A" w:rsidP="0021373E">
            <w:pPr>
              <w:spacing w:before="80"/>
              <w:jc w:val="both"/>
              <w:rPr>
                <w:rFonts w:ascii="Arial" w:hAnsi="Arial" w:cs="Arial"/>
                <w:sz w:val="21"/>
                <w:szCs w:val="21"/>
              </w:rPr>
            </w:pPr>
            <w:r>
              <w:rPr>
                <w:rFonts w:ascii="Arial" w:hAnsi="Arial"/>
                <w:sz w:val="21"/>
                <w:szCs w:val="21"/>
              </w:rPr>
              <w:t>12</w:t>
            </w:r>
          </w:p>
        </w:tc>
      </w:tr>
      <w:tr w:rsidR="00D37E6A" w:rsidRPr="00D37E6A" w14:paraId="54B5FFFA" w14:textId="77777777" w:rsidTr="0021373E">
        <w:tc>
          <w:tcPr>
            <w:tcW w:w="1549" w:type="dxa"/>
            <w:shd w:val="clear" w:color="auto" w:fill="auto"/>
          </w:tcPr>
          <w:p w14:paraId="79DD4A85" w14:textId="77777777" w:rsidR="00D37E6A" w:rsidRPr="00D37E6A" w:rsidRDefault="00D37E6A" w:rsidP="0021373E">
            <w:pPr>
              <w:spacing w:before="80"/>
              <w:jc w:val="center"/>
              <w:rPr>
                <w:rFonts w:ascii="Arial" w:hAnsi="Arial" w:cs="Arial"/>
                <w:sz w:val="21"/>
                <w:szCs w:val="21"/>
              </w:rPr>
            </w:pPr>
            <w:r>
              <w:rPr>
                <w:rFonts w:ascii="Arial" w:hAnsi="Arial"/>
                <w:sz w:val="21"/>
                <w:szCs w:val="21"/>
              </w:rPr>
              <w:t>The Appellate Court of the Brcko District BiH</w:t>
            </w:r>
          </w:p>
        </w:tc>
        <w:tc>
          <w:tcPr>
            <w:tcW w:w="1403" w:type="dxa"/>
            <w:shd w:val="clear" w:color="auto" w:fill="D9D9D9"/>
          </w:tcPr>
          <w:p w14:paraId="3980CA60" w14:textId="77777777" w:rsidR="00D37E6A" w:rsidRPr="00D37E6A" w:rsidRDefault="00D37E6A" w:rsidP="0021373E">
            <w:pPr>
              <w:spacing w:before="80"/>
              <w:jc w:val="center"/>
              <w:rPr>
                <w:rFonts w:ascii="Arial" w:hAnsi="Arial" w:cs="Arial"/>
                <w:i/>
                <w:sz w:val="21"/>
                <w:szCs w:val="21"/>
              </w:rPr>
            </w:pPr>
            <w:r>
              <w:rPr>
                <w:rFonts w:ascii="Arial" w:hAnsi="Arial"/>
                <w:i/>
                <w:sz w:val="21"/>
                <w:szCs w:val="21"/>
              </w:rPr>
              <w:t>Appellate Court</w:t>
            </w:r>
          </w:p>
        </w:tc>
        <w:tc>
          <w:tcPr>
            <w:tcW w:w="894" w:type="dxa"/>
            <w:shd w:val="clear" w:color="auto" w:fill="D9D9D9"/>
          </w:tcPr>
          <w:p w14:paraId="1CE09AAC" w14:textId="77777777" w:rsidR="00D37E6A" w:rsidRPr="00D37E6A" w:rsidRDefault="00D37E6A" w:rsidP="0021373E">
            <w:pPr>
              <w:spacing w:before="80"/>
              <w:jc w:val="both"/>
              <w:rPr>
                <w:rFonts w:ascii="Arial" w:hAnsi="Arial" w:cs="Arial"/>
                <w:sz w:val="21"/>
                <w:szCs w:val="21"/>
                <w:lang w:val="en-US"/>
              </w:rPr>
            </w:pPr>
          </w:p>
        </w:tc>
        <w:tc>
          <w:tcPr>
            <w:tcW w:w="894" w:type="dxa"/>
            <w:shd w:val="clear" w:color="auto" w:fill="D9D9D9"/>
          </w:tcPr>
          <w:p w14:paraId="6F9A6B22" w14:textId="77777777" w:rsidR="00D37E6A" w:rsidRPr="00D37E6A" w:rsidRDefault="00D37E6A" w:rsidP="0021373E">
            <w:pPr>
              <w:spacing w:before="80"/>
              <w:jc w:val="both"/>
              <w:rPr>
                <w:rFonts w:ascii="Arial" w:hAnsi="Arial" w:cs="Arial"/>
                <w:sz w:val="21"/>
                <w:szCs w:val="21"/>
                <w:lang w:val="en-US"/>
              </w:rPr>
            </w:pPr>
          </w:p>
        </w:tc>
        <w:tc>
          <w:tcPr>
            <w:tcW w:w="894" w:type="dxa"/>
            <w:shd w:val="clear" w:color="auto" w:fill="D9D9D9"/>
          </w:tcPr>
          <w:p w14:paraId="120CEF77"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894" w:type="dxa"/>
            <w:shd w:val="clear" w:color="auto" w:fill="D9D9D9"/>
          </w:tcPr>
          <w:p w14:paraId="154B624E" w14:textId="77777777" w:rsidR="00D37E6A" w:rsidRPr="00D37E6A" w:rsidRDefault="00D37E6A" w:rsidP="0021373E">
            <w:pPr>
              <w:spacing w:before="80"/>
              <w:jc w:val="both"/>
              <w:rPr>
                <w:rFonts w:ascii="Arial" w:hAnsi="Arial" w:cs="Arial"/>
                <w:sz w:val="21"/>
                <w:szCs w:val="21"/>
                <w:lang w:val="en-US"/>
              </w:rPr>
            </w:pPr>
          </w:p>
        </w:tc>
        <w:tc>
          <w:tcPr>
            <w:tcW w:w="980" w:type="dxa"/>
            <w:shd w:val="clear" w:color="auto" w:fill="D9D9D9"/>
          </w:tcPr>
          <w:p w14:paraId="0806F50C"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937" w:type="dxa"/>
            <w:shd w:val="clear" w:color="auto" w:fill="D9D9D9"/>
          </w:tcPr>
          <w:p w14:paraId="0DF3955E" w14:textId="77777777" w:rsidR="00D37E6A" w:rsidRPr="00D37E6A" w:rsidRDefault="00D37E6A" w:rsidP="0021373E">
            <w:pPr>
              <w:spacing w:before="80"/>
              <w:jc w:val="both"/>
              <w:rPr>
                <w:rFonts w:ascii="Arial" w:hAnsi="Arial" w:cs="Arial"/>
                <w:sz w:val="21"/>
                <w:szCs w:val="21"/>
                <w:lang w:val="en-US"/>
              </w:rPr>
            </w:pPr>
          </w:p>
        </w:tc>
      </w:tr>
      <w:tr w:rsidR="00D37E6A" w:rsidRPr="00D37E6A" w14:paraId="2A1FD892" w14:textId="77777777" w:rsidTr="0021373E">
        <w:tc>
          <w:tcPr>
            <w:tcW w:w="1549" w:type="dxa"/>
            <w:shd w:val="clear" w:color="auto" w:fill="auto"/>
          </w:tcPr>
          <w:p w14:paraId="652A08F0" w14:textId="77777777" w:rsidR="00D37E6A" w:rsidRPr="00D37E6A" w:rsidRDefault="00D37E6A" w:rsidP="0021373E">
            <w:pPr>
              <w:spacing w:before="80"/>
              <w:jc w:val="center"/>
              <w:rPr>
                <w:rFonts w:ascii="Arial" w:hAnsi="Arial" w:cs="Arial"/>
                <w:sz w:val="21"/>
                <w:szCs w:val="21"/>
              </w:rPr>
            </w:pPr>
            <w:r>
              <w:rPr>
                <w:rFonts w:ascii="Arial" w:hAnsi="Arial"/>
                <w:sz w:val="21"/>
                <w:szCs w:val="21"/>
              </w:rPr>
              <w:t>The Basic Court of the Brcko District BiH</w:t>
            </w:r>
          </w:p>
        </w:tc>
        <w:tc>
          <w:tcPr>
            <w:tcW w:w="1403" w:type="dxa"/>
            <w:shd w:val="clear" w:color="auto" w:fill="D9D9D9"/>
          </w:tcPr>
          <w:p w14:paraId="18A5C757" w14:textId="77777777" w:rsidR="00D37E6A" w:rsidRPr="00D37E6A" w:rsidRDefault="00D37E6A" w:rsidP="0021373E">
            <w:pPr>
              <w:spacing w:before="80"/>
              <w:jc w:val="center"/>
              <w:rPr>
                <w:rFonts w:ascii="Arial" w:hAnsi="Arial" w:cs="Arial"/>
                <w:i/>
                <w:sz w:val="21"/>
                <w:szCs w:val="21"/>
              </w:rPr>
            </w:pPr>
            <w:r>
              <w:rPr>
                <w:rFonts w:ascii="Arial" w:hAnsi="Arial"/>
                <w:i/>
                <w:sz w:val="21"/>
                <w:szCs w:val="21"/>
              </w:rPr>
              <w:t>Basic Court</w:t>
            </w:r>
          </w:p>
        </w:tc>
        <w:tc>
          <w:tcPr>
            <w:tcW w:w="894" w:type="dxa"/>
            <w:shd w:val="clear" w:color="auto" w:fill="D9D9D9"/>
          </w:tcPr>
          <w:p w14:paraId="2ADD1A84" w14:textId="77777777" w:rsidR="00D37E6A" w:rsidRPr="00D37E6A" w:rsidRDefault="00D37E6A" w:rsidP="0021373E">
            <w:pPr>
              <w:spacing w:before="80"/>
              <w:jc w:val="both"/>
              <w:rPr>
                <w:rFonts w:ascii="Arial" w:hAnsi="Arial" w:cs="Arial"/>
                <w:sz w:val="21"/>
                <w:szCs w:val="21"/>
                <w:lang w:val="en-US"/>
              </w:rPr>
            </w:pPr>
          </w:p>
        </w:tc>
        <w:tc>
          <w:tcPr>
            <w:tcW w:w="894" w:type="dxa"/>
            <w:shd w:val="clear" w:color="auto" w:fill="D9D9D9"/>
          </w:tcPr>
          <w:p w14:paraId="7F4EFF7C"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894" w:type="dxa"/>
            <w:shd w:val="clear" w:color="auto" w:fill="D9D9D9"/>
          </w:tcPr>
          <w:p w14:paraId="14AC2778" w14:textId="77777777" w:rsidR="00D37E6A" w:rsidRPr="00D37E6A" w:rsidRDefault="00D37E6A" w:rsidP="0021373E">
            <w:pPr>
              <w:spacing w:before="80"/>
              <w:jc w:val="both"/>
              <w:rPr>
                <w:rFonts w:ascii="Arial" w:hAnsi="Arial" w:cs="Arial"/>
                <w:sz w:val="21"/>
                <w:szCs w:val="21"/>
                <w:lang w:val="en-US"/>
              </w:rPr>
            </w:pPr>
          </w:p>
        </w:tc>
        <w:tc>
          <w:tcPr>
            <w:tcW w:w="894" w:type="dxa"/>
            <w:shd w:val="clear" w:color="auto" w:fill="D9D9D9"/>
          </w:tcPr>
          <w:p w14:paraId="2B72DDF8" w14:textId="77777777" w:rsidR="00D37E6A" w:rsidRPr="00D37E6A" w:rsidRDefault="00D37E6A" w:rsidP="0021373E">
            <w:pPr>
              <w:spacing w:before="80"/>
              <w:jc w:val="both"/>
              <w:rPr>
                <w:rFonts w:ascii="Arial" w:hAnsi="Arial" w:cs="Arial"/>
                <w:sz w:val="21"/>
                <w:szCs w:val="21"/>
                <w:lang w:val="en-US"/>
              </w:rPr>
            </w:pPr>
          </w:p>
        </w:tc>
        <w:tc>
          <w:tcPr>
            <w:tcW w:w="980" w:type="dxa"/>
            <w:shd w:val="clear" w:color="auto" w:fill="D9D9D9"/>
          </w:tcPr>
          <w:p w14:paraId="70BA2F7C"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937" w:type="dxa"/>
            <w:shd w:val="clear" w:color="auto" w:fill="D9D9D9"/>
          </w:tcPr>
          <w:p w14:paraId="31BC9153" w14:textId="77777777" w:rsidR="00D37E6A" w:rsidRPr="00D37E6A" w:rsidRDefault="00D37E6A" w:rsidP="0021373E">
            <w:pPr>
              <w:spacing w:before="80"/>
              <w:jc w:val="both"/>
              <w:rPr>
                <w:rFonts w:ascii="Arial" w:hAnsi="Arial" w:cs="Arial"/>
                <w:sz w:val="21"/>
                <w:szCs w:val="21"/>
                <w:lang w:val="en-US"/>
              </w:rPr>
            </w:pPr>
          </w:p>
        </w:tc>
      </w:tr>
      <w:tr w:rsidR="00D37E6A" w:rsidRPr="00D37E6A" w14:paraId="453475AF" w14:textId="77777777" w:rsidTr="0021373E">
        <w:tc>
          <w:tcPr>
            <w:tcW w:w="1549" w:type="dxa"/>
            <w:shd w:val="clear" w:color="auto" w:fill="auto"/>
          </w:tcPr>
          <w:p w14:paraId="22C43474" w14:textId="77777777" w:rsidR="00D37E6A" w:rsidRPr="00D37E6A" w:rsidRDefault="00D37E6A" w:rsidP="0021373E">
            <w:pPr>
              <w:spacing w:before="80"/>
              <w:jc w:val="center"/>
              <w:rPr>
                <w:rFonts w:ascii="Arial" w:hAnsi="Arial" w:cs="Arial"/>
                <w:sz w:val="21"/>
                <w:szCs w:val="21"/>
              </w:rPr>
            </w:pPr>
            <w:r>
              <w:rPr>
                <w:rFonts w:ascii="Arial" w:hAnsi="Arial"/>
                <w:sz w:val="21"/>
                <w:szCs w:val="21"/>
              </w:rPr>
              <w:t>Brcko District BiH</w:t>
            </w:r>
          </w:p>
        </w:tc>
        <w:tc>
          <w:tcPr>
            <w:tcW w:w="1403" w:type="dxa"/>
            <w:shd w:val="clear" w:color="auto" w:fill="D9D9D9"/>
          </w:tcPr>
          <w:p w14:paraId="5C1D10B1" w14:textId="77777777" w:rsidR="00D37E6A" w:rsidRPr="00D37E6A" w:rsidRDefault="00693D1B" w:rsidP="0021373E">
            <w:pPr>
              <w:spacing w:before="80"/>
              <w:jc w:val="center"/>
              <w:rPr>
                <w:rFonts w:ascii="Arial" w:hAnsi="Arial" w:cs="Arial"/>
                <w:i/>
                <w:sz w:val="21"/>
                <w:szCs w:val="21"/>
              </w:rPr>
            </w:pPr>
            <w:r>
              <w:rPr>
                <w:rFonts w:ascii="Arial" w:hAnsi="Arial"/>
                <w:i/>
                <w:sz w:val="21"/>
                <w:szCs w:val="21"/>
              </w:rPr>
              <w:t>prosecutors office</w:t>
            </w:r>
          </w:p>
        </w:tc>
        <w:tc>
          <w:tcPr>
            <w:tcW w:w="894" w:type="dxa"/>
            <w:shd w:val="clear" w:color="auto" w:fill="D9D9D9"/>
          </w:tcPr>
          <w:p w14:paraId="62164C3C"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894" w:type="dxa"/>
            <w:shd w:val="clear" w:color="auto" w:fill="D9D9D9"/>
          </w:tcPr>
          <w:p w14:paraId="0C779642" w14:textId="77777777" w:rsidR="00D37E6A" w:rsidRPr="00D37E6A" w:rsidRDefault="00D37E6A" w:rsidP="0021373E">
            <w:pPr>
              <w:spacing w:before="80"/>
              <w:jc w:val="both"/>
              <w:rPr>
                <w:rFonts w:ascii="Arial" w:hAnsi="Arial" w:cs="Arial"/>
                <w:sz w:val="21"/>
                <w:szCs w:val="21"/>
              </w:rPr>
            </w:pPr>
            <w:r>
              <w:rPr>
                <w:rFonts w:ascii="Arial" w:hAnsi="Arial"/>
                <w:sz w:val="21"/>
                <w:szCs w:val="21"/>
              </w:rPr>
              <w:t>1</w:t>
            </w:r>
          </w:p>
        </w:tc>
        <w:tc>
          <w:tcPr>
            <w:tcW w:w="894" w:type="dxa"/>
            <w:shd w:val="clear" w:color="auto" w:fill="D9D9D9"/>
          </w:tcPr>
          <w:p w14:paraId="62CC0A23" w14:textId="77777777" w:rsidR="00D37E6A" w:rsidRPr="00D37E6A" w:rsidRDefault="00D37E6A" w:rsidP="0021373E">
            <w:pPr>
              <w:spacing w:before="80"/>
              <w:jc w:val="both"/>
              <w:rPr>
                <w:rFonts w:ascii="Arial" w:hAnsi="Arial" w:cs="Arial"/>
                <w:sz w:val="21"/>
                <w:szCs w:val="21"/>
                <w:lang w:val="en-US"/>
              </w:rPr>
            </w:pPr>
          </w:p>
        </w:tc>
        <w:tc>
          <w:tcPr>
            <w:tcW w:w="894" w:type="dxa"/>
            <w:shd w:val="clear" w:color="auto" w:fill="D9D9D9"/>
          </w:tcPr>
          <w:p w14:paraId="48ADC857" w14:textId="77777777" w:rsidR="00D37E6A" w:rsidRPr="00D37E6A" w:rsidRDefault="00D37E6A" w:rsidP="0021373E">
            <w:pPr>
              <w:spacing w:before="80"/>
              <w:jc w:val="both"/>
              <w:rPr>
                <w:rFonts w:ascii="Arial" w:hAnsi="Arial" w:cs="Arial"/>
                <w:sz w:val="21"/>
                <w:szCs w:val="21"/>
                <w:lang w:val="en-US"/>
              </w:rPr>
            </w:pPr>
          </w:p>
        </w:tc>
        <w:tc>
          <w:tcPr>
            <w:tcW w:w="980" w:type="dxa"/>
            <w:shd w:val="clear" w:color="auto" w:fill="D9D9D9"/>
          </w:tcPr>
          <w:p w14:paraId="4DEB9376" w14:textId="77777777" w:rsidR="00D37E6A" w:rsidRPr="00D37E6A" w:rsidRDefault="00D37E6A" w:rsidP="0021373E">
            <w:pPr>
              <w:spacing w:before="80"/>
              <w:jc w:val="both"/>
              <w:rPr>
                <w:rFonts w:ascii="Arial" w:hAnsi="Arial" w:cs="Arial"/>
                <w:sz w:val="21"/>
                <w:szCs w:val="21"/>
              </w:rPr>
            </w:pPr>
            <w:r>
              <w:rPr>
                <w:rFonts w:ascii="Arial" w:hAnsi="Arial"/>
                <w:sz w:val="21"/>
                <w:szCs w:val="21"/>
              </w:rPr>
              <w:t>2</w:t>
            </w:r>
          </w:p>
        </w:tc>
        <w:tc>
          <w:tcPr>
            <w:tcW w:w="937" w:type="dxa"/>
            <w:shd w:val="clear" w:color="auto" w:fill="D9D9D9"/>
          </w:tcPr>
          <w:p w14:paraId="6184F83F" w14:textId="77777777" w:rsidR="00D37E6A" w:rsidRPr="00D37E6A" w:rsidRDefault="00D37E6A" w:rsidP="0021373E">
            <w:pPr>
              <w:spacing w:before="80"/>
              <w:jc w:val="both"/>
              <w:rPr>
                <w:rFonts w:ascii="Arial" w:hAnsi="Arial" w:cs="Arial"/>
                <w:sz w:val="21"/>
                <w:szCs w:val="21"/>
                <w:lang w:val="en-US"/>
              </w:rPr>
            </w:pPr>
          </w:p>
        </w:tc>
      </w:tr>
      <w:tr w:rsidR="00D37E6A" w:rsidRPr="00D37E6A" w14:paraId="37080DC7" w14:textId="77777777" w:rsidTr="0021373E">
        <w:tc>
          <w:tcPr>
            <w:tcW w:w="1549" w:type="dxa"/>
            <w:shd w:val="clear" w:color="auto" w:fill="auto"/>
          </w:tcPr>
          <w:p w14:paraId="08938A87" w14:textId="77777777" w:rsidR="00D37E6A" w:rsidRPr="00D37E6A" w:rsidRDefault="00D37E6A" w:rsidP="0021373E">
            <w:pPr>
              <w:spacing w:before="80"/>
              <w:jc w:val="center"/>
              <w:rPr>
                <w:rFonts w:ascii="Arial" w:hAnsi="Arial" w:cs="Arial"/>
                <w:b/>
                <w:sz w:val="21"/>
                <w:szCs w:val="21"/>
              </w:rPr>
            </w:pPr>
            <w:r>
              <w:rPr>
                <w:rFonts w:ascii="Arial" w:hAnsi="Arial"/>
                <w:b/>
                <w:sz w:val="21"/>
                <w:szCs w:val="21"/>
              </w:rPr>
              <w:t>TOTAL</w:t>
            </w:r>
          </w:p>
        </w:tc>
        <w:tc>
          <w:tcPr>
            <w:tcW w:w="1403" w:type="dxa"/>
            <w:shd w:val="clear" w:color="auto" w:fill="D9D9D9"/>
          </w:tcPr>
          <w:p w14:paraId="1F360941" w14:textId="77777777" w:rsidR="00D37E6A" w:rsidRPr="00D37E6A" w:rsidRDefault="00D37E6A" w:rsidP="0021373E">
            <w:pPr>
              <w:spacing w:before="80"/>
              <w:jc w:val="center"/>
              <w:rPr>
                <w:rFonts w:ascii="Arial" w:hAnsi="Arial" w:cs="Arial"/>
                <w:b/>
                <w:i/>
                <w:sz w:val="21"/>
                <w:szCs w:val="21"/>
                <w:lang w:val="en-US"/>
              </w:rPr>
            </w:pPr>
          </w:p>
        </w:tc>
        <w:tc>
          <w:tcPr>
            <w:tcW w:w="894" w:type="dxa"/>
            <w:shd w:val="clear" w:color="auto" w:fill="D9D9D9"/>
          </w:tcPr>
          <w:p w14:paraId="770DBC88" w14:textId="77777777" w:rsidR="00D37E6A" w:rsidRPr="00D37E6A" w:rsidRDefault="00D37E6A" w:rsidP="0021373E">
            <w:pPr>
              <w:spacing w:before="80"/>
              <w:jc w:val="both"/>
              <w:rPr>
                <w:rFonts w:ascii="Arial" w:hAnsi="Arial" w:cs="Arial"/>
                <w:b/>
                <w:sz w:val="21"/>
                <w:szCs w:val="21"/>
              </w:rPr>
            </w:pPr>
            <w:r>
              <w:rPr>
                <w:rFonts w:ascii="Arial" w:hAnsi="Arial"/>
                <w:b/>
                <w:sz w:val="21"/>
                <w:szCs w:val="21"/>
              </w:rPr>
              <w:t>47</w:t>
            </w:r>
          </w:p>
        </w:tc>
        <w:tc>
          <w:tcPr>
            <w:tcW w:w="894" w:type="dxa"/>
            <w:shd w:val="clear" w:color="auto" w:fill="D9D9D9"/>
          </w:tcPr>
          <w:p w14:paraId="650696E7" w14:textId="77777777" w:rsidR="00D37E6A" w:rsidRPr="00D37E6A" w:rsidRDefault="00D37E6A" w:rsidP="0021373E">
            <w:pPr>
              <w:spacing w:before="80"/>
              <w:jc w:val="both"/>
              <w:rPr>
                <w:rFonts w:ascii="Arial" w:hAnsi="Arial" w:cs="Arial"/>
                <w:b/>
                <w:sz w:val="21"/>
                <w:szCs w:val="21"/>
              </w:rPr>
            </w:pPr>
            <w:r>
              <w:rPr>
                <w:rFonts w:ascii="Arial" w:hAnsi="Arial"/>
                <w:b/>
                <w:sz w:val="21"/>
                <w:szCs w:val="21"/>
              </w:rPr>
              <w:t>29</w:t>
            </w:r>
          </w:p>
        </w:tc>
        <w:tc>
          <w:tcPr>
            <w:tcW w:w="894" w:type="dxa"/>
            <w:shd w:val="clear" w:color="auto" w:fill="D9D9D9"/>
          </w:tcPr>
          <w:p w14:paraId="48D81287" w14:textId="77777777" w:rsidR="00D37E6A" w:rsidRPr="00D37E6A" w:rsidRDefault="00D37E6A" w:rsidP="0021373E">
            <w:pPr>
              <w:spacing w:before="80"/>
              <w:jc w:val="both"/>
              <w:rPr>
                <w:rFonts w:ascii="Arial" w:hAnsi="Arial" w:cs="Arial"/>
                <w:b/>
                <w:sz w:val="21"/>
                <w:szCs w:val="21"/>
              </w:rPr>
            </w:pPr>
            <w:r>
              <w:rPr>
                <w:rFonts w:ascii="Arial" w:hAnsi="Arial"/>
                <w:b/>
                <w:sz w:val="21"/>
                <w:szCs w:val="21"/>
              </w:rPr>
              <w:t>44</w:t>
            </w:r>
          </w:p>
        </w:tc>
        <w:tc>
          <w:tcPr>
            <w:tcW w:w="894" w:type="dxa"/>
            <w:shd w:val="clear" w:color="auto" w:fill="D9D9D9"/>
          </w:tcPr>
          <w:p w14:paraId="244BB37D" w14:textId="77777777" w:rsidR="00D37E6A" w:rsidRPr="00D37E6A" w:rsidRDefault="00D37E6A" w:rsidP="0021373E">
            <w:pPr>
              <w:spacing w:before="80"/>
              <w:jc w:val="both"/>
              <w:rPr>
                <w:rFonts w:ascii="Arial" w:hAnsi="Arial" w:cs="Arial"/>
                <w:b/>
                <w:sz w:val="21"/>
                <w:szCs w:val="21"/>
              </w:rPr>
            </w:pPr>
            <w:r>
              <w:rPr>
                <w:rFonts w:ascii="Arial" w:hAnsi="Arial"/>
                <w:b/>
                <w:sz w:val="21"/>
                <w:szCs w:val="21"/>
              </w:rPr>
              <w:t>9</w:t>
            </w:r>
          </w:p>
        </w:tc>
        <w:tc>
          <w:tcPr>
            <w:tcW w:w="980" w:type="dxa"/>
            <w:shd w:val="clear" w:color="auto" w:fill="D9D9D9"/>
          </w:tcPr>
          <w:p w14:paraId="07319236" w14:textId="77777777" w:rsidR="00D37E6A" w:rsidRPr="00D37E6A" w:rsidRDefault="00D37E6A" w:rsidP="0021373E">
            <w:pPr>
              <w:spacing w:before="80"/>
              <w:jc w:val="both"/>
              <w:rPr>
                <w:rFonts w:ascii="Arial" w:hAnsi="Arial" w:cs="Arial"/>
                <w:b/>
                <w:sz w:val="21"/>
                <w:szCs w:val="21"/>
              </w:rPr>
            </w:pPr>
            <w:r>
              <w:rPr>
                <w:rFonts w:ascii="Arial" w:hAnsi="Arial"/>
                <w:b/>
                <w:sz w:val="21"/>
                <w:szCs w:val="21"/>
              </w:rPr>
              <w:t>65</w:t>
            </w:r>
          </w:p>
        </w:tc>
        <w:tc>
          <w:tcPr>
            <w:tcW w:w="937" w:type="dxa"/>
            <w:shd w:val="clear" w:color="auto" w:fill="D9D9D9"/>
          </w:tcPr>
          <w:p w14:paraId="13C2E641" w14:textId="77777777" w:rsidR="00D37E6A" w:rsidRPr="00D37E6A" w:rsidRDefault="00D37E6A" w:rsidP="0021373E">
            <w:pPr>
              <w:spacing w:before="80"/>
              <w:jc w:val="both"/>
              <w:rPr>
                <w:rFonts w:ascii="Arial" w:hAnsi="Arial" w:cs="Arial"/>
                <w:b/>
                <w:sz w:val="21"/>
                <w:szCs w:val="21"/>
              </w:rPr>
            </w:pPr>
            <w:r>
              <w:rPr>
                <w:rFonts w:ascii="Arial" w:hAnsi="Arial"/>
                <w:b/>
                <w:sz w:val="21"/>
                <w:szCs w:val="21"/>
              </w:rPr>
              <w:t>64</w:t>
            </w:r>
          </w:p>
        </w:tc>
      </w:tr>
    </w:tbl>
    <w:p w14:paraId="4B054DAE" w14:textId="77777777" w:rsidR="005E20BC" w:rsidRPr="00C13E91" w:rsidRDefault="005E20BC" w:rsidP="005365C9">
      <w:pPr>
        <w:pStyle w:val="TREINASLOV"/>
      </w:pPr>
      <w:bookmarkStart w:id="24" w:name="_Toc97722047"/>
      <w:bookmarkStart w:id="25" w:name="_Toc112852411"/>
      <w:r>
        <w:t>The database with questions for entrance exams has been expanded to include 600 new exam questions</w:t>
      </w:r>
      <w:bookmarkEnd w:id="24"/>
      <w:bookmarkEnd w:id="25"/>
      <w:r>
        <w:t xml:space="preserve"> </w:t>
      </w:r>
    </w:p>
    <w:p w14:paraId="2581E381" w14:textId="45871E21" w:rsidR="005E20BC" w:rsidRPr="00247F2A" w:rsidRDefault="005E20BC" w:rsidP="005E20BC">
      <w:pPr>
        <w:pStyle w:val="Tekst"/>
        <w:rPr>
          <w:rFonts w:eastAsia="Calibri"/>
        </w:rPr>
      </w:pPr>
      <w:r>
        <w:t xml:space="preserve">The Standing Committee for Test Procedures, Structured Interviews and </w:t>
      </w:r>
      <w:r w:rsidR="00AD013A">
        <w:t>I</w:t>
      </w:r>
      <w:r>
        <w:t xml:space="preserve">mproving the Appointment Procedure adopted, among others, the recommendations from the Analysis of test procedures and structured interviews for entry-level candidates with reference to expanding the entrance exams questions database. </w:t>
      </w:r>
    </w:p>
    <w:p w14:paraId="030196CC" w14:textId="77777777" w:rsidR="005E20BC" w:rsidRPr="00247F2A" w:rsidRDefault="005E20BC" w:rsidP="005E20BC">
      <w:pPr>
        <w:pStyle w:val="Tekst"/>
        <w:rPr>
          <w:rFonts w:eastAsia="Calibri"/>
        </w:rPr>
      </w:pPr>
      <w:r>
        <w:lastRenderedPageBreak/>
        <w:t>Eight experts (judges and prosecutors from the entity supreme courts and entity prosecutors offices as well as judges from the High Commercial Court in Banja Luka) were selected to develop questions for the civil, criminal and commercial fields.</w:t>
      </w:r>
    </w:p>
    <w:p w14:paraId="6F02B5CC" w14:textId="77777777" w:rsidR="005E20BC" w:rsidRPr="00247F2A" w:rsidRDefault="005E20BC" w:rsidP="005E20BC">
      <w:pPr>
        <w:pStyle w:val="Tekst"/>
        <w:rPr>
          <w:rFonts w:eastAsia="Calibri"/>
        </w:rPr>
      </w:pPr>
      <w:r>
        <w:t>The experts developed 600 additional questions. The new test questions will be entered in the database, publicly disclosed and used for organising entrance exams in 2022.</w:t>
      </w:r>
    </w:p>
    <w:p w14:paraId="56053AF6" w14:textId="70DBADBF" w:rsidR="005E20BC" w:rsidRPr="00863AD4" w:rsidRDefault="005E20BC" w:rsidP="005E20BC">
      <w:pPr>
        <w:pStyle w:val="Tekst"/>
      </w:pPr>
      <w:r>
        <w:t>This means that the database has been increased by some 21.5%, while at the same time implementing one of the TAIEX recommendations (</w:t>
      </w:r>
      <w:r>
        <w:rPr>
          <w:szCs w:val="21"/>
          <w:shd w:val="clear" w:color="auto" w:fill="FFFFFF"/>
        </w:rPr>
        <w:t xml:space="preserve">Technical Assistance and Information Exchange </w:t>
      </w:r>
      <w:r w:rsidR="00AD013A">
        <w:rPr>
          <w:szCs w:val="21"/>
          <w:shd w:val="clear" w:color="auto" w:fill="FFFFFF"/>
        </w:rPr>
        <w:t>I</w:t>
      </w:r>
      <w:r>
        <w:rPr>
          <w:szCs w:val="21"/>
          <w:shd w:val="clear" w:color="auto" w:fill="FFFFFF"/>
        </w:rPr>
        <w:t xml:space="preserve">nstrument of the European Commission) </w:t>
      </w:r>
      <w:r>
        <w:t xml:space="preserve">expert </w:t>
      </w:r>
      <w:r>
        <w:rPr>
          <w:i/>
          <w:iCs/>
        </w:rPr>
        <w:t>Peer review</w:t>
      </w:r>
      <w:r>
        <w:t xml:space="preserve"> mission in Bosnia and Herzegovina regarding the procedures and criteria used for the appointment of judges and prosecutors</w:t>
      </w:r>
      <w:r w:rsidR="00912BAB" w:rsidRPr="00912BAB">
        <w:rPr>
          <w:rStyle w:val="FootnoteReference"/>
          <w:lang w:val="bs-Latn-BA"/>
        </w:rPr>
        <w:footnoteReference w:id="5"/>
      </w:r>
      <w:r>
        <w:t xml:space="preserve"> with reference to planning reviews, updating and the ongoing implementation of the test database. The activity was carried out with funds from the Improving Judicial Quality Project (IJQ) financed by the Norwegian government.</w:t>
      </w:r>
    </w:p>
    <w:p w14:paraId="21B3D6D8" w14:textId="77777777" w:rsidR="00A64857" w:rsidRPr="001A0537" w:rsidRDefault="00A64857" w:rsidP="00A64857">
      <w:pPr>
        <w:tabs>
          <w:tab w:val="left" w:pos="1065"/>
        </w:tabs>
        <w:rPr>
          <w:rFonts w:ascii="Arial" w:hAnsi="Arial" w:cs="Arial"/>
          <w:lang w:val="hr-BA"/>
        </w:rPr>
      </w:pPr>
    </w:p>
    <w:p w14:paraId="0B45F064" w14:textId="77777777" w:rsidR="00A64857" w:rsidRPr="001A0537" w:rsidRDefault="00A64857" w:rsidP="00A64857">
      <w:pPr>
        <w:tabs>
          <w:tab w:val="left" w:pos="1065"/>
        </w:tabs>
        <w:rPr>
          <w:rFonts w:ascii="Arial" w:hAnsi="Arial" w:cs="Arial"/>
          <w:lang w:val="hr-BA"/>
        </w:rPr>
      </w:pPr>
    </w:p>
    <w:p w14:paraId="1523F097" w14:textId="77777777" w:rsidR="00A64857" w:rsidRPr="001A0537" w:rsidRDefault="00A64857" w:rsidP="00A64857">
      <w:pPr>
        <w:tabs>
          <w:tab w:val="left" w:pos="1065"/>
        </w:tabs>
        <w:rPr>
          <w:rFonts w:ascii="Arial" w:hAnsi="Arial" w:cs="Arial"/>
          <w:lang w:val="hr-BA"/>
        </w:rPr>
      </w:pPr>
    </w:p>
    <w:p w14:paraId="1ED1968B" w14:textId="77777777" w:rsidR="00345E83" w:rsidRPr="001A0537" w:rsidRDefault="00345E83" w:rsidP="00A64857">
      <w:pPr>
        <w:tabs>
          <w:tab w:val="left" w:pos="1065"/>
        </w:tabs>
        <w:rPr>
          <w:rFonts w:ascii="Arial" w:hAnsi="Arial" w:cs="Arial"/>
          <w:lang w:val="hr-BA"/>
        </w:rPr>
      </w:pPr>
    </w:p>
    <w:p w14:paraId="6989031F" w14:textId="77777777" w:rsidR="00345E83" w:rsidRPr="001A0537" w:rsidRDefault="00345E83" w:rsidP="00A64857">
      <w:pPr>
        <w:tabs>
          <w:tab w:val="left" w:pos="1065"/>
        </w:tabs>
        <w:rPr>
          <w:rFonts w:ascii="Arial" w:hAnsi="Arial" w:cs="Arial"/>
          <w:lang w:val="hr-BA"/>
        </w:rPr>
      </w:pPr>
    </w:p>
    <w:p w14:paraId="4849B80B" w14:textId="77777777" w:rsidR="00A64857" w:rsidRPr="001A0537" w:rsidRDefault="00A64857" w:rsidP="00A64857">
      <w:pPr>
        <w:tabs>
          <w:tab w:val="left" w:pos="1065"/>
        </w:tabs>
        <w:rPr>
          <w:rFonts w:ascii="Arial" w:hAnsi="Arial" w:cs="Arial"/>
          <w:lang w:val="hr-BA"/>
        </w:rPr>
      </w:pPr>
    </w:p>
    <w:p w14:paraId="4F265A88" w14:textId="77777777" w:rsidR="00A64857" w:rsidRPr="001A0537" w:rsidRDefault="00A64857" w:rsidP="00A64857">
      <w:pPr>
        <w:tabs>
          <w:tab w:val="left" w:pos="1065"/>
        </w:tabs>
        <w:rPr>
          <w:rFonts w:ascii="Arial" w:hAnsi="Arial" w:cs="Arial"/>
          <w:lang w:val="hr-BA"/>
        </w:rPr>
      </w:pPr>
    </w:p>
    <w:p w14:paraId="0D6BF9C3" w14:textId="77777777" w:rsidR="00A64857" w:rsidRPr="001A0537" w:rsidRDefault="00A64857" w:rsidP="00A64857">
      <w:pPr>
        <w:tabs>
          <w:tab w:val="left" w:pos="1065"/>
        </w:tabs>
        <w:rPr>
          <w:rFonts w:ascii="Arial" w:hAnsi="Arial" w:cs="Arial"/>
          <w:lang w:val="hr-BA"/>
        </w:rPr>
      </w:pPr>
    </w:p>
    <w:p w14:paraId="025965F7" w14:textId="77777777" w:rsidR="00A64857" w:rsidRPr="001A0537" w:rsidRDefault="00A64857" w:rsidP="00A64857">
      <w:pPr>
        <w:tabs>
          <w:tab w:val="left" w:pos="1065"/>
        </w:tabs>
        <w:rPr>
          <w:rFonts w:ascii="Arial" w:hAnsi="Arial" w:cs="Arial"/>
          <w:lang w:val="hr-BA"/>
        </w:rPr>
      </w:pPr>
    </w:p>
    <w:p w14:paraId="3AA96A14" w14:textId="77777777" w:rsidR="00A64857" w:rsidRPr="001A0537" w:rsidRDefault="00A64857" w:rsidP="00A64857">
      <w:pPr>
        <w:tabs>
          <w:tab w:val="left" w:pos="1065"/>
        </w:tabs>
        <w:rPr>
          <w:rFonts w:ascii="Arial" w:hAnsi="Arial" w:cs="Arial"/>
          <w:lang w:val="hr-BA"/>
        </w:rPr>
      </w:pPr>
    </w:p>
    <w:p w14:paraId="105767B3" w14:textId="77777777" w:rsidR="00A64857" w:rsidRPr="001A0537" w:rsidRDefault="00A64857" w:rsidP="00A64857">
      <w:pPr>
        <w:tabs>
          <w:tab w:val="left" w:pos="1065"/>
        </w:tabs>
        <w:rPr>
          <w:rFonts w:ascii="Arial" w:hAnsi="Arial" w:cs="Arial"/>
          <w:lang w:val="hr-BA"/>
        </w:rPr>
      </w:pPr>
    </w:p>
    <w:p w14:paraId="0431EDC3" w14:textId="77777777" w:rsidR="00D37E6A" w:rsidRDefault="00D37E6A">
      <w:pPr>
        <w:rPr>
          <w:rFonts w:ascii="Arial" w:hAnsi="Arial" w:cs="Arial"/>
          <w:b/>
          <w:bCs/>
          <w:kern w:val="32"/>
          <w:sz w:val="32"/>
          <w:szCs w:val="32"/>
        </w:rPr>
      </w:pPr>
      <w:r>
        <w:br w:type="page"/>
      </w:r>
    </w:p>
    <w:p w14:paraId="0A7AFA01" w14:textId="77777777" w:rsidR="00A64857" w:rsidRPr="001A0537" w:rsidRDefault="00164ADB" w:rsidP="00F50066">
      <w:pPr>
        <w:pStyle w:val="PRVINASLOV"/>
      </w:pPr>
      <w:bookmarkStart w:id="27" w:name="_Toc97722048"/>
      <w:bookmarkStart w:id="28" w:name="_Toc112852412"/>
      <w:r>
        <w:lastRenderedPageBreak/>
        <w:t>DISCIPLINARY LIABILITY OF JUDICIAL OFFICE HOLDERS</w:t>
      </w:r>
      <w:bookmarkEnd w:id="27"/>
      <w:bookmarkEnd w:id="28"/>
    </w:p>
    <w:p w14:paraId="2AD5B9A1" w14:textId="77777777" w:rsidR="00127CBB" w:rsidRDefault="00127CBB" w:rsidP="00127CBB">
      <w:pPr>
        <w:pStyle w:val="DRUGINASLOV"/>
      </w:pPr>
      <w:bookmarkStart w:id="29" w:name="_Toc97722049"/>
      <w:bookmarkStart w:id="30" w:name="_Toc112852413"/>
      <w:r>
        <w:t>Improving disciplinary procedures</w:t>
      </w:r>
      <w:bookmarkEnd w:id="29"/>
      <w:bookmarkEnd w:id="30"/>
    </w:p>
    <w:p w14:paraId="643F10FB" w14:textId="09DDD2B1" w:rsidR="00127CBB" w:rsidRDefault="00127CBB" w:rsidP="00127CBB">
      <w:pPr>
        <w:pStyle w:val="Tekst"/>
      </w:pPr>
      <w:r>
        <w:t xml:space="preserve">Various activities were carried out in 2021 - on analysing procedures and current practices of the HJPC BiH disciplinary panels - aimed at further improving disciplinary procedures, primarily with reference to efficiency and transparency as well as providing information on disciplinary procedures. </w:t>
      </w:r>
    </w:p>
    <w:p w14:paraId="627B4F90" w14:textId="49F0C96C" w:rsidR="00127CBB" w:rsidRDefault="00127CBB" w:rsidP="00127CBB">
      <w:pPr>
        <w:pStyle w:val="Tekst"/>
      </w:pPr>
      <w:r>
        <w:t xml:space="preserve">To that end, an analysis was carried out and disclosed of disciplinary decisions based on disciplinary offence for the past three years, which contains summaries of final disciplinary decisions and is used to further improve disciplinary procedures as well as to prepare and implement training programs for the members of the disciplinary panels. </w:t>
      </w:r>
    </w:p>
    <w:p w14:paraId="2FA8341C" w14:textId="42A4161D" w:rsidR="00127CBB" w:rsidRDefault="00127CBB" w:rsidP="00127CBB">
      <w:pPr>
        <w:pStyle w:val="Tekst"/>
      </w:pPr>
      <w:r>
        <w:t xml:space="preserve">Based on the findings on the analysis as well as the conclusions and recommendations on regular training for the members of the disciplinary panels, activities were initiated to improve this area by further expanding the provisions of the HJPC BiH Rules of Procedure - until such time when the most recent amendments to the Law on the HJPC BiH are adopted. </w:t>
      </w:r>
    </w:p>
    <w:p w14:paraId="62E3E61E" w14:textId="3E028393" w:rsidR="00127CBB" w:rsidRDefault="00127CBB" w:rsidP="00127CBB">
      <w:pPr>
        <w:pStyle w:val="Tekst"/>
      </w:pPr>
      <w:r>
        <w:t xml:space="preserve">All final disciplinary decisions that were rendered in 2021, have been anonymised and placed on the HJPC BiH website and made available for the judicial community and general public, while for disciplinary procedures of greater interest to the public, the HJPC BiH provided separate press releases.  </w:t>
      </w:r>
    </w:p>
    <w:p w14:paraId="5C0005D5" w14:textId="77777777" w:rsidR="00127CBB" w:rsidRPr="00127CBB" w:rsidRDefault="00127CBB" w:rsidP="00127CBB">
      <w:pPr>
        <w:pStyle w:val="DRUGINASLOV"/>
      </w:pPr>
      <w:bookmarkStart w:id="31" w:name="_Toc97722050"/>
      <w:bookmarkStart w:id="32" w:name="_Toc112852414"/>
      <w:r>
        <w:t>Disciplinary proceedings</w:t>
      </w:r>
      <w:bookmarkEnd w:id="31"/>
      <w:bookmarkEnd w:id="32"/>
    </w:p>
    <w:p w14:paraId="07EC9CAA" w14:textId="77777777" w:rsidR="00657058" w:rsidRDefault="00657058" w:rsidP="00127CBB">
      <w:pPr>
        <w:pStyle w:val="TREINASLOV"/>
      </w:pPr>
      <w:bookmarkStart w:id="33" w:name="_Toc97722051"/>
      <w:bookmarkStart w:id="34" w:name="_Toc112852415"/>
      <w:r>
        <w:t>Complaints against judicial office holders alleging breach of duty</w:t>
      </w:r>
      <w:bookmarkEnd w:id="33"/>
      <w:bookmarkEnd w:id="34"/>
    </w:p>
    <w:p w14:paraId="1B42E8E5" w14:textId="77777777" w:rsidR="00657058" w:rsidRDefault="00657058" w:rsidP="00657058">
      <w:pPr>
        <w:pStyle w:val="Tekst"/>
      </w:pPr>
      <w:r>
        <w:t xml:space="preserve">In 2021, the Office of the Disciplinary Counsel (ODC) received 925 complaints, or 28.1% more than in 2020. In 2021, the ODC processed 939 complaints, which is 6% more than the number of complaints processed in 2020 (886 complaints). </w:t>
      </w:r>
    </w:p>
    <w:p w14:paraId="70ED6970" w14:textId="77777777" w:rsidR="00657058" w:rsidRDefault="00657058" w:rsidP="00657058">
      <w:pPr>
        <w:pStyle w:val="Tekst"/>
      </w:pPr>
      <w:r>
        <w:t>The most common reasons for filing complaints were the length of proceedings before courts and prosecutor's offices and dissatisfaction with court decisions.</w:t>
      </w:r>
    </w:p>
    <w:p w14:paraId="5EF2DC21" w14:textId="77777777" w:rsidR="00657058" w:rsidRDefault="00657058" w:rsidP="00657058">
      <w:pPr>
        <w:pStyle w:val="Tekst"/>
      </w:pPr>
      <w:r>
        <w:t>The majority of complaints relate to the length of the proceedings: 26% of complaints referred to the length of the proceedings before the court, and 11% referred to the length of proceedings before the prosecutor's office. Also, 12% of the complaints referred to neglect or careless exercise of official duties by a judge and 9% neglect or careless exercise of official duties by a prosecutor.</w:t>
      </w:r>
    </w:p>
    <w:p w14:paraId="25F3D44D" w14:textId="77777777" w:rsidR="00657058" w:rsidRPr="00091B55" w:rsidRDefault="00657058" w:rsidP="00657058">
      <w:pPr>
        <w:pStyle w:val="Tekst"/>
      </w:pPr>
      <w:r>
        <w:t xml:space="preserve">When considering complaints concerning the duration of proceedings, apart from the objective length of the proceedings, the ODC must prove the subjective failures of a judge or prosecutor that caused delays in the proceedings. Taking into consideration performance indicators for </w:t>
      </w:r>
      <w:r>
        <w:lastRenderedPageBreak/>
        <w:t>judges and prosecutors, which, among others, refer to the number of pending cases, performance quotas, backlog reduction plans, chronological case processing, etc., in many cases the ODC found that, despite the objective length of proceedings, there was not enough evidence of a breach of duty by the relevant judge/prosecutor.</w:t>
      </w:r>
    </w:p>
    <w:p w14:paraId="1624608C" w14:textId="0C3F071A" w:rsidR="00657058" w:rsidRDefault="00657058" w:rsidP="00657058">
      <w:pPr>
        <w:pStyle w:val="Tekst"/>
      </w:pPr>
      <w:r>
        <w:t xml:space="preserve">Article 87 of the Law on the HJPC BiH stipulates that a judge or prosecutor may not be subject to civil liability for opinions expressed or decisions taken within the scope of official duties. However, this immunity does not refer to disciplinary liability for judges (and legal associates with adjudicative powers) for  disciplinary offences pursuant to Article 56, paragraph 9) of the Law on the HJPC BiH: “issuing decisions in patent violation of the law or persistent and unjustified violation of procedural rules“. </w:t>
      </w:r>
    </w:p>
    <w:p w14:paraId="0C9894C8" w14:textId="126DE864" w:rsidR="00657058" w:rsidRDefault="00657058" w:rsidP="00657058">
      <w:pPr>
        <w:pStyle w:val="Tekst"/>
      </w:pPr>
      <w:r>
        <w:t>It should also be noted that 24% of the complaints were filed against judges for disciplinary offences pursuant to Article 56, paragraph 9) of the Law on the HJPC BiH: “issuing decisions in patent violation of the law or persistent and unjustified violation of procedural rules“, where the allegations in the complaints are to a certain extent related to the outcome of the case, meaning that a number of these complaints should be viewed in the wider context of dissatisfaction with the decisions rendered.</w:t>
      </w:r>
    </w:p>
    <w:p w14:paraId="54907FCB" w14:textId="77777777" w:rsidR="00657058" w:rsidRDefault="00657058" w:rsidP="00657058">
      <w:pPr>
        <w:pStyle w:val="Tekst"/>
      </w:pPr>
      <w:r>
        <w:t>In 2021, the average disposition time was 190 days, which is considerably less compared to the statutory deadline under which the ODC is required to resolve a complaint within two years of its filing.</w:t>
      </w:r>
    </w:p>
    <w:p w14:paraId="46835EFF" w14:textId="77777777" w:rsidR="00657058" w:rsidRPr="004C5D8F" w:rsidRDefault="00657058" w:rsidP="00127CBB">
      <w:pPr>
        <w:pStyle w:val="TREINASLOV"/>
      </w:pPr>
      <w:bookmarkStart w:id="35" w:name="_Toc97722052"/>
      <w:bookmarkStart w:id="36" w:name="_Toc112852416"/>
      <w:r>
        <w:t>Initiated disciplinary proceedings</w:t>
      </w:r>
      <w:bookmarkEnd w:id="35"/>
      <w:bookmarkEnd w:id="36"/>
    </w:p>
    <w:p w14:paraId="38E024B8" w14:textId="77777777" w:rsidR="00657058" w:rsidRPr="00375777" w:rsidRDefault="00657058" w:rsidP="00657058">
      <w:pPr>
        <w:pStyle w:val="Tekst"/>
      </w:pPr>
      <w:r>
        <w:t xml:space="preserve">The ODC initiated 35 cases in 2021, four more than the year before. </w:t>
      </w:r>
    </w:p>
    <w:p w14:paraId="09ED76A5" w14:textId="4A7554B0" w:rsidR="00657058" w:rsidRPr="00375777" w:rsidRDefault="00657058" w:rsidP="00657058">
      <w:pPr>
        <w:pStyle w:val="Tekst"/>
      </w:pPr>
      <w:r>
        <w:t>In two disciplinary cases, the ODC motioned that disciplinary panels impose the measure of dismissal.</w:t>
      </w:r>
    </w:p>
    <w:p w14:paraId="75ED5C93" w14:textId="77777777" w:rsidR="00657058" w:rsidRPr="00375777" w:rsidRDefault="00657058" w:rsidP="00657058">
      <w:pPr>
        <w:pStyle w:val="Tekst"/>
      </w:pPr>
      <w:r>
        <w:t xml:space="preserve">Most of the proceedings were instituted against judges (17). Eight proceedings were initiated against prosecutors. Proceedings were also initiated against 5 court presidents (2 municipal court presidents, 1 basic court president, the president of the Basic Court of the Brcko District BiH and the president of the Court of BiH), as well as against 4 chief prosecutors in that one chief prosecutor had two disciplinary proceedings initiated against them in one year (Republic Public Prosecutors Office of RS), and 1 chief cantonal prosecutor, 1 chief district public prosecutor and the chief prosecutor of the Prosecutors Office of BiH. </w:t>
      </w:r>
    </w:p>
    <w:p w14:paraId="2E055BEE" w14:textId="26F48B80" w:rsidR="00657058" w:rsidRPr="00A23F00" w:rsidRDefault="00BE3B39" w:rsidP="00657058">
      <w:pPr>
        <w:pStyle w:val="Caption"/>
        <w:rPr>
          <w:rFonts w:cs="Arial"/>
          <w:b w:val="0"/>
        </w:rPr>
      </w:pPr>
      <w:r>
        <w:t>Graph</w:t>
      </w:r>
      <w:r w:rsidR="009E77AF">
        <w:t xml:space="preserve"> </w:t>
      </w:r>
      <w:r w:rsidR="006D1459">
        <w:fldChar w:fldCharType="begin"/>
      </w:r>
      <w:r w:rsidR="006D1459">
        <w:instrText xml:space="preserve"> SEQ Graph \* ARABIC </w:instrText>
      </w:r>
      <w:r w:rsidR="006D1459">
        <w:fldChar w:fldCharType="separate"/>
      </w:r>
      <w:r>
        <w:rPr>
          <w:noProof/>
        </w:rPr>
        <w:t>2</w:t>
      </w:r>
      <w:r w:rsidR="006D1459">
        <w:rPr>
          <w:noProof/>
        </w:rPr>
        <w:fldChar w:fldCharType="end"/>
      </w:r>
      <w:r w:rsidR="00657058">
        <w:t>: Disciplinary complaints and judicial office holders</w:t>
      </w:r>
    </w:p>
    <w:p w14:paraId="1EA47BED" w14:textId="4C90D867" w:rsidR="005F41BA" w:rsidRDefault="005B343D" w:rsidP="005F41BA">
      <w:pPr>
        <w:jc w:val="center"/>
        <w:rPr>
          <w:iCs/>
        </w:rPr>
      </w:pPr>
      <w:r>
        <w:rPr>
          <w:noProof/>
          <w:lang w:val="bs-Latn-BA" w:eastAsia="bs-Latn-BA"/>
        </w:rPr>
        <w:lastRenderedPageBreak/>
        <w:drawing>
          <wp:inline distT="0" distB="0" distL="0" distR="0" wp14:anchorId="6BCAC287" wp14:editId="4D532871">
            <wp:extent cx="5686425" cy="2714625"/>
            <wp:effectExtent l="0" t="0" r="9525" b="9525"/>
            <wp:docPr id="227" name="Chart 2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FF1A52">
        <w:rPr>
          <w:noProof/>
          <w:lang w:val="bs-Latn-BA" w:eastAsia="bs-Latn-BA"/>
        </w:rPr>
        <w:t xml:space="preserve"> </w:t>
      </w:r>
    </w:p>
    <w:p w14:paraId="2732EAFF" w14:textId="77777777" w:rsidR="005F41BA" w:rsidRDefault="005F41BA" w:rsidP="005F41BA"/>
    <w:p w14:paraId="676DFF71" w14:textId="53522B65" w:rsidR="00657058" w:rsidRDefault="00657058" w:rsidP="00657058">
      <w:pPr>
        <w:pStyle w:val="Tekst"/>
      </w:pPr>
      <w:r>
        <w:t>The majority of disciplinary proceedings against judges were initiated for disciplinary offences pursuant to Article 56, item 10): “unjustified delays in issuing decisions or any other act related to the exercise of judicial functions, or any other repeated disregard of the duties of the judicial function”(8 complaints). Then, offences pursuant to Article 56, item 8) of the Law on the HJPC BiH: “neglect or careless exercise of official duties” (7 complaints) and item 22)”</w:t>
      </w:r>
      <w:r>
        <w:rPr>
          <w:color w:val="000000"/>
        </w:rPr>
        <w:t xml:space="preserve"> behaviour inside or outside the court that demeans the dignity of judge”</w:t>
      </w:r>
      <w:r>
        <w:t xml:space="preserve"> (5 complaint).</w:t>
      </w:r>
    </w:p>
    <w:p w14:paraId="01ED84D8" w14:textId="5B6AAA37" w:rsidR="00657058" w:rsidRPr="00F31F64" w:rsidRDefault="00657058" w:rsidP="00657058">
      <w:pPr>
        <w:pStyle w:val="Tekst"/>
        <w:rPr>
          <w:iCs/>
        </w:rPr>
      </w:pPr>
      <w:r>
        <w:t>Four disciplinary proceedings were initiated for offences pursuant to item 9): “issuing decisions in patent violation of the law or persistent and unjustified violation of procedural rules”, with one complaint for each of the following offences pursuant to Article 56</w:t>
      </w:r>
      <w:r w:rsidR="00EB1607">
        <w:t>,</w:t>
      </w:r>
      <w:r>
        <w:t xml:space="preserve"> item 6: (exploiting his or her position as a judge in order to obtain unjustified advantages for himself or herself or for other persons), item 7: (not disqualifying himself or herself from hearing a case...), item 19: (if he or she intentionally provides false, misleading or insufficient information...) and item 23: (any other behaviour that represents a serious breach of official duties or that compromises the public confidence...).</w:t>
      </w:r>
    </w:p>
    <w:p w14:paraId="100E1070" w14:textId="77777777" w:rsidR="00127CBB" w:rsidRDefault="00127CBB" w:rsidP="00657058">
      <w:pPr>
        <w:pStyle w:val="Caption"/>
        <w:jc w:val="both"/>
      </w:pPr>
    </w:p>
    <w:p w14:paraId="0699547D" w14:textId="77777777" w:rsidR="00127CBB" w:rsidRDefault="00127CBB" w:rsidP="00657058">
      <w:pPr>
        <w:pStyle w:val="Caption"/>
        <w:jc w:val="both"/>
      </w:pPr>
    </w:p>
    <w:p w14:paraId="434AE194" w14:textId="77777777" w:rsidR="00127CBB" w:rsidRDefault="00127CBB" w:rsidP="00657058">
      <w:pPr>
        <w:pStyle w:val="Caption"/>
        <w:jc w:val="both"/>
      </w:pPr>
    </w:p>
    <w:p w14:paraId="2ABCBE03" w14:textId="77777777" w:rsidR="00127CBB" w:rsidRDefault="00127CBB" w:rsidP="00657058">
      <w:pPr>
        <w:pStyle w:val="Caption"/>
        <w:jc w:val="both"/>
      </w:pPr>
    </w:p>
    <w:p w14:paraId="153CBA19" w14:textId="77777777" w:rsidR="00FF1A52" w:rsidRDefault="00FF1A52" w:rsidP="00657058">
      <w:pPr>
        <w:pStyle w:val="Caption"/>
        <w:jc w:val="both"/>
      </w:pPr>
    </w:p>
    <w:p w14:paraId="25D24B5D" w14:textId="058332B3" w:rsidR="00657058" w:rsidRDefault="00BE3B39" w:rsidP="00657058">
      <w:pPr>
        <w:pStyle w:val="Caption"/>
        <w:jc w:val="both"/>
        <w:rPr>
          <w:rFonts w:cs="Arial"/>
          <w:color w:val="000000"/>
        </w:rPr>
      </w:pPr>
      <w:r>
        <w:t>Graph</w:t>
      </w:r>
      <w:r w:rsidR="009E77AF">
        <w:t xml:space="preserve"> </w:t>
      </w:r>
      <w:r w:rsidR="006D1459">
        <w:fldChar w:fldCharType="begin"/>
      </w:r>
      <w:r w:rsidR="006D1459">
        <w:instrText xml:space="preserve"> SEQ Graph \* ARABIC </w:instrText>
      </w:r>
      <w:r w:rsidR="006D1459">
        <w:fldChar w:fldCharType="separate"/>
      </w:r>
      <w:r>
        <w:rPr>
          <w:noProof/>
        </w:rPr>
        <w:t>3</w:t>
      </w:r>
      <w:r w:rsidR="006D1459">
        <w:rPr>
          <w:noProof/>
        </w:rPr>
        <w:fldChar w:fldCharType="end"/>
      </w:r>
      <w:r w:rsidR="00657058">
        <w:t>:</w:t>
      </w:r>
      <w:r w:rsidR="00657058">
        <w:rPr>
          <w:color w:val="000000"/>
        </w:rPr>
        <w:t xml:space="preserve"> Disciplinary offences </w:t>
      </w:r>
      <w:r w:rsidR="00A15F8E">
        <w:rPr>
          <w:color w:val="000000"/>
        </w:rPr>
        <w:t>committed by</w:t>
      </w:r>
      <w:r w:rsidR="00657058">
        <w:rPr>
          <w:color w:val="000000"/>
        </w:rPr>
        <w:t xml:space="preserve"> judges </w:t>
      </w:r>
      <w:r w:rsidR="00A15F8E">
        <w:rPr>
          <w:color w:val="000000"/>
        </w:rPr>
        <w:t xml:space="preserve">as </w:t>
      </w:r>
      <w:r w:rsidR="00657058">
        <w:rPr>
          <w:color w:val="000000"/>
        </w:rPr>
        <w:t>cited in disciplinary complaints</w:t>
      </w:r>
    </w:p>
    <w:p w14:paraId="0FA1F333" w14:textId="5EB6EC15" w:rsidR="00657058" w:rsidRPr="00F31F64" w:rsidRDefault="00FF1A52" w:rsidP="005F41BA">
      <w:pPr>
        <w:pStyle w:val="Caption"/>
        <w:jc w:val="center"/>
        <w:rPr>
          <w:noProof/>
        </w:rPr>
      </w:pPr>
      <w:r>
        <w:rPr>
          <w:noProof/>
          <w:lang w:val="bs-Latn-BA" w:eastAsia="bs-Latn-BA"/>
        </w:rPr>
        <w:lastRenderedPageBreak/>
        <w:drawing>
          <wp:inline distT="0" distB="0" distL="0" distR="0" wp14:anchorId="2A8BD386" wp14:editId="1BF2AADF">
            <wp:extent cx="5760085" cy="3382010"/>
            <wp:effectExtent l="0" t="0" r="12065" b="889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FB98C9" w14:textId="3FD7F79E" w:rsidR="00657058" w:rsidRPr="004F53C0" w:rsidRDefault="00657058" w:rsidP="004F53C0">
      <w:pPr>
        <w:pStyle w:val="Tekst"/>
      </w:pPr>
      <w:r>
        <w:t>As for disciplinary proceedings initiated against prosecutors, the majority of complaints referred to disciplinary offences from Article 57, item 8) of the Law on the HJPC BiH: “neglect or careless exercise of official duties” (7 complaints) and item 22 “behaviour inside or outside the court or office that demeans the dignity of the prosecutor” (5 complaints).</w:t>
      </w:r>
    </w:p>
    <w:p w14:paraId="192125C6" w14:textId="77777777" w:rsidR="00657058" w:rsidRDefault="00657058" w:rsidP="004F53C0">
      <w:pPr>
        <w:pStyle w:val="Tekst"/>
      </w:pPr>
      <w:r>
        <w:t>Four disciplinary proceedings were initiated due to the violation of item 17) “failure, for an unjustified reason, to comply with the decisions, orders or requests of the Council”, while one complaint was filed due to the violation of Article 57, item 7) (not disqualifying himself or herself from prosecuting a case...), one pursuant to item 9) (unjustified delays in performing any acts related to the exercise of prosecutorial functions...) and one pursuant to item 23) (any other behaviour that represents a serious breach of official duties or that compromises the public confidence...).</w:t>
      </w:r>
    </w:p>
    <w:p w14:paraId="183CA350" w14:textId="0E5220D1" w:rsidR="00657058" w:rsidRPr="00C316D2" w:rsidRDefault="00BE3B39" w:rsidP="00657058">
      <w:pPr>
        <w:pStyle w:val="Caption"/>
        <w:jc w:val="both"/>
        <w:rPr>
          <w:rFonts w:cs="Arial"/>
          <w:b w:val="0"/>
          <w:iCs/>
        </w:rPr>
      </w:pPr>
      <w:r>
        <w:t>Graph</w:t>
      </w:r>
      <w:r w:rsidR="009E77AF">
        <w:t xml:space="preserve"> </w:t>
      </w:r>
      <w:r w:rsidR="006D1459">
        <w:fldChar w:fldCharType="begin"/>
      </w:r>
      <w:r w:rsidR="006D1459">
        <w:instrText xml:space="preserve"> SEQ Graph \* ARABIC </w:instrText>
      </w:r>
      <w:r w:rsidR="006D1459">
        <w:fldChar w:fldCharType="separate"/>
      </w:r>
      <w:r>
        <w:rPr>
          <w:noProof/>
        </w:rPr>
        <w:t>4</w:t>
      </w:r>
      <w:r w:rsidR="006D1459">
        <w:rPr>
          <w:noProof/>
        </w:rPr>
        <w:fldChar w:fldCharType="end"/>
      </w:r>
      <w:r w:rsidR="00657058">
        <w:t xml:space="preserve">: Disciplinary offences committed by prosecutors </w:t>
      </w:r>
      <w:r w:rsidR="00A15F8E">
        <w:t xml:space="preserve">as </w:t>
      </w:r>
      <w:r w:rsidR="00657058">
        <w:t>cited in disciplinary complaints</w:t>
      </w:r>
    </w:p>
    <w:p w14:paraId="6951FD44" w14:textId="19094EF4" w:rsidR="00657058" w:rsidRDefault="00FF1A52" w:rsidP="00921162">
      <w:pPr>
        <w:tabs>
          <w:tab w:val="center" w:pos="4536"/>
          <w:tab w:val="right" w:pos="9072"/>
        </w:tabs>
        <w:spacing w:before="80"/>
        <w:jc w:val="center"/>
        <w:rPr>
          <w:rFonts w:ascii="Arial" w:hAnsi="Arial" w:cs="Arial"/>
          <w:iCs/>
        </w:rPr>
      </w:pPr>
      <w:r>
        <w:rPr>
          <w:noProof/>
          <w:lang w:val="bs-Latn-BA" w:eastAsia="bs-Latn-BA"/>
        </w:rPr>
        <w:lastRenderedPageBreak/>
        <w:drawing>
          <wp:inline distT="0" distB="0" distL="0" distR="0" wp14:anchorId="15269387" wp14:editId="48B2CAC4">
            <wp:extent cx="5760085" cy="2926715"/>
            <wp:effectExtent l="0" t="0" r="12065" b="698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96E054E" w14:textId="77777777" w:rsidR="00657058" w:rsidRDefault="00657058" w:rsidP="00657058">
      <w:pPr>
        <w:tabs>
          <w:tab w:val="center" w:pos="4536"/>
          <w:tab w:val="right" w:pos="9072"/>
        </w:tabs>
        <w:spacing w:before="80"/>
        <w:jc w:val="both"/>
        <w:rPr>
          <w:rFonts w:ascii="Arial" w:hAnsi="Arial" w:cs="Arial"/>
          <w:color w:val="000000"/>
          <w:lang w:val="bs-Latn-BA" w:eastAsia="bs-Latn-BA"/>
        </w:rPr>
      </w:pPr>
    </w:p>
    <w:p w14:paraId="5CCE2E84" w14:textId="77777777" w:rsidR="00657058" w:rsidRPr="00262B05" w:rsidRDefault="00657058" w:rsidP="00657058">
      <w:pPr>
        <w:pStyle w:val="Tekst"/>
      </w:pPr>
      <w:r>
        <w:t xml:space="preserve">The majority of disciplinary proceedings were initiated based on complaints that were filed by parties to proceedings (9) and anonymous complainants (8). Then, proceedings that were initiated based on complaints filed by attorneys (7) and third parties (6 complaints). </w:t>
      </w:r>
    </w:p>
    <w:p w14:paraId="6CDB6C18" w14:textId="77777777" w:rsidR="00657058" w:rsidRDefault="00657058" w:rsidP="00657058">
      <w:pPr>
        <w:pStyle w:val="Tekst"/>
      </w:pPr>
      <w:r>
        <w:t>It should be noted that the sum does not correspond to the total number of disciplinary complaints filed (35), since a number of disciplinary complaints were filed on the basis of multiple complaints filed by different categories of complainants.</w:t>
      </w:r>
    </w:p>
    <w:p w14:paraId="38CED55F" w14:textId="77777777" w:rsidR="00E009FF" w:rsidRDefault="00E009FF">
      <w:pPr>
        <w:rPr>
          <w:rFonts w:ascii="Arial" w:hAnsi="Arial" w:cs="Arial"/>
          <w:color w:val="000000"/>
          <w:lang w:val="bs-Latn-BA" w:eastAsia="bs-Latn-BA"/>
        </w:rPr>
      </w:pPr>
    </w:p>
    <w:p w14:paraId="71DC72B4" w14:textId="127728A5" w:rsidR="00657058" w:rsidRPr="009870DC" w:rsidRDefault="00BE3B39" w:rsidP="00657058">
      <w:pPr>
        <w:pStyle w:val="Caption"/>
        <w:rPr>
          <w:rFonts w:cs="Arial"/>
          <w:b w:val="0"/>
          <w:color w:val="000000"/>
        </w:rPr>
      </w:pPr>
      <w:r>
        <w:t>Graph</w:t>
      </w:r>
      <w:r w:rsidR="009E77AF">
        <w:t xml:space="preserve"> </w:t>
      </w:r>
      <w:r w:rsidR="006D1459">
        <w:fldChar w:fldCharType="begin"/>
      </w:r>
      <w:r w:rsidR="006D1459">
        <w:instrText xml:space="preserve"> SEQ Graph \* ARABIC </w:instrText>
      </w:r>
      <w:r w:rsidR="006D1459">
        <w:fldChar w:fldCharType="separate"/>
      </w:r>
      <w:r>
        <w:rPr>
          <w:noProof/>
        </w:rPr>
        <w:t>5</w:t>
      </w:r>
      <w:r w:rsidR="006D1459">
        <w:rPr>
          <w:noProof/>
        </w:rPr>
        <w:fldChar w:fldCharType="end"/>
      </w:r>
      <w:r w:rsidR="00657058">
        <w:rPr>
          <w:color w:val="000000"/>
        </w:rPr>
        <w:t>: Disciplinary complaints by complainants</w:t>
      </w:r>
    </w:p>
    <w:p w14:paraId="31295163" w14:textId="33A1F257" w:rsidR="00657058" w:rsidRDefault="00AC1D2D" w:rsidP="00921162">
      <w:pPr>
        <w:tabs>
          <w:tab w:val="center" w:pos="4536"/>
          <w:tab w:val="right" w:pos="9072"/>
        </w:tabs>
        <w:spacing w:before="80"/>
        <w:jc w:val="center"/>
        <w:rPr>
          <w:rFonts w:ascii="Arial" w:hAnsi="Arial" w:cs="Arial"/>
          <w:color w:val="000000"/>
        </w:rPr>
      </w:pPr>
      <w:r w:rsidRPr="00AC1D2D">
        <w:rPr>
          <w:noProof/>
          <w:sz w:val="28"/>
          <w:lang w:val="bs-Latn-BA" w:eastAsia="bs-Latn-BA"/>
        </w:rPr>
        <w:lastRenderedPageBreak/>
        <w:drawing>
          <wp:inline distT="0" distB="0" distL="0" distR="0" wp14:anchorId="66DACEDE" wp14:editId="7A919EF1">
            <wp:extent cx="5184775" cy="3547200"/>
            <wp:effectExtent l="0" t="0" r="15875" b="15240"/>
            <wp:docPr id="234" name="Chart 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240F52" w14:textId="77777777" w:rsidR="00657058" w:rsidRDefault="00657058" w:rsidP="00127CBB">
      <w:pPr>
        <w:pStyle w:val="TREINASLOV"/>
      </w:pPr>
      <w:bookmarkStart w:id="37" w:name="_Toc97722053"/>
      <w:bookmarkStart w:id="38" w:name="_Toc112852417"/>
      <w:r>
        <w:t>Completed disciplinary proceedings</w:t>
      </w:r>
      <w:bookmarkEnd w:id="37"/>
      <w:bookmarkEnd w:id="38"/>
    </w:p>
    <w:p w14:paraId="176C73CA" w14:textId="77777777" w:rsidR="00657058" w:rsidRPr="00E009FF" w:rsidRDefault="00657058" w:rsidP="00E009FF">
      <w:pPr>
        <w:pStyle w:val="Tekst"/>
      </w:pPr>
      <w:r>
        <w:t>Thirty-one (31) disciplinary proceedings were completed in 2021. The breakdown of completed proceedings by year of initiation is as follows: 3 proceedings were initiated in 2019, 16 in 2020 and 12 were initiated in 2021.</w:t>
      </w:r>
    </w:p>
    <w:p w14:paraId="36A2CC4C" w14:textId="6F25D9A1" w:rsidR="00657058" w:rsidRPr="00E009FF" w:rsidRDefault="00657058" w:rsidP="00E009FF">
      <w:pPr>
        <w:pStyle w:val="Tekst"/>
      </w:pPr>
      <w:r>
        <w:t xml:space="preserve">Disciplinary liability was established in 25 proceedings, the disciplinary complaint was rejected in four proceedings, while two proceedings were discontinued due to the resignation of a district court judge. The resignation was submitted during the course of the disciplinary proceedings. </w:t>
      </w:r>
    </w:p>
    <w:p w14:paraId="1E845721" w14:textId="10302DA4" w:rsidR="00657058" w:rsidRPr="00E009FF" w:rsidRDefault="00657058" w:rsidP="00E009FF">
      <w:pPr>
        <w:pStyle w:val="Tekst"/>
      </w:pPr>
      <w:r>
        <w:t xml:space="preserve">Disciplinary liability was found against 25 judicial office holders. Disciplinary measures were pronounced against one municipal court president, 15 judges (8 municipal court judges, 3 basic court judges, one cantonal court judge and two supreme court judges of the FBiH Supreme Court), against 6 prosecutors (one district public prosecutor, 4 cantonal prosecutors and one federal prosecutor of the Federal Prosecutors Office FBiH), as well as the </w:t>
      </w:r>
      <w:r w:rsidR="0073745F">
        <w:t>C</w:t>
      </w:r>
      <w:r>
        <w:t xml:space="preserve">hief </w:t>
      </w:r>
      <w:r w:rsidR="0073745F">
        <w:t>P</w:t>
      </w:r>
      <w:r>
        <w:t xml:space="preserve">rosecutor of the Republic Prosecutors Office of RS and the Chief Prosecutor of the Prosecutors Office of Bosnia and Herzegovina. Disciplinary liability was also found against one legal associate of a municipal court. </w:t>
      </w:r>
    </w:p>
    <w:p w14:paraId="1FFFE84B" w14:textId="77777777" w:rsidR="00E53ADF" w:rsidRDefault="00E53ADF" w:rsidP="00E009FF">
      <w:pPr>
        <w:pStyle w:val="Caption"/>
      </w:pPr>
    </w:p>
    <w:p w14:paraId="0FB6089D" w14:textId="77777777" w:rsidR="00E53ADF" w:rsidRDefault="00E53ADF" w:rsidP="00E009FF">
      <w:pPr>
        <w:pStyle w:val="Caption"/>
      </w:pPr>
    </w:p>
    <w:p w14:paraId="375219A1" w14:textId="77777777" w:rsidR="00E53ADF" w:rsidRDefault="00E53ADF" w:rsidP="00E009FF">
      <w:pPr>
        <w:pStyle w:val="Caption"/>
      </w:pPr>
    </w:p>
    <w:p w14:paraId="106FF50C" w14:textId="77777777" w:rsidR="00E53ADF" w:rsidRDefault="00E53ADF" w:rsidP="00E009FF">
      <w:pPr>
        <w:pStyle w:val="Caption"/>
      </w:pPr>
    </w:p>
    <w:p w14:paraId="54AD5DD0" w14:textId="77777777" w:rsidR="00E53ADF" w:rsidRDefault="00E53ADF" w:rsidP="00E009FF">
      <w:pPr>
        <w:pStyle w:val="Caption"/>
      </w:pPr>
    </w:p>
    <w:p w14:paraId="296F5D22" w14:textId="77777777" w:rsidR="00E53ADF" w:rsidRDefault="00E53ADF" w:rsidP="00E009FF">
      <w:pPr>
        <w:pStyle w:val="Caption"/>
      </w:pPr>
    </w:p>
    <w:p w14:paraId="560F4675" w14:textId="0D0C3C3B" w:rsidR="00657058" w:rsidRPr="00E009FF" w:rsidRDefault="00BE3B39" w:rsidP="00E009FF">
      <w:pPr>
        <w:pStyle w:val="Caption"/>
      </w:pPr>
      <w:r>
        <w:t>Graph</w:t>
      </w:r>
      <w:r w:rsidR="009E77AF">
        <w:t xml:space="preserve"> </w:t>
      </w:r>
      <w:r w:rsidR="006D1459">
        <w:fldChar w:fldCharType="begin"/>
      </w:r>
      <w:r w:rsidR="006D1459">
        <w:instrText xml:space="preserve"> SEQ Graph \* ARABIC </w:instrText>
      </w:r>
      <w:r w:rsidR="006D1459">
        <w:fldChar w:fldCharType="separate"/>
      </w:r>
      <w:r>
        <w:rPr>
          <w:noProof/>
        </w:rPr>
        <w:t>6</w:t>
      </w:r>
      <w:r w:rsidR="006D1459">
        <w:rPr>
          <w:noProof/>
        </w:rPr>
        <w:fldChar w:fldCharType="end"/>
      </w:r>
      <w:r w:rsidR="00E009FF">
        <w:t>: Measures imposed and judicial office holders</w:t>
      </w:r>
    </w:p>
    <w:p w14:paraId="230EDC8F" w14:textId="2EB70E42" w:rsidR="00657058" w:rsidRDefault="00E53ADF" w:rsidP="00921162">
      <w:pPr>
        <w:pStyle w:val="Tekst"/>
        <w:jc w:val="center"/>
        <w:rPr>
          <w:sz w:val="24"/>
        </w:rPr>
      </w:pPr>
      <w:r>
        <w:rPr>
          <w:noProof/>
          <w:lang w:val="bs-Latn-BA" w:eastAsia="bs-Latn-BA"/>
        </w:rPr>
        <w:drawing>
          <wp:inline distT="0" distB="0" distL="0" distR="0" wp14:anchorId="3FAAD850" wp14:editId="0C151E88">
            <wp:extent cx="5534025" cy="3152775"/>
            <wp:effectExtent l="38100" t="0" r="9525" b="9525"/>
            <wp:docPr id="228" name="Chart 2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301C90" w14:textId="77777777" w:rsidR="00657058" w:rsidRDefault="00657058" w:rsidP="00657058">
      <w:pPr>
        <w:pStyle w:val="Tekst"/>
        <w:rPr>
          <w:sz w:val="24"/>
          <w:lang w:val="hr-HR"/>
        </w:rPr>
      </w:pPr>
    </w:p>
    <w:p w14:paraId="2CC48626" w14:textId="7A67F539" w:rsidR="00657058" w:rsidRDefault="00657058" w:rsidP="00E009FF">
      <w:pPr>
        <w:pStyle w:val="Tekst"/>
      </w:pPr>
      <w:r>
        <w:t>Judges were found to have most frequently committed disciplinary offences under Article 56 of the Law on the HJPC BiH - item 8) “neglect or careless exercise of official duties” (11 judges) and item 10 “unjustified delays in issuing decisions or any other act...” (5 judges).</w:t>
      </w:r>
    </w:p>
    <w:p w14:paraId="0A5B1E60" w14:textId="77777777" w:rsidR="00657058" w:rsidRDefault="00657058" w:rsidP="00E009FF">
      <w:pPr>
        <w:pStyle w:val="Tekst"/>
        <w:rPr>
          <w:rFonts w:cs="Arial"/>
        </w:rPr>
      </w:pPr>
      <w:r>
        <w:t>Prosecutors were found to have most frequently committed disciplinary offences under Article 57 of the Law on the HJPC BiH - item 8) “neglect or careless exercise of official duties” (4 prosecutors), two prosecutors for item 9 “unjustified delays in performing any acts related to the exercise of prosecutorial functions...” and two prosecutors for item 17) “failure, for an unjustified reason, to comply with the decisions, orders or requests of the Council”.</w:t>
      </w:r>
    </w:p>
    <w:p w14:paraId="64A8EFB0" w14:textId="77777777" w:rsidR="00657058" w:rsidRPr="000148A7" w:rsidRDefault="00657058" w:rsidP="00E009FF">
      <w:pPr>
        <w:pStyle w:val="Tekst"/>
        <w:rPr>
          <w:rFonts w:cs="Arial"/>
        </w:rPr>
      </w:pPr>
      <w:r>
        <w:t xml:space="preserve">There were 25 disciplinary measures pronounced in 25 disciplinary proceedings. </w:t>
      </w:r>
    </w:p>
    <w:p w14:paraId="40001039" w14:textId="79E3FAFE" w:rsidR="00657058" w:rsidRDefault="00657058" w:rsidP="00E009FF">
      <w:pPr>
        <w:pStyle w:val="Tekst"/>
        <w:rPr>
          <w:rFonts w:cs="Arial"/>
        </w:rPr>
      </w:pPr>
      <w:r>
        <w:t xml:space="preserve">The breakdown of all final disciplinary measures pronounced is as follows: a written warning which shall not be made public (4), a public reprimand (3), a reduction in salary (14); a reduction </w:t>
      </w:r>
      <w:r>
        <w:lastRenderedPageBreak/>
        <w:t>in salary together with another measure (1), demotion of a Chief Prosecutor to an ordinary prosecutor (1), demotion of a Deputy Chief Prosecutor to an ordinary prosecutor (1) and removal from office (1).</w:t>
      </w:r>
      <w:r>
        <w:cr/>
      </w:r>
    </w:p>
    <w:p w14:paraId="23633B03" w14:textId="77777777" w:rsidR="00E53ADF" w:rsidRDefault="00E53ADF" w:rsidP="004F53C0">
      <w:pPr>
        <w:pStyle w:val="Caption"/>
        <w:jc w:val="both"/>
      </w:pPr>
    </w:p>
    <w:p w14:paraId="00F9A020" w14:textId="77777777" w:rsidR="00E53ADF" w:rsidRDefault="00E53ADF" w:rsidP="004F53C0">
      <w:pPr>
        <w:pStyle w:val="Caption"/>
        <w:jc w:val="both"/>
      </w:pPr>
    </w:p>
    <w:p w14:paraId="5B2BE384" w14:textId="77777777" w:rsidR="00E53ADF" w:rsidRDefault="00E53ADF" w:rsidP="004F53C0">
      <w:pPr>
        <w:pStyle w:val="Caption"/>
        <w:jc w:val="both"/>
      </w:pPr>
    </w:p>
    <w:p w14:paraId="29248A05" w14:textId="77777777" w:rsidR="00E53ADF" w:rsidRDefault="00E53ADF" w:rsidP="004F53C0">
      <w:pPr>
        <w:pStyle w:val="Caption"/>
        <w:jc w:val="both"/>
      </w:pPr>
    </w:p>
    <w:p w14:paraId="10DDBA64" w14:textId="77777777" w:rsidR="00E53ADF" w:rsidRDefault="00E53ADF" w:rsidP="004F53C0">
      <w:pPr>
        <w:pStyle w:val="Caption"/>
        <w:jc w:val="both"/>
      </w:pPr>
    </w:p>
    <w:p w14:paraId="38A66C7E" w14:textId="77777777" w:rsidR="00E53ADF" w:rsidRDefault="00E53ADF" w:rsidP="004F53C0">
      <w:pPr>
        <w:pStyle w:val="Caption"/>
        <w:jc w:val="both"/>
      </w:pPr>
    </w:p>
    <w:p w14:paraId="616AA9B2" w14:textId="77777777" w:rsidR="00E53ADF" w:rsidRDefault="00E53ADF" w:rsidP="004F53C0">
      <w:pPr>
        <w:pStyle w:val="Caption"/>
        <w:jc w:val="both"/>
      </w:pPr>
    </w:p>
    <w:p w14:paraId="697EFF3A" w14:textId="77777777" w:rsidR="00E53ADF" w:rsidRDefault="00E53ADF" w:rsidP="004F53C0">
      <w:pPr>
        <w:pStyle w:val="Caption"/>
        <w:jc w:val="both"/>
      </w:pPr>
    </w:p>
    <w:p w14:paraId="4E8AFB14" w14:textId="77777777" w:rsidR="00E53ADF" w:rsidRDefault="00E53ADF" w:rsidP="004F53C0">
      <w:pPr>
        <w:pStyle w:val="Caption"/>
        <w:jc w:val="both"/>
      </w:pPr>
    </w:p>
    <w:p w14:paraId="394657EC" w14:textId="77777777" w:rsidR="00E53ADF" w:rsidRDefault="00E53ADF" w:rsidP="004F53C0">
      <w:pPr>
        <w:pStyle w:val="Caption"/>
        <w:jc w:val="both"/>
      </w:pPr>
    </w:p>
    <w:p w14:paraId="3E9F026B" w14:textId="77777777" w:rsidR="00E53ADF" w:rsidRDefault="00E53ADF" w:rsidP="004F53C0">
      <w:pPr>
        <w:pStyle w:val="Caption"/>
        <w:jc w:val="both"/>
      </w:pPr>
    </w:p>
    <w:p w14:paraId="186D6C4B" w14:textId="77777777" w:rsidR="00E53ADF" w:rsidRDefault="00E53ADF" w:rsidP="004F53C0">
      <w:pPr>
        <w:pStyle w:val="Caption"/>
        <w:jc w:val="both"/>
      </w:pPr>
    </w:p>
    <w:p w14:paraId="758EB8E8" w14:textId="77777777" w:rsidR="00E53ADF" w:rsidRDefault="00E53ADF" w:rsidP="004F53C0">
      <w:pPr>
        <w:pStyle w:val="Caption"/>
        <w:jc w:val="both"/>
      </w:pPr>
    </w:p>
    <w:p w14:paraId="13E45CD1" w14:textId="2EC9249F" w:rsidR="00657058" w:rsidRDefault="00BE3B39" w:rsidP="004F53C0">
      <w:pPr>
        <w:pStyle w:val="Caption"/>
        <w:jc w:val="both"/>
        <w:rPr>
          <w:rFonts w:cs="Arial"/>
          <w:b w:val="0"/>
        </w:rPr>
      </w:pPr>
      <w:r>
        <w:t>Graph</w:t>
      </w:r>
      <w:r w:rsidR="009E77AF">
        <w:t xml:space="preserve"> </w:t>
      </w:r>
      <w:r w:rsidR="006D1459">
        <w:fldChar w:fldCharType="begin"/>
      </w:r>
      <w:r w:rsidR="006D1459">
        <w:instrText xml:space="preserve"> SEQ Graph \* ARABIC </w:instrText>
      </w:r>
      <w:r w:rsidR="006D1459">
        <w:fldChar w:fldCharType="separate"/>
      </w:r>
      <w:r>
        <w:rPr>
          <w:noProof/>
        </w:rPr>
        <w:t>7</w:t>
      </w:r>
      <w:r w:rsidR="006D1459">
        <w:rPr>
          <w:noProof/>
        </w:rPr>
        <w:fldChar w:fldCharType="end"/>
      </w:r>
      <w:r w:rsidR="004F53C0">
        <w:t>: Final disciplinary measures pronounced</w:t>
      </w:r>
    </w:p>
    <w:p w14:paraId="5F6BF2EE" w14:textId="1CA8AE54" w:rsidR="00657058" w:rsidRDefault="00E53ADF" w:rsidP="00E53ADF">
      <w:pPr>
        <w:pStyle w:val="Header"/>
        <w:spacing w:before="80"/>
        <w:jc w:val="center"/>
        <w:rPr>
          <w:rFonts w:ascii="Arial" w:hAnsi="Arial" w:cs="Arial"/>
          <w:lang w:val="bs-Latn-BA"/>
        </w:rPr>
      </w:pPr>
      <w:r>
        <w:rPr>
          <w:noProof/>
          <w:lang w:val="bs-Latn-BA" w:eastAsia="bs-Latn-BA"/>
        </w:rPr>
        <w:lastRenderedPageBreak/>
        <w:drawing>
          <wp:inline distT="0" distB="0" distL="0" distR="0" wp14:anchorId="5BB8DE3F" wp14:editId="026E9880">
            <wp:extent cx="5719764" cy="4286250"/>
            <wp:effectExtent l="0" t="0" r="14605" b="0"/>
            <wp:docPr id="230" name="Chart 2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3483E4" w14:textId="77777777" w:rsidR="00E53ADF" w:rsidRDefault="00E53ADF" w:rsidP="00E53ADF">
      <w:pPr>
        <w:pStyle w:val="Header"/>
        <w:spacing w:before="80"/>
        <w:jc w:val="center"/>
        <w:rPr>
          <w:rFonts w:ascii="Arial" w:hAnsi="Arial" w:cs="Arial"/>
          <w:lang w:val="bs-Latn-BA"/>
        </w:rPr>
      </w:pPr>
    </w:p>
    <w:p w14:paraId="4B537EC9" w14:textId="77777777" w:rsidR="00657058" w:rsidRPr="005F0C0E" w:rsidRDefault="00657058" w:rsidP="004F53C0">
      <w:pPr>
        <w:pStyle w:val="Tekst"/>
      </w:pPr>
      <w:r>
        <w:t xml:space="preserve">The disciplinary measure removal from office was pronounced against one municipal court judge. </w:t>
      </w:r>
    </w:p>
    <w:p w14:paraId="5D33B531" w14:textId="516ABBBB" w:rsidR="00657058" w:rsidRDefault="00657058" w:rsidP="004F53C0">
      <w:pPr>
        <w:pStyle w:val="Tekst"/>
      </w:pPr>
      <w:r>
        <w:t>The judge was dismissed for committing the disciplinary offences from Article 56 of the Law on the HJPC BiH: item 8) (neglect or careless exercise of official duties) and item 10 (unjustified delays in issuing decisions or any other act related to the exercise of judicial functions, or any other repeated disregard of the duties of the judicial function).</w:t>
      </w:r>
    </w:p>
    <w:p w14:paraId="23BB0047" w14:textId="77777777" w:rsidR="00657058" w:rsidRPr="003B1008" w:rsidRDefault="00657058" w:rsidP="004F53C0">
      <w:pPr>
        <w:pStyle w:val="Tekst"/>
      </w:pPr>
      <w:r>
        <w:t xml:space="preserve">The ODC filed ten appeals against first instance disciplinary decisions and three appeals against first instance decisions dismissing a complaint. The ODC filed one appeal in second instance proceedings and submitted three responses to appeals filed by defendants against second instance panel decisions. </w:t>
      </w:r>
    </w:p>
    <w:p w14:paraId="580677B6" w14:textId="77777777" w:rsidR="00657058" w:rsidRDefault="00657058" w:rsidP="004F53C0">
      <w:pPr>
        <w:pStyle w:val="Tekst"/>
      </w:pPr>
      <w:r>
        <w:t>ODC appeals were upheld in two cases leading to stricter disciplinary measures.</w:t>
      </w:r>
    </w:p>
    <w:p w14:paraId="0B2B6BBE" w14:textId="77777777" w:rsidR="00657058" w:rsidRPr="003B1008" w:rsidRDefault="00657058" w:rsidP="00127CBB">
      <w:pPr>
        <w:pStyle w:val="TREINASLOV"/>
      </w:pPr>
      <w:bookmarkStart w:id="39" w:name="_Toc97722054"/>
      <w:bookmarkStart w:id="40" w:name="_Toc112852418"/>
      <w:r>
        <w:lastRenderedPageBreak/>
        <w:t>Suspension from office</w:t>
      </w:r>
      <w:bookmarkEnd w:id="39"/>
      <w:bookmarkEnd w:id="40"/>
    </w:p>
    <w:p w14:paraId="1BD11DB6" w14:textId="5B4270DB" w:rsidR="00657058" w:rsidRPr="003B1008" w:rsidRDefault="00657058" w:rsidP="004F53C0">
      <w:pPr>
        <w:pStyle w:val="Tekst"/>
      </w:pPr>
      <w:r>
        <w:t xml:space="preserve">In 2021, the ODC filed 4 motions for temporary suspension from office. Six motions were </w:t>
      </w:r>
      <w:r w:rsidR="0073745F">
        <w:t>granted</w:t>
      </w:r>
      <w:r>
        <w:t xml:space="preserve"> while four motions for suspension were denied. The grounds for initiating a procedure for suspension were: </w:t>
      </w:r>
      <w:r w:rsidR="0073745F">
        <w:t>d</w:t>
      </w:r>
      <w:r>
        <w:t>etention (3), indictment issued (4) and criminal investigation initiated (3).</w:t>
      </w:r>
    </w:p>
    <w:p w14:paraId="406D7FBF" w14:textId="6CEEE186" w:rsidR="00657058" w:rsidRPr="003B1008" w:rsidRDefault="00657058" w:rsidP="004F53C0">
      <w:pPr>
        <w:pStyle w:val="Tekst"/>
      </w:pPr>
      <w:r>
        <w:t xml:space="preserve">Three motions were also filed and </w:t>
      </w:r>
      <w:r w:rsidR="0073745F">
        <w:t>granted</w:t>
      </w:r>
      <w:r>
        <w:t xml:space="preserve"> to extend suspension seeing as indictments were issued after detention. </w:t>
      </w:r>
    </w:p>
    <w:p w14:paraId="43CA97CE" w14:textId="65CEFF34" w:rsidR="00657058" w:rsidRPr="001E2E54" w:rsidRDefault="00657058" w:rsidP="004F53C0">
      <w:pPr>
        <w:pStyle w:val="Tekst"/>
      </w:pPr>
      <w:r>
        <w:t>Throughout 2021, five suspensions were finalised, while at year-end 2021</w:t>
      </w:r>
      <w:r w:rsidR="0073745F">
        <w:t>,</w:t>
      </w:r>
      <w:r>
        <w:t xml:space="preserve"> there were 10 judicial office holders under suspension. One court president (district commercial court), 6 judges (3 municipal court judges, 1 basic court judge, 1 cantonal court judge, 1 district court judge), and three prosecutors (1 cantonal prosecutor and 2 prosecutors of the Prosecutors Office of BiH).</w:t>
      </w:r>
    </w:p>
    <w:p w14:paraId="6C4BA0DD" w14:textId="77777777" w:rsidR="00127CBB" w:rsidRPr="00296FB2" w:rsidRDefault="00127CBB" w:rsidP="00127CBB">
      <w:pPr>
        <w:pStyle w:val="TREINASLOV"/>
      </w:pPr>
      <w:bookmarkStart w:id="41" w:name="_Toc97722055"/>
      <w:bookmarkStart w:id="42" w:name="_Toc112852419"/>
      <w:r>
        <w:t>Enforcement of disciplinary measures</w:t>
      </w:r>
      <w:bookmarkEnd w:id="41"/>
      <w:bookmarkEnd w:id="42"/>
      <w:r>
        <w:t xml:space="preserve"> </w:t>
      </w:r>
    </w:p>
    <w:p w14:paraId="2C671CC5" w14:textId="77777777" w:rsidR="00127CBB" w:rsidRPr="00BB5CD0" w:rsidRDefault="00127CBB" w:rsidP="00127CBB">
      <w:pPr>
        <w:pStyle w:val="Tekst"/>
      </w:pPr>
      <w:r>
        <w:t>Throughout 2021, 19 disciplinary measures were pronounced, the enforcement of two disciplinary measures is expected, while four measures involving salary reductions are temporarily on hold until conditions for enforcement are met.</w:t>
      </w:r>
    </w:p>
    <w:p w14:paraId="0AC78D5B" w14:textId="77777777" w:rsidR="00127CBB" w:rsidRPr="00296FB2" w:rsidRDefault="00127CBB" w:rsidP="00127CBB">
      <w:pPr>
        <w:pStyle w:val="TREINASLOV"/>
      </w:pPr>
      <w:bookmarkStart w:id="43" w:name="_Toc97722056"/>
      <w:bookmarkStart w:id="44" w:name="_Toc112852420"/>
      <w:r>
        <w:t>Disclosure of disciplinary decisions</w:t>
      </w:r>
      <w:bookmarkEnd w:id="43"/>
      <w:bookmarkEnd w:id="44"/>
    </w:p>
    <w:p w14:paraId="2486A318" w14:textId="0BCF1B44" w:rsidR="003E7651" w:rsidRDefault="00127CBB" w:rsidP="00127CBB">
      <w:pPr>
        <w:pStyle w:val="Tekst"/>
      </w:pPr>
      <w:r>
        <w:t xml:space="preserve">Final disciplinary decisions rendered in 2021, except for decisions establishing disciplinary liability and the measure - a written warning which shall not be made public, are anonymised and placed on the HJPC BiH website, as well as decisions rejecting a disciplinary complaint. </w:t>
      </w:r>
    </w:p>
    <w:p w14:paraId="2355BA00" w14:textId="77777777" w:rsidR="003E7651" w:rsidRDefault="003E7651">
      <w:pPr>
        <w:rPr>
          <w:rFonts w:ascii="Arial" w:hAnsi="Arial" w:cs="Tahoma"/>
          <w:sz w:val="22"/>
        </w:rPr>
      </w:pPr>
      <w:r>
        <w:br w:type="page"/>
      </w:r>
    </w:p>
    <w:p w14:paraId="5F5A01C2" w14:textId="04FF1823" w:rsidR="003E7651" w:rsidRPr="00ED047F" w:rsidRDefault="003E7651" w:rsidP="00BE3B39">
      <w:pPr>
        <w:pStyle w:val="PRVINASLOV"/>
      </w:pPr>
      <w:bookmarkStart w:id="45" w:name="_Toc112852421"/>
      <w:bookmarkStart w:id="46" w:name="_Toc97722057"/>
      <w:bookmarkStart w:id="47" w:name="_Toc101944215"/>
      <w:r>
        <w:lastRenderedPageBreak/>
        <w:t>SIGNIFICANT ACHIEVEMENTS OF THE HJPC BiH DURING 2021</w:t>
      </w:r>
      <w:bookmarkEnd w:id="45"/>
      <w:r>
        <w:t xml:space="preserve"> </w:t>
      </w:r>
      <w:bookmarkEnd w:id="46"/>
      <w:bookmarkEnd w:id="47"/>
    </w:p>
    <w:p w14:paraId="1B0249D8" w14:textId="77777777" w:rsidR="003E7651" w:rsidRPr="00ED047F" w:rsidRDefault="003E7651" w:rsidP="00BE3B39">
      <w:pPr>
        <w:pStyle w:val="DRUGINASLOV"/>
      </w:pPr>
      <w:bookmarkStart w:id="48" w:name="_Toc97722058"/>
      <w:bookmarkStart w:id="49" w:name="_Toc101944216"/>
      <w:bookmarkStart w:id="50" w:name="_Toc112852422"/>
      <w:r>
        <w:t>Efficiency, quality and quantity of court performance</w:t>
      </w:r>
      <w:bookmarkEnd w:id="48"/>
      <w:bookmarkEnd w:id="49"/>
      <w:bookmarkEnd w:id="50"/>
    </w:p>
    <w:p w14:paraId="41D79931" w14:textId="77777777" w:rsidR="003E7651" w:rsidRPr="00ED047F" w:rsidRDefault="003E7651" w:rsidP="00BE3B39">
      <w:pPr>
        <w:pStyle w:val="TREINASLOV"/>
      </w:pPr>
      <w:bookmarkStart w:id="51" w:name="_Toc112852423"/>
      <w:r>
        <w:t>S</w:t>
      </w:r>
      <w:r w:rsidRPr="000F5D54">
        <w:t>trategic planning system introduced in</w:t>
      </w:r>
      <w:r>
        <w:t xml:space="preserve"> all</w:t>
      </w:r>
      <w:r w:rsidRPr="000F5D54">
        <w:t xml:space="preserve"> BiH courts</w:t>
      </w:r>
      <w:bookmarkEnd w:id="51"/>
    </w:p>
    <w:p w14:paraId="071CCFB6" w14:textId="77777777" w:rsidR="003E7651" w:rsidRPr="00ED047F" w:rsidRDefault="003E7651" w:rsidP="00BE3B39">
      <w:pPr>
        <w:pStyle w:val="Tekst"/>
      </w:pPr>
      <w:r>
        <w:t>For the first time, a strategic planning system has been introduced in BiH courts. Unlike previous work, which was mainly based on annual plans, the courts will base their work on strategic plans that will allow them to work more efficiently and achieve maximum performance.</w:t>
      </w:r>
    </w:p>
    <w:p w14:paraId="77592399" w14:textId="77777777" w:rsidR="003E7651" w:rsidRPr="00ED047F" w:rsidRDefault="003E7651" w:rsidP="00BE3B39">
      <w:pPr>
        <w:pStyle w:val="Tekst"/>
      </w:pPr>
      <w:r>
        <w:t>So far, the annual plans mainly served to distribute the work among judges by case type, while the new method will allow maximum use of all human and material resources, but also timely planning of activities and funding.</w:t>
      </w:r>
    </w:p>
    <w:p w14:paraId="31B7A469" w14:textId="77777777" w:rsidR="003E7651" w:rsidRPr="00ED047F" w:rsidRDefault="003E7651" w:rsidP="00BE3B39">
      <w:pPr>
        <w:pStyle w:val="Tekst"/>
      </w:pPr>
      <w:r>
        <w:t xml:space="preserve">As this is a new process in the judiciary, in 2021 the HJPC BiH provided full support to the courts in the implementation of the strategic planning process through the adoption of the Guidelines for Strategic Planning and Reporting in the BiH courts and organising workshops during which the entire process of strategic planning was presented in a practical way, as well as the method of developing strategic plans.  </w:t>
      </w:r>
    </w:p>
    <w:p w14:paraId="6D2B257C" w14:textId="77777777" w:rsidR="003E7651" w:rsidRPr="00ED047F" w:rsidRDefault="003E7651" w:rsidP="00BE3B39">
      <w:pPr>
        <w:pStyle w:val="Tekst"/>
      </w:pPr>
      <w:r>
        <w:t>Strategic plans have been developed by all courts in BiH, and they are available on the courts' websites, which allows the public not only to see the plans, but also to follow up on their implementation.</w:t>
      </w:r>
    </w:p>
    <w:p w14:paraId="2B4A01FB" w14:textId="1621DF27" w:rsidR="003E7651" w:rsidRPr="00BE3B39" w:rsidRDefault="00BE3B39" w:rsidP="00BE3B39">
      <w:pPr>
        <w:pStyle w:val="Caption"/>
      </w:pPr>
      <w:r w:rsidRPr="00BE3B39">
        <w:t xml:space="preserve">Image </w:t>
      </w:r>
      <w:r w:rsidR="006D1459">
        <w:fldChar w:fldCharType="begin"/>
      </w:r>
      <w:r w:rsidR="006D1459">
        <w:instrText xml:space="preserve"> SEQ Image \* ARABIC </w:instrText>
      </w:r>
      <w:r w:rsidR="006D1459">
        <w:fldChar w:fldCharType="separate"/>
      </w:r>
      <w:r w:rsidR="009E77AF">
        <w:rPr>
          <w:noProof/>
        </w:rPr>
        <w:t>1</w:t>
      </w:r>
      <w:r w:rsidR="006D1459">
        <w:rPr>
          <w:noProof/>
        </w:rPr>
        <w:fldChar w:fldCharType="end"/>
      </w:r>
      <w:r w:rsidRPr="00BE3B39">
        <w:t>: Regional workshop on the introduction of the strategic planning system</w:t>
      </w:r>
    </w:p>
    <w:p w14:paraId="513ABE71" w14:textId="77777777" w:rsidR="003E7651" w:rsidRPr="00ED047F" w:rsidRDefault="003E7651" w:rsidP="003E7651">
      <w:pPr>
        <w:spacing w:before="80"/>
        <w:contextualSpacing/>
        <w:jc w:val="center"/>
        <w:rPr>
          <w:rFonts w:ascii="Arial" w:hAnsi="Arial" w:cs="Arial"/>
        </w:rPr>
      </w:pPr>
      <w:r>
        <w:rPr>
          <w:rFonts w:ascii="Arial" w:hAnsi="Arial"/>
          <w:noProof/>
          <w:lang w:val="bs-Latn-BA" w:eastAsia="bs-Latn-BA"/>
        </w:rPr>
        <w:lastRenderedPageBreak/>
        <w:drawing>
          <wp:inline distT="0" distB="0" distL="0" distR="0" wp14:anchorId="5D942209" wp14:editId="16EAA936">
            <wp:extent cx="4832663" cy="362479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adionica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73659" cy="3730546"/>
                    </a:xfrm>
                    <a:prstGeom prst="rect">
                      <a:avLst/>
                    </a:prstGeom>
                  </pic:spPr>
                </pic:pic>
              </a:graphicData>
            </a:graphic>
          </wp:inline>
        </w:drawing>
      </w:r>
    </w:p>
    <w:p w14:paraId="55A8E119" w14:textId="77777777" w:rsidR="003E7651" w:rsidRPr="00ED047F" w:rsidRDefault="003E7651" w:rsidP="003E7651">
      <w:pPr>
        <w:spacing w:before="80"/>
        <w:contextualSpacing/>
        <w:jc w:val="both"/>
        <w:rPr>
          <w:rFonts w:ascii="Arial" w:hAnsi="Arial" w:cs="Arial"/>
        </w:rPr>
      </w:pPr>
    </w:p>
    <w:p w14:paraId="4AD05313" w14:textId="77777777" w:rsidR="003E7651" w:rsidRPr="00ED047F" w:rsidRDefault="003E7651" w:rsidP="003E7651">
      <w:pPr>
        <w:rPr>
          <w:rFonts w:ascii="Arial" w:hAnsi="Arial"/>
          <w:b/>
          <w:bCs/>
          <w:sz w:val="20"/>
          <w:szCs w:val="20"/>
        </w:rPr>
      </w:pPr>
      <w:r>
        <w:br w:type="page"/>
      </w:r>
    </w:p>
    <w:p w14:paraId="350FD552" w14:textId="734F6759" w:rsidR="003E7651" w:rsidRPr="00BE3B39" w:rsidRDefault="00BE3B39" w:rsidP="00BE3B39">
      <w:pPr>
        <w:pStyle w:val="Caption"/>
      </w:pPr>
      <w:r w:rsidRPr="00BE3B39">
        <w:lastRenderedPageBreak/>
        <w:t xml:space="preserve">Image </w:t>
      </w:r>
      <w:r w:rsidR="006D1459">
        <w:fldChar w:fldCharType="begin"/>
      </w:r>
      <w:r w:rsidR="006D1459">
        <w:instrText xml:space="preserve"> SEQ Image \* ARABIC </w:instrText>
      </w:r>
      <w:r w:rsidR="006D1459">
        <w:fldChar w:fldCharType="separate"/>
      </w:r>
      <w:r w:rsidR="009E77AF">
        <w:rPr>
          <w:noProof/>
        </w:rPr>
        <w:t>2</w:t>
      </w:r>
      <w:r w:rsidR="006D1459">
        <w:rPr>
          <w:noProof/>
        </w:rPr>
        <w:fldChar w:fldCharType="end"/>
      </w:r>
      <w:r w:rsidRPr="00BE3B39">
        <w:t>: Infographic on the process of introducing strategic planning in the BiH courts</w:t>
      </w:r>
    </w:p>
    <w:p w14:paraId="3B778753" w14:textId="77777777" w:rsidR="003E7651" w:rsidRPr="00ED047F" w:rsidRDefault="003E7651" w:rsidP="003E7651">
      <w:pPr>
        <w:keepNext/>
        <w:spacing w:before="80"/>
        <w:contextualSpacing/>
        <w:jc w:val="center"/>
      </w:pPr>
      <w:r>
        <w:rPr>
          <w:rFonts w:ascii="Arial" w:hAnsi="Arial"/>
          <w:b/>
          <w:noProof/>
          <w:lang w:val="bs-Latn-BA" w:eastAsia="bs-Latn-BA"/>
        </w:rPr>
        <w:drawing>
          <wp:inline distT="0" distB="0" distL="0" distR="0" wp14:anchorId="436A2C59" wp14:editId="5B3420DB">
            <wp:extent cx="4872212" cy="2541320"/>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tratesko planiranje_decembar_2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88036" cy="2549574"/>
                    </a:xfrm>
                    <a:prstGeom prst="rect">
                      <a:avLst/>
                    </a:prstGeom>
                  </pic:spPr>
                </pic:pic>
              </a:graphicData>
            </a:graphic>
          </wp:inline>
        </w:drawing>
      </w:r>
    </w:p>
    <w:p w14:paraId="738F6180" w14:textId="77777777" w:rsidR="003E7651" w:rsidRPr="00ED047F" w:rsidRDefault="003E7651" w:rsidP="003E7651">
      <w:pPr>
        <w:spacing w:before="120" w:after="120"/>
        <w:jc w:val="both"/>
        <w:rPr>
          <w:rFonts w:ascii="Arial" w:hAnsi="Arial"/>
          <w:b/>
          <w:bCs/>
          <w:sz w:val="20"/>
          <w:szCs w:val="20"/>
        </w:rPr>
      </w:pPr>
    </w:p>
    <w:p w14:paraId="5E9C7059" w14:textId="77777777" w:rsidR="003E7651" w:rsidRPr="00ED047F" w:rsidRDefault="003E7651" w:rsidP="00BE3B39">
      <w:pPr>
        <w:pStyle w:val="etvrtinaslov0"/>
      </w:pPr>
      <w:bookmarkStart w:id="52" w:name="_Toc101944218"/>
      <w:bookmarkStart w:id="53" w:name="_Toc112852424"/>
      <w:r>
        <w:t>Introduction of the efficiency indicators</w:t>
      </w:r>
      <w:bookmarkEnd w:id="52"/>
      <w:bookmarkEnd w:id="53"/>
      <w:r>
        <w:t xml:space="preserve"> </w:t>
      </w:r>
    </w:p>
    <w:p w14:paraId="328EE21F" w14:textId="77777777" w:rsidR="003E7651" w:rsidRPr="00ED047F" w:rsidRDefault="003E7651" w:rsidP="00BE3B39">
      <w:pPr>
        <w:pStyle w:val="Tekst"/>
      </w:pPr>
      <w:r>
        <w:t xml:space="preserve">Efficiency indicators have been introduced in the judiciary for the first time, with the aim of identifying specific problems in the courts more quickly and easily. Given the indicators and information they provide, the HJPC BiH will have the opportunity to render appropriate measures as to provide support and instructions for the court(s) in which a particular problem has been identified, with the ultimate goal of increasing the efficiency and productivity of the BiH courts. </w:t>
      </w:r>
    </w:p>
    <w:p w14:paraId="2E85864C" w14:textId="77777777" w:rsidR="003E7651" w:rsidRPr="00ED047F" w:rsidRDefault="003E7651" w:rsidP="00BE3B39">
      <w:pPr>
        <w:pStyle w:val="Tekst"/>
      </w:pPr>
      <w:r>
        <w:t xml:space="preserve">Introduction of the efficiency indicators as a way of monitoring the performance of courts has multiple implications for the BiH judiciary. Although the HJPC BiH has developed numerous tools for managing and monitoring the work of courts in recent years, the development of performance indicators is a step towards strengthening the regulatory role of the HJPC BiH, but also the management role of court presidents so that all court presidents will have a uniform method to follow the results of their courts and be proactive in case of certain problems (e.g. increased duration of pending cases, reduced quotas achieved, etc.) </w:t>
      </w:r>
    </w:p>
    <w:p w14:paraId="537DCC94" w14:textId="77777777" w:rsidR="003E7651" w:rsidRPr="00ED047F" w:rsidRDefault="003E7651" w:rsidP="00BE3B39">
      <w:pPr>
        <w:pStyle w:val="Tekst"/>
      </w:pPr>
      <w:r>
        <w:t xml:space="preserve">Efficiency indicators are a set of data whose results are analysed and correlated with each other. </w:t>
      </w:r>
    </w:p>
    <w:p w14:paraId="1C1E21BC" w14:textId="77777777" w:rsidR="003E7651" w:rsidRPr="00ED047F" w:rsidRDefault="003E7651" w:rsidP="00BE3B39">
      <w:pPr>
        <w:pStyle w:val="Tekst"/>
      </w:pPr>
      <w:r>
        <w:t xml:space="preserve">Although the set of indicators was adopted in 2020, their actual application began in 2021 after they were assigned individual weights in order to show the total score for each court. This method of ranking the courts represents a list of priority courts that need support from the HJPC BiH in order to address the observed work delays. </w:t>
      </w:r>
    </w:p>
    <w:p w14:paraId="4B00E637" w14:textId="77777777" w:rsidR="003E7651" w:rsidRPr="00ED047F" w:rsidRDefault="003E7651" w:rsidP="00BE3B39">
      <w:pPr>
        <w:pStyle w:val="Tekst"/>
      </w:pPr>
      <w:r>
        <w:lastRenderedPageBreak/>
        <w:t>This management mechanism is a comprehensive tool that will assist the HJPC BiH in adopting management policies, and the courts in identifying problems in their work so that they can take a strategic approach to solving problems.</w:t>
      </w:r>
    </w:p>
    <w:p w14:paraId="7C8C994E" w14:textId="77777777" w:rsidR="003E7651" w:rsidRPr="00ED047F" w:rsidRDefault="003E7651" w:rsidP="00BE3B39">
      <w:pPr>
        <w:pStyle w:val="Tekst"/>
      </w:pPr>
      <w:r>
        <w:t xml:space="preserve">The HJPC BiH has adopted eight indicators: </w:t>
      </w:r>
    </w:p>
    <w:p w14:paraId="38E2308F" w14:textId="77777777" w:rsidR="003E7651" w:rsidRPr="00ED047F" w:rsidRDefault="003E7651" w:rsidP="00FC3123">
      <w:pPr>
        <w:pStyle w:val="Tekst"/>
        <w:numPr>
          <w:ilvl w:val="0"/>
          <w:numId w:val="21"/>
        </w:numPr>
      </w:pPr>
      <w:r>
        <w:t xml:space="preserve">Clearance rate  </w:t>
      </w:r>
    </w:p>
    <w:p w14:paraId="586DB517" w14:textId="77777777" w:rsidR="003E7651" w:rsidRPr="00ED047F" w:rsidRDefault="003E7651" w:rsidP="00FC3123">
      <w:pPr>
        <w:pStyle w:val="Tekst"/>
        <w:numPr>
          <w:ilvl w:val="0"/>
          <w:numId w:val="21"/>
        </w:numPr>
      </w:pPr>
      <w:r>
        <w:t xml:space="preserve">Disposition time  (DT) </w:t>
      </w:r>
    </w:p>
    <w:p w14:paraId="03C916B7" w14:textId="77777777" w:rsidR="003E7651" w:rsidRPr="00ED047F" w:rsidRDefault="003E7651" w:rsidP="00FC3123">
      <w:pPr>
        <w:pStyle w:val="Tekst"/>
        <w:numPr>
          <w:ilvl w:val="0"/>
          <w:numId w:val="21"/>
        </w:numPr>
      </w:pPr>
      <w:r>
        <w:t xml:space="preserve">Disposition to pending times ratio  </w:t>
      </w:r>
    </w:p>
    <w:p w14:paraId="54791869" w14:textId="77777777" w:rsidR="003E7651" w:rsidRPr="00ED047F" w:rsidRDefault="003E7651" w:rsidP="00FC3123">
      <w:pPr>
        <w:pStyle w:val="Tekst"/>
        <w:numPr>
          <w:ilvl w:val="0"/>
          <w:numId w:val="21"/>
        </w:numPr>
      </w:pPr>
      <w:r>
        <w:t xml:space="preserve">Backlog reduction plan realisation rate </w:t>
      </w:r>
    </w:p>
    <w:p w14:paraId="44AA5B3F" w14:textId="77777777" w:rsidR="003E7651" w:rsidRPr="00ED047F" w:rsidRDefault="003E7651" w:rsidP="00FC3123">
      <w:pPr>
        <w:pStyle w:val="Tekst"/>
        <w:numPr>
          <w:ilvl w:val="0"/>
          <w:numId w:val="21"/>
        </w:numPr>
      </w:pPr>
      <w:r>
        <w:t xml:space="preserve">Collective quotas of judges  </w:t>
      </w:r>
    </w:p>
    <w:p w14:paraId="567B5754" w14:textId="77777777" w:rsidR="003E7651" w:rsidRPr="00ED047F" w:rsidRDefault="003E7651" w:rsidP="00FC3123">
      <w:pPr>
        <w:pStyle w:val="Tekst"/>
        <w:numPr>
          <w:ilvl w:val="0"/>
          <w:numId w:val="21"/>
        </w:numPr>
      </w:pPr>
      <w:r>
        <w:t xml:space="preserve">Number of judicial office holders (filled positions and systematised positions), average number of disposed and pending cases per judicial office holder </w:t>
      </w:r>
    </w:p>
    <w:p w14:paraId="59C739BD" w14:textId="77777777" w:rsidR="00BE3B39" w:rsidRDefault="003E7651" w:rsidP="00FC3123">
      <w:pPr>
        <w:pStyle w:val="Tekst"/>
        <w:numPr>
          <w:ilvl w:val="0"/>
          <w:numId w:val="21"/>
        </w:numPr>
      </w:pPr>
      <w:r>
        <w:t>Costs of judicial proceedings / average cost</w:t>
      </w:r>
    </w:p>
    <w:p w14:paraId="18E5156A" w14:textId="7EE607D4" w:rsidR="003E7651" w:rsidRPr="00ED047F" w:rsidRDefault="003E7651" w:rsidP="00FC3123">
      <w:pPr>
        <w:pStyle w:val="Tekst"/>
        <w:numPr>
          <w:ilvl w:val="0"/>
          <w:numId w:val="21"/>
        </w:numPr>
      </w:pPr>
      <w:r>
        <w:t>Statistical quality</w:t>
      </w:r>
    </w:p>
    <w:p w14:paraId="277345BF" w14:textId="77777777" w:rsidR="003E7651" w:rsidRPr="00ED047F" w:rsidRDefault="003E7651" w:rsidP="00BE3B39">
      <w:pPr>
        <w:pStyle w:val="Tekst"/>
        <w:rPr>
          <w:rFonts w:eastAsia="Calibri"/>
        </w:rPr>
      </w:pPr>
      <w:r>
        <w:t xml:space="preserve">All reports used by the HJPC BiH for the purpose of calculating efficiency indicators are available to the courts through the Reporting and Decision Support System (SIPO system). </w:t>
      </w:r>
    </w:p>
    <w:p w14:paraId="0C4779BF" w14:textId="77777777" w:rsidR="003E7651" w:rsidRPr="00ED047F" w:rsidRDefault="003E7651" w:rsidP="00BE3B39">
      <w:pPr>
        <w:pStyle w:val="Tekst"/>
        <w:rPr>
          <w:rFonts w:eastAsia="Calibri"/>
        </w:rPr>
      </w:pPr>
      <w:r>
        <w:t>The importance of monitoring efficiency indicators was recognised both during the definition of strategic court plans and annual work plans, and during the competition procedure for the appointment of court presidents.</w:t>
      </w:r>
    </w:p>
    <w:p w14:paraId="2D164132" w14:textId="77777777" w:rsidR="003E7651" w:rsidRPr="00ED047F" w:rsidRDefault="003E7651" w:rsidP="00BE3B39">
      <w:pPr>
        <w:pStyle w:val="etvrtinaslov0"/>
        <w:rPr>
          <w:rFonts w:eastAsia="Calibri"/>
        </w:rPr>
      </w:pPr>
      <w:bookmarkStart w:id="54" w:name="_Toc101944219"/>
      <w:bookmarkStart w:id="55" w:name="_Toc112852425"/>
      <w:r>
        <w:t>Backlog reduced with the backlog reduction plans in courts</w:t>
      </w:r>
      <w:bookmarkEnd w:id="54"/>
      <w:bookmarkEnd w:id="55"/>
    </w:p>
    <w:p w14:paraId="49CFE677" w14:textId="77777777" w:rsidR="003E7651" w:rsidRPr="00ED047F" w:rsidRDefault="003E7651" w:rsidP="00BE3B39">
      <w:pPr>
        <w:pStyle w:val="Tekst"/>
        <w:rPr>
          <w:shd w:val="clear" w:color="auto" w:fill="FFFFFF"/>
        </w:rPr>
      </w:pPr>
      <w:r>
        <w:rPr>
          <w:shd w:val="clear" w:color="auto" w:fill="FFFFFF"/>
        </w:rPr>
        <w:t>In 2021, the courts disposed of 163,025 oldest cases in line with the backlog reduction plans, i.e. 22,573 cases more than in 2020.</w:t>
      </w:r>
    </w:p>
    <w:p w14:paraId="47C95220" w14:textId="77777777" w:rsidR="003E7651" w:rsidRPr="00ED047F" w:rsidRDefault="003E7651" w:rsidP="00BE3B39">
      <w:pPr>
        <w:pStyle w:val="Tekst"/>
        <w:rPr>
          <w:shd w:val="clear" w:color="auto" w:fill="FFFFFF"/>
        </w:rPr>
      </w:pPr>
      <w:r>
        <w:rPr>
          <w:shd w:val="clear" w:color="auto" w:fill="FFFFFF"/>
        </w:rPr>
        <w:t>Expressed as percentage of the backlog reduction plan realisation, the courts realised 87% of the plans, i.e. 7% more compared to 2020.</w:t>
      </w:r>
    </w:p>
    <w:p w14:paraId="116068E0" w14:textId="541CEB20" w:rsidR="003E7651" w:rsidRPr="00BE3B39" w:rsidRDefault="00BE3B39" w:rsidP="00BE3B39">
      <w:pPr>
        <w:pStyle w:val="Caption"/>
      </w:pPr>
      <w:r w:rsidRPr="00BE3B39">
        <w:t xml:space="preserve">Graph </w:t>
      </w:r>
      <w:r w:rsidR="006D1459">
        <w:fldChar w:fldCharType="begin"/>
      </w:r>
      <w:r w:rsidR="006D1459">
        <w:instrText xml:space="preserve"> SEQ Graph \* ARABIC </w:instrText>
      </w:r>
      <w:r w:rsidR="006D1459">
        <w:fldChar w:fldCharType="separate"/>
      </w:r>
      <w:r w:rsidRPr="00BE3B39">
        <w:t>8</w:t>
      </w:r>
      <w:r w:rsidR="006D1459">
        <w:fldChar w:fldCharType="end"/>
      </w:r>
      <w:r w:rsidRPr="00BE3B39">
        <w:t>: Backlog reduction plan realisation rate per year</w:t>
      </w:r>
    </w:p>
    <w:p w14:paraId="3AA40549" w14:textId="13F108DC" w:rsidR="003E7651" w:rsidRPr="00ED047F" w:rsidRDefault="00B7783B" w:rsidP="003E7651">
      <w:pPr>
        <w:spacing w:before="80"/>
        <w:contextualSpacing/>
        <w:jc w:val="both"/>
        <w:rPr>
          <w:rFonts w:ascii="Arial" w:hAnsi="Arial" w:cs="Arial"/>
          <w:bCs/>
          <w:shd w:val="clear" w:color="auto" w:fill="FFFFFF"/>
        </w:rPr>
      </w:pPr>
      <w:r>
        <w:rPr>
          <w:noProof/>
          <w:lang w:val="bs-Latn-BA" w:eastAsia="bs-Latn-BA"/>
        </w:rPr>
        <w:lastRenderedPageBreak/>
        <w:drawing>
          <wp:inline distT="0" distB="0" distL="0" distR="0" wp14:anchorId="20EDA5FB" wp14:editId="44A7F484">
            <wp:extent cx="5791200" cy="3114675"/>
            <wp:effectExtent l="0" t="0" r="0" b="9525"/>
            <wp:docPr id="233" name="Chart 2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16B85EE" w14:textId="77777777" w:rsidR="003E7651" w:rsidRPr="00ED047F" w:rsidRDefault="003E7651" w:rsidP="003E7651">
      <w:pPr>
        <w:spacing w:before="80"/>
        <w:contextualSpacing/>
        <w:jc w:val="both"/>
        <w:rPr>
          <w:rFonts w:ascii="Arial" w:hAnsi="Arial" w:cs="Arial"/>
          <w:bCs/>
          <w:shd w:val="clear" w:color="auto" w:fill="FFFFFF"/>
        </w:rPr>
      </w:pPr>
    </w:p>
    <w:p w14:paraId="54FDCF14" w14:textId="77777777" w:rsidR="003E7651" w:rsidRPr="00ED047F" w:rsidRDefault="003E7651" w:rsidP="00BE3B39">
      <w:pPr>
        <w:pStyle w:val="Tekst"/>
        <w:rPr>
          <w:shd w:val="clear" w:color="auto" w:fill="FFFFFF"/>
        </w:rPr>
      </w:pPr>
      <w:r>
        <w:rPr>
          <w:shd w:val="clear" w:color="auto" w:fill="FFFFFF"/>
        </w:rPr>
        <w:t>The practice of drafting backlog reduction plans in courts, introduced by the HJPC BiH in 2011, contributes the most to increased efficiency of courts. The main goal and purpose of drafting backlog reduction plans in courts is to resolve cases chronologically based on the date of the initial act and to ensure the exercise of the parties' rights to a fair trial within a reasonable time. Courts prepare backlog reduction plans in line with the provisions of the Instruction for Drafting Backlog Reduction Plans, which was first adopted by the HJPC BiH in December 2010, and subsequently amended in order to further increase efficiency in resolving the oldest cases in courts.</w:t>
      </w:r>
    </w:p>
    <w:p w14:paraId="27FE2761" w14:textId="77777777" w:rsidR="003E7651" w:rsidRPr="00ED047F" w:rsidRDefault="003E7651" w:rsidP="00BE3B39">
      <w:pPr>
        <w:pStyle w:val="Tekst"/>
        <w:rPr>
          <w:shd w:val="clear" w:color="auto" w:fill="FFFFFF"/>
        </w:rPr>
      </w:pPr>
      <w:r>
        <w:rPr>
          <w:shd w:val="clear" w:color="auto" w:fill="FFFFFF"/>
        </w:rPr>
        <w:t xml:space="preserve">By implementing backlog reduction plans, courts resolve an average of about 130,000 of the oldest cases annually (taking into account the results of work from 2011 to 2021). The results from the period when the backlog reduction plans were introduced until the end of 2021 indicate that over 1.4 million cases were resolved in the courts. </w:t>
      </w:r>
    </w:p>
    <w:p w14:paraId="5C398A68" w14:textId="77777777" w:rsidR="003E7651" w:rsidRPr="00ED047F" w:rsidRDefault="003E7651" w:rsidP="00BE3B39">
      <w:pPr>
        <w:pStyle w:val="Tekst"/>
        <w:rPr>
          <w:shd w:val="clear" w:color="auto" w:fill="FFFFFF"/>
        </w:rPr>
      </w:pPr>
      <w:r>
        <w:rPr>
          <w:shd w:val="clear" w:color="auto" w:fill="FFFFFF"/>
        </w:rPr>
        <w:t xml:space="preserve">Although the COVID-19 pandemic significantly affected the work of the courts, they managed to maintain an above-average result over the last two years. </w:t>
      </w:r>
    </w:p>
    <w:p w14:paraId="267F8D47" w14:textId="77777777" w:rsidR="003E7651" w:rsidRPr="00ED047F" w:rsidRDefault="003E7651" w:rsidP="00BE3B39">
      <w:pPr>
        <w:pStyle w:val="Tekst"/>
        <w:rPr>
          <w:shd w:val="clear" w:color="auto" w:fill="FFFFFF"/>
        </w:rPr>
      </w:pPr>
      <w:r>
        <w:rPr>
          <w:shd w:val="clear" w:color="auto" w:fill="FFFFFF"/>
        </w:rPr>
        <w:t>A significant contribution to the successful implementation of this activity was given by the developed mechanism of continuous monitoring of the achieved results and continuous supervision over the implemented processes, for which the relevant standing committees of the HJPC BiH are primarily in charge.</w:t>
      </w:r>
    </w:p>
    <w:p w14:paraId="49F2063E" w14:textId="77777777" w:rsidR="00BE3B39" w:rsidRDefault="00BE3B39">
      <w:pPr>
        <w:rPr>
          <w:rFonts w:ascii="Arial" w:hAnsi="Arial"/>
          <w:b/>
          <w:bCs/>
          <w:iCs/>
          <w:sz w:val="26"/>
          <w:szCs w:val="26"/>
        </w:rPr>
      </w:pPr>
      <w:bookmarkStart w:id="56" w:name="_Toc97722059"/>
      <w:bookmarkStart w:id="57" w:name="_Toc101944220"/>
      <w:r>
        <w:rPr>
          <w:rFonts w:ascii="Arial" w:hAnsi="Arial"/>
          <w:b/>
          <w:bCs/>
          <w:iCs/>
          <w:sz w:val="26"/>
          <w:szCs w:val="26"/>
        </w:rPr>
        <w:br w:type="page"/>
      </w:r>
    </w:p>
    <w:p w14:paraId="065B99F0" w14:textId="14BA4B93" w:rsidR="003E7651" w:rsidRPr="00ED047F" w:rsidRDefault="003E7651" w:rsidP="00BE3B39">
      <w:pPr>
        <w:pStyle w:val="TREINASLOV"/>
      </w:pPr>
      <w:bookmarkStart w:id="58" w:name="_Toc112852426"/>
      <w:r>
        <w:lastRenderedPageBreak/>
        <w:t>More efficient processing of corruption and organised crime cases</w:t>
      </w:r>
      <w:bookmarkEnd w:id="56"/>
      <w:bookmarkEnd w:id="57"/>
      <w:bookmarkEnd w:id="58"/>
      <w:r>
        <w:t xml:space="preserve"> </w:t>
      </w:r>
    </w:p>
    <w:p w14:paraId="032D480F" w14:textId="77777777" w:rsidR="003E7651" w:rsidRPr="00ED047F" w:rsidRDefault="003E7651" w:rsidP="00BE3B39">
      <w:pPr>
        <w:pStyle w:val="Tekst"/>
      </w:pPr>
      <w:r>
        <w:t>Improving inter-institutional cooperation among courts, prosecutor's offices and bar associations has been recognised as a key element for more efficient processing of corruption and organised crime cases.</w:t>
      </w:r>
    </w:p>
    <w:p w14:paraId="7B321FF1" w14:textId="77777777" w:rsidR="003E7651" w:rsidRPr="00ED047F" w:rsidRDefault="003E7651" w:rsidP="00BE3B39">
      <w:pPr>
        <w:pStyle w:val="Tekst"/>
      </w:pPr>
      <w:r>
        <w:t>More efficient processing of these types of cases is a key to reducing crime rates, strengthening security and the state's legal system, which is also a recommendation of all international reports on the work of the judiciary. Given that European standards of justice are one of the strategic commitments of the HJPC BiH, at the initiative of this regulatory body, a number of activities have been launched to improve this field. At the session of the Council, held on 24 February 2021, a number of conclusions were adopted regarding the strengthening of procedural discipline in courts and the development of concrete action plans to accelerate the resolution of cases of these types as well as organising thematic meetings with relevant institutions. These conclusions provide a starting point for all future activities.</w:t>
      </w:r>
    </w:p>
    <w:p w14:paraId="4D005F1B" w14:textId="77777777" w:rsidR="003E7651" w:rsidRPr="00ED047F" w:rsidRDefault="003E7651" w:rsidP="00BE3B39">
      <w:pPr>
        <w:pStyle w:val="Tekst"/>
      </w:pPr>
      <w:r>
        <w:t xml:space="preserve">In the second part of 2021, at the initiative of the HJPC BiH, a series of meetings of representatives of key judicial institutions were held with the aim of opening a dialogue on more efficient and high-quality and faster processing of these types of cases. </w:t>
      </w:r>
    </w:p>
    <w:p w14:paraId="224D77A3" w14:textId="77777777" w:rsidR="003E7651" w:rsidRPr="00ED047F" w:rsidRDefault="003E7651" w:rsidP="00BE3B39">
      <w:pPr>
        <w:pStyle w:val="Tekst"/>
        <w:rPr>
          <w:b/>
          <w:i/>
        </w:rPr>
      </w:pPr>
      <w:r>
        <w:t>Thematic meetings were held with the Court of BiH and the Prosecutor's Office of BiH, and the Entity Bar Associations. The meetings held resulted in the adoption of a set of concrete conclusions that will be implemented, the implementation of which will be monitored by the HJPC BiH.</w:t>
      </w:r>
      <w:r>
        <w:rPr>
          <w:b/>
          <w:i/>
        </w:rPr>
        <w:t xml:space="preserve"> </w:t>
      </w:r>
    </w:p>
    <w:p w14:paraId="10F3601D" w14:textId="77777777" w:rsidR="003E7651" w:rsidRPr="00ED047F" w:rsidRDefault="003E7651" w:rsidP="00BE3B39">
      <w:pPr>
        <w:pStyle w:val="Tekst"/>
      </w:pPr>
      <w:r>
        <w:t>The main goal of the joint meetings is to establish mechanisms and methods of work that lead to more efficient processing of organised crime and corruption cases in the country, with emphasis on the findings of the Expert Report on Rule of Law issues in Bosnia and Herzegovina and other relevant international documents. In 2022, meetings with other courts and prosecutor's offices are also planned.</w:t>
      </w:r>
    </w:p>
    <w:p w14:paraId="63BAFF57" w14:textId="77777777" w:rsidR="003E7651" w:rsidRPr="00ED047F" w:rsidRDefault="003E7651" w:rsidP="00BE3B39">
      <w:pPr>
        <w:pStyle w:val="Tekst"/>
      </w:pPr>
      <w:r>
        <w:t>In parallel with these activities, efforts were made to improve the monitoring of corruption cases in the courts.</w:t>
      </w:r>
    </w:p>
    <w:p w14:paraId="17E29F66" w14:textId="77777777" w:rsidR="003E7651" w:rsidRPr="00ED047F" w:rsidRDefault="003E7651" w:rsidP="00BE3B39">
      <w:pPr>
        <w:pStyle w:val="Tekst"/>
      </w:pPr>
      <w:r>
        <w:t xml:space="preserve">Given that the processing of corruption cases is in the focus of public interest in BiH, the HJPC BiH has enabled the monitoring of corruption cases in the courts through the improvement of the Automatic Case Management System (CMS). </w:t>
      </w:r>
    </w:p>
    <w:p w14:paraId="6C09CA05" w14:textId="77777777" w:rsidR="003E7651" w:rsidRPr="00ED047F" w:rsidRDefault="003E7651" w:rsidP="00BE3B39">
      <w:pPr>
        <w:pStyle w:val="Tekst"/>
      </w:pPr>
      <w:r>
        <w:t>For the first time, in the CMS used by all courts in BiH, a mechanism for monitoring corruption and organised crime cases has been established through a part of the programme called the interactive map for courts. The map is available on the judicial web portal, and contains statistical data on the flow of cases, the implementation of the backlog reduction plans and the length of pending cases.</w:t>
      </w:r>
    </w:p>
    <w:p w14:paraId="4E9803F9" w14:textId="77777777" w:rsidR="003E7651" w:rsidRPr="00ED047F" w:rsidRDefault="003E7651" w:rsidP="00BE3B39">
      <w:pPr>
        <w:pStyle w:val="Tekst"/>
      </w:pPr>
      <w:r>
        <w:t xml:space="preserve">The goal that will continue to be pursued is to resolve </w:t>
      </w:r>
      <w:r w:rsidRPr="0048348C">
        <w:t xml:space="preserve">corruption and organised crime cases </w:t>
      </w:r>
      <w:r>
        <w:t>in a shorter period than the current one, which is of great importance for fulfilling the criteria for accession of BiH to EU, and thus strengthening the rule of law in BiH.</w:t>
      </w:r>
    </w:p>
    <w:p w14:paraId="38DD3F80" w14:textId="77777777" w:rsidR="003E7651" w:rsidRPr="00ED047F" w:rsidRDefault="003E7651" w:rsidP="003E7651">
      <w:pPr>
        <w:rPr>
          <w:rFonts w:ascii="Arial" w:hAnsi="Arial"/>
          <w:b/>
          <w:bCs/>
          <w:sz w:val="20"/>
          <w:szCs w:val="20"/>
          <w:highlight w:val="yellow"/>
        </w:rPr>
      </w:pPr>
      <w:r>
        <w:lastRenderedPageBreak/>
        <w:br w:type="page"/>
      </w:r>
    </w:p>
    <w:p w14:paraId="1AD9D563" w14:textId="582361B3" w:rsidR="003E7651" w:rsidRPr="00BE3B39" w:rsidRDefault="00BE3B39" w:rsidP="00BE3B39">
      <w:pPr>
        <w:pStyle w:val="Caption"/>
      </w:pPr>
      <w:r w:rsidRPr="00BE3B39">
        <w:lastRenderedPageBreak/>
        <w:t xml:space="preserve">Image </w:t>
      </w:r>
      <w:r w:rsidR="006D1459">
        <w:fldChar w:fldCharType="begin"/>
      </w:r>
      <w:r w:rsidR="006D1459">
        <w:instrText xml:space="preserve"> SEQ Image \* ARABIC </w:instrText>
      </w:r>
      <w:r w:rsidR="006D1459">
        <w:fldChar w:fldCharType="separate"/>
      </w:r>
      <w:r w:rsidR="009E77AF">
        <w:rPr>
          <w:noProof/>
        </w:rPr>
        <w:t>3</w:t>
      </w:r>
      <w:r w:rsidR="006D1459">
        <w:rPr>
          <w:noProof/>
        </w:rPr>
        <w:fldChar w:fldCharType="end"/>
      </w:r>
      <w:r w:rsidRPr="00BE3B39">
        <w:t>: Interactive map for courts</w:t>
      </w:r>
    </w:p>
    <w:p w14:paraId="31DC002C" w14:textId="77777777" w:rsidR="003E7651" w:rsidRPr="00ED047F" w:rsidRDefault="003E7651" w:rsidP="003E7651">
      <w:pPr>
        <w:keepNext/>
        <w:widowControl w:val="0"/>
        <w:spacing w:before="80" w:after="120"/>
        <w:contextualSpacing/>
        <w:jc w:val="center"/>
      </w:pPr>
      <w:r>
        <w:rPr>
          <w:noProof/>
          <w:lang w:val="bs-Latn-BA" w:eastAsia="bs-Latn-BA"/>
        </w:rPr>
        <w:drawing>
          <wp:inline distT="0" distB="0" distL="0" distR="0" wp14:anchorId="66F529FD" wp14:editId="6658C9A4">
            <wp:extent cx="3390900" cy="2829782"/>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on-corr.png"/>
                    <pic:cNvPicPr/>
                  </pic:nvPicPr>
                  <pic:blipFill>
                    <a:blip r:embed="rId19">
                      <a:extLst>
                        <a:ext uri="{28A0092B-C50C-407E-A947-70E740481C1C}">
                          <a14:useLocalDpi xmlns:a14="http://schemas.microsoft.com/office/drawing/2010/main" val="0"/>
                        </a:ext>
                      </a:extLst>
                    </a:blip>
                    <a:stretch>
                      <a:fillRect/>
                    </a:stretch>
                  </pic:blipFill>
                  <pic:spPr>
                    <a:xfrm>
                      <a:off x="0" y="0"/>
                      <a:ext cx="3403622" cy="2840399"/>
                    </a:xfrm>
                    <a:prstGeom prst="rect">
                      <a:avLst/>
                    </a:prstGeom>
                  </pic:spPr>
                </pic:pic>
              </a:graphicData>
            </a:graphic>
          </wp:inline>
        </w:drawing>
      </w:r>
    </w:p>
    <w:p w14:paraId="5FFF5D37" w14:textId="77777777" w:rsidR="003E7651" w:rsidRPr="00ED047F" w:rsidRDefault="003E7651" w:rsidP="003E7651">
      <w:pPr>
        <w:spacing w:before="80"/>
        <w:contextualSpacing/>
        <w:jc w:val="both"/>
        <w:rPr>
          <w:rFonts w:ascii="Arial" w:hAnsi="Arial" w:cs="Arial"/>
        </w:rPr>
      </w:pPr>
    </w:p>
    <w:p w14:paraId="62A800E3" w14:textId="11593C2F" w:rsidR="003E7651" w:rsidRPr="00ED047F" w:rsidRDefault="009E77AF" w:rsidP="009E77AF">
      <w:pPr>
        <w:pStyle w:val="Caption"/>
        <w:rPr>
          <w:rFonts w:cs="Arial"/>
          <w:i/>
        </w:rPr>
      </w:pPr>
      <w:r>
        <w:t xml:space="preserve">Image </w:t>
      </w:r>
      <w:r w:rsidR="006D1459">
        <w:fldChar w:fldCharType="begin"/>
      </w:r>
      <w:r w:rsidR="006D1459">
        <w:instrText xml:space="preserve"> SEQ Image \* ARABIC </w:instrText>
      </w:r>
      <w:r w:rsidR="006D1459">
        <w:fldChar w:fldCharType="separate"/>
      </w:r>
      <w:r>
        <w:rPr>
          <w:noProof/>
        </w:rPr>
        <w:t>4</w:t>
      </w:r>
      <w:r w:rsidR="006D1459">
        <w:rPr>
          <w:noProof/>
        </w:rPr>
        <w:fldChar w:fldCharType="end"/>
      </w:r>
      <w:r>
        <w:t>: Thematic meetings of key judicial institutions</w:t>
      </w:r>
    </w:p>
    <w:p w14:paraId="6236F29C" w14:textId="77777777" w:rsidR="003E7651" w:rsidRPr="00ED047F" w:rsidRDefault="003E7651" w:rsidP="003E7651">
      <w:pPr>
        <w:spacing w:before="80"/>
        <w:contextualSpacing/>
        <w:jc w:val="center"/>
        <w:rPr>
          <w:rFonts w:ascii="Arial" w:hAnsi="Arial" w:cs="Arial"/>
        </w:rPr>
      </w:pPr>
      <w:r>
        <w:rPr>
          <w:rFonts w:ascii="Arial" w:hAnsi="Arial"/>
          <w:noProof/>
          <w:lang w:val="bs-Latn-BA" w:eastAsia="bs-Latn-BA"/>
        </w:rPr>
        <w:drawing>
          <wp:inline distT="0" distB="0" distL="0" distR="0" wp14:anchorId="773C86A5" wp14:editId="6806619F">
            <wp:extent cx="2590800" cy="1632273"/>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astanak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1071" cy="1638744"/>
                    </a:xfrm>
                    <a:prstGeom prst="rect">
                      <a:avLst/>
                    </a:prstGeom>
                  </pic:spPr>
                </pic:pic>
              </a:graphicData>
            </a:graphic>
          </wp:inline>
        </w:drawing>
      </w:r>
      <w:r>
        <w:rPr>
          <w:rFonts w:ascii="Arial" w:hAnsi="Arial"/>
        </w:rPr>
        <w:t xml:space="preserve">     </w:t>
      </w:r>
      <w:r>
        <w:rPr>
          <w:noProof/>
          <w:lang w:val="bs-Latn-BA" w:eastAsia="bs-Latn-BA"/>
        </w:rPr>
        <w:drawing>
          <wp:inline distT="0" distB="0" distL="0" distR="0" wp14:anchorId="57DC105D" wp14:editId="306CA670">
            <wp:extent cx="2736447" cy="1630800"/>
            <wp:effectExtent l="0" t="0" r="698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astanan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6447" cy="1630800"/>
                    </a:xfrm>
                    <a:prstGeom prst="rect">
                      <a:avLst/>
                    </a:prstGeom>
                  </pic:spPr>
                </pic:pic>
              </a:graphicData>
            </a:graphic>
          </wp:inline>
        </w:drawing>
      </w:r>
    </w:p>
    <w:p w14:paraId="710624F5" w14:textId="77777777" w:rsidR="003E7651" w:rsidRPr="00ED047F" w:rsidRDefault="003E7651" w:rsidP="003E7651">
      <w:pPr>
        <w:spacing w:before="80"/>
        <w:contextualSpacing/>
        <w:jc w:val="both"/>
        <w:rPr>
          <w:rFonts w:ascii="Arial" w:hAnsi="Arial" w:cs="Arial"/>
        </w:rPr>
      </w:pPr>
    </w:p>
    <w:p w14:paraId="13C4C67D" w14:textId="77777777" w:rsidR="003E7651" w:rsidRPr="00ED047F" w:rsidRDefault="003E7651" w:rsidP="00BE3B39">
      <w:pPr>
        <w:pStyle w:val="TREINASLOV"/>
      </w:pPr>
      <w:bookmarkStart w:id="59" w:name="_Toc97722060"/>
      <w:bookmarkStart w:id="60" w:name="_Toc101944221"/>
      <w:bookmarkStart w:id="61" w:name="_Toc112852427"/>
      <w:r>
        <w:t>Improving enforcement procedures in BiH</w:t>
      </w:r>
      <w:bookmarkEnd w:id="59"/>
      <w:bookmarkEnd w:id="60"/>
      <w:bookmarkEnd w:id="61"/>
    </w:p>
    <w:p w14:paraId="7EFF6A12" w14:textId="77777777" w:rsidR="003E7651" w:rsidRPr="00ED047F" w:rsidRDefault="003E7651" w:rsidP="00BE3B39">
      <w:pPr>
        <w:pStyle w:val="etvrtinaslov0"/>
      </w:pPr>
      <w:bookmarkStart w:id="62" w:name="_Toc101944222"/>
      <w:bookmarkStart w:id="63" w:name="_Toc112852428"/>
      <w:r>
        <w:t>Activities of the HJPC BiH with the aim of improving the enforcement procedure in BiH</w:t>
      </w:r>
      <w:bookmarkEnd w:id="62"/>
      <w:bookmarkEnd w:id="63"/>
    </w:p>
    <w:p w14:paraId="27952B61" w14:textId="77777777" w:rsidR="003E7651" w:rsidRPr="00ED047F" w:rsidRDefault="003E7651" w:rsidP="00BE3B39">
      <w:pPr>
        <w:pStyle w:val="Tekst"/>
      </w:pPr>
      <w:r>
        <w:t xml:space="preserve">Improving the enforcement procedure is one of the most important elements of the reform process being implemented in the BiH judiciary. </w:t>
      </w:r>
    </w:p>
    <w:p w14:paraId="20ADDF03" w14:textId="77777777" w:rsidR="003E7651" w:rsidRPr="00ED047F" w:rsidRDefault="003E7651" w:rsidP="00BE3B39">
      <w:pPr>
        <w:pStyle w:val="Tekst"/>
      </w:pPr>
      <w:r>
        <w:lastRenderedPageBreak/>
        <w:t xml:space="preserve">The problem of enforcement procedure was also recognised by the European Commission and it was clearly emphasised through the recommendations of the Subcommittee on Justice, Freedom and Security and the Expert Report on Rule of Law issues in Bosnia and Herzegovina that systematic measures are needed to resolve a large number of pending enforcement cases.  </w:t>
      </w:r>
    </w:p>
    <w:p w14:paraId="49514776" w14:textId="77777777" w:rsidR="003E7651" w:rsidRPr="00ED047F" w:rsidRDefault="003E7651" w:rsidP="00BE3B39">
      <w:pPr>
        <w:pStyle w:val="Tekst"/>
      </w:pPr>
      <w:r>
        <w:t xml:space="preserve">In accordance with the conclusions of the Subcommittee, the Working Group for the Improvement of Enforcement Procedure and Revision of the Law on Enforcement Procedure in BiH was formed, whose members are representatives of the competent ministries of justice, judicial community and HJPC BiH. The members of the Working Group defined short-term and long-term objectives, which were partially met in the past period. The short-term objectives are reflected in the launch of an initiative aimed at amending the existing laws on enforcement procedure in BiH, while the long-term objectives were comprehensive reform of the enforcement procedure in BiH, i.e. introducing a new model of enforcement procedure in BiH. </w:t>
      </w:r>
    </w:p>
    <w:p w14:paraId="4E2F5DBF" w14:textId="77777777" w:rsidR="003E7651" w:rsidRPr="00ED047F" w:rsidRDefault="003E7651" w:rsidP="00BE3B39">
      <w:pPr>
        <w:pStyle w:val="Tekst"/>
      </w:pPr>
      <w:r>
        <w:t>Through the activities of the Working Group for the Improvement of Enforcement Procedure in BiH, amendments to the existing laws on enforcement procedure in BiH have been defined. The short-term objectives have been met thanks to the significant efforts of the members of the Working Group who are representatives of the judiciary and representatives of the HJPC BiH. The proposed amendments to the law will have a positive impact on the efficiency of judicial institutions, and significantly reduce the length of enforcement proceedings. A greater number of enforced judgements will significantly affect the perception of the public, as well as restoring their confidence in the work of judicial institutions.</w:t>
      </w:r>
    </w:p>
    <w:p w14:paraId="0A2C471A" w14:textId="77777777" w:rsidR="003E7651" w:rsidRPr="00ED047F" w:rsidRDefault="003E7651" w:rsidP="00BE3B39">
      <w:pPr>
        <w:pStyle w:val="Tekst"/>
      </w:pPr>
      <w:r w:rsidRPr="00744BAC">
        <w:t>In that respect, thanks</w:t>
      </w:r>
      <w:r>
        <w:t xml:space="preserve"> to the efforts of the Working Group, a legislative initiative was launched in the Federation of BiH and the Brčko District of BiH. Amendments have been adopted by the BD BiH Assembly, while the adoption of the amended FBiH Law is still pending. In 2021, the FBiH Ministry of Justice managed to initiate the legislative procedure for the adoption of amendments to the FBiH LEP. However, according to the representatives of the relevant ministry, after the first reading of the law in the parliamentary procedure, it was necessary to make additional amendments concerning the FBiH Ministry of Finance. Despite everything that was accomplished by the end of 2021, amendments to the law in the FBiH have not been adopted</w:t>
      </w:r>
      <w:r w:rsidRPr="00AB127A">
        <w:t xml:space="preserve"> </w:t>
      </w:r>
      <w:r>
        <w:t xml:space="preserve">yet. </w:t>
      </w:r>
    </w:p>
    <w:p w14:paraId="5FB05456" w14:textId="77777777" w:rsidR="003E7651" w:rsidRPr="00ED047F" w:rsidRDefault="003E7651" w:rsidP="00BE3B39">
      <w:pPr>
        <w:pStyle w:val="Tekst"/>
      </w:pPr>
      <w:r>
        <w:t>As for the amendments to the RS Law on Enforcement Procedure, members of the Working Group on behalf of the RS Ministry of Justice pointed out that amendments to the Law would not be adopted in the near future.</w:t>
      </w:r>
    </w:p>
    <w:p w14:paraId="0AA0414F" w14:textId="77777777" w:rsidR="003E7651" w:rsidRPr="00ED047F" w:rsidRDefault="003E7651" w:rsidP="00BE3B39">
      <w:pPr>
        <w:pStyle w:val="Tekst"/>
      </w:pPr>
      <w:r>
        <w:t>The second task, which refers to finding the optimal model of the reform of enforcement procedure in BiH, despite all the efforts of the representatives of the HJPC BiH and the Delegation of the EU has not been achieved. Despite all efforts to open a dialogue on the selection of an efficient and adequate model of enforcement procedure in BiH, an analysis of the model of introducing a system of private enforcement agents (with the advantages of this model), EU recommendations, analysis of enforcement models in EU and neighbouring countries, the min</w:t>
      </w:r>
      <w:r>
        <w:lastRenderedPageBreak/>
        <w:t>istries of justice did not take concrete actions in line with proposals given in relevant international reports, i.e. there was not enough interest in the dialogue regarding the introduction of a new model - professional enforcement agents.</w:t>
      </w:r>
    </w:p>
    <w:p w14:paraId="40F633EA" w14:textId="77777777" w:rsidR="003E7651" w:rsidRPr="00ED047F" w:rsidRDefault="003E7651" w:rsidP="00BE3B39">
      <w:pPr>
        <w:pStyle w:val="Tekst"/>
      </w:pPr>
      <w:r>
        <w:t>Given the views of the executive power in BiH, the question arose for the representatives of the HJPC BiH if there would be a point in continuing the participation and activities in the Working Group. In this context, the competent ministries of justice were invited, as well as the competent entity governments, in accordance with their responsibilities, to present a further position on the reform of the enforcement procedure and the direction of reform, and set out clear measures, contribution to be provided by ministries and activities aiming at final reforms of the enforcement process, which will ultimately yield results. After they submit their positions, the HJPC BiH will reconsider its continuation of activities in the Working Group.</w:t>
      </w:r>
    </w:p>
    <w:p w14:paraId="40326509" w14:textId="77777777" w:rsidR="003E7651" w:rsidRPr="00ED047F" w:rsidRDefault="003E7651" w:rsidP="00BE3B39">
      <w:pPr>
        <w:pStyle w:val="Tekst"/>
      </w:pPr>
      <w:r w:rsidRPr="00B6050F">
        <w:t>As no results have been achieved in the past period regarding the long-term reform of enforcement procedure,</w:t>
      </w:r>
      <w:r>
        <w:t xml:space="preserve"> the HJPC BiH continued its activities aimed at improving the work of enforcement departments of courts by establishing cooperation with the Swedish Enforcement Authority, which is the state enforcement agency in Sweden. The purpose of this cooperation is to apply the good practices of the Swedish Enforcement Authority in BiH, in accordance with the existing legislative framework.</w:t>
      </w:r>
    </w:p>
    <w:p w14:paraId="685AD99E" w14:textId="77777777" w:rsidR="003E7651" w:rsidRPr="00ED047F" w:rsidRDefault="003E7651" w:rsidP="00BE3B39">
      <w:pPr>
        <w:pStyle w:val="Tekst"/>
      </w:pPr>
      <w:r>
        <w:t xml:space="preserve">The HJPC BiH, in cooperation with partners, identified segments of enforcement procedure improvement of which can contribute to more efficient implementation of enforcement actions by court employees, and based on which a set of recommendations for courts was made. The set of recommendations for the improvement of enforcement procedure will be first implemented in five pilot courts, and then in all other courts in BiH. </w:t>
      </w:r>
    </w:p>
    <w:p w14:paraId="005B69F4" w14:textId="77777777" w:rsidR="003E7651" w:rsidRPr="00ED047F" w:rsidRDefault="003E7651" w:rsidP="00BE3B39">
      <w:pPr>
        <w:pStyle w:val="TREINASLOV"/>
      </w:pPr>
      <w:bookmarkStart w:id="64" w:name="_Toc97722061"/>
      <w:bookmarkStart w:id="65" w:name="_Toc101944223"/>
      <w:bookmarkStart w:id="66" w:name="_Toc112852429"/>
      <w:r>
        <w:t xml:space="preserve">Application of the SOKOP-Mal system for more efficient processing of utility </w:t>
      </w:r>
      <w:bookmarkEnd w:id="64"/>
      <w:bookmarkEnd w:id="65"/>
      <w:r>
        <w:t>cases</w:t>
      </w:r>
      <w:bookmarkEnd w:id="66"/>
    </w:p>
    <w:p w14:paraId="4DFC6A2A" w14:textId="77777777" w:rsidR="003E7651" w:rsidRPr="00ED047F" w:rsidRDefault="003E7651" w:rsidP="009E77AF">
      <w:pPr>
        <w:pStyle w:val="Tekst"/>
      </w:pPr>
      <w:r>
        <w:t xml:space="preserve">For a long time now, the so-called "utility cases” have taken the largest share of pending cases, which is why it was necessary to find the most effective ways to resolve this type of cases.  The use of the system for electronic filing and processing of small value cases - so-called "utility cases” (SOKOP Mal) was recognised as one of the ways. Thanks to the application of the system, the increasing trend of pending cases of this type was stopped and it enabled the efficient dealing with cases by judges and legal associates up to the enforcement phase. </w:t>
      </w:r>
    </w:p>
    <w:p w14:paraId="6781B3C2" w14:textId="77777777" w:rsidR="003E7651" w:rsidRPr="00ED047F" w:rsidRDefault="003E7651" w:rsidP="009E77AF">
      <w:pPr>
        <w:pStyle w:val="Tekst"/>
      </w:pPr>
      <w:r>
        <w:t xml:space="preserve">According to the decision of the HJPC BiH, the system is mandatory in all first instance courts in BiH and it is available to judgement creditors (public utility companies and "big" judgement creditors such as telecom operators, power companies, etc.) who send a letter to the HJPC BiH and express their interest in using the system and obtain a digital certificate. The system is used by </w:t>
      </w:r>
      <w:r>
        <w:rPr>
          <w:u w:val="single"/>
        </w:rPr>
        <w:t>46 courts</w:t>
      </w:r>
      <w:r>
        <w:t xml:space="preserve"> and </w:t>
      </w:r>
      <w:r>
        <w:rPr>
          <w:u w:val="single"/>
        </w:rPr>
        <w:t>30 judgement creditors.</w:t>
      </w:r>
      <w:r>
        <w:t xml:space="preserve"> </w:t>
      </w:r>
    </w:p>
    <w:p w14:paraId="75DA1448" w14:textId="77777777" w:rsidR="003E7651" w:rsidRPr="00ED047F" w:rsidRDefault="003E7651" w:rsidP="009E77AF">
      <w:pPr>
        <w:pStyle w:val="Tekst"/>
      </w:pPr>
      <w:r>
        <w:t xml:space="preserve">As the system proved to be effective, the goal was to further improve it by introducing new functionalities, primarily strengthening security and data protection systems, as well as improving its speed and application. With the support of the Government of the Kingdom of Norway, </w:t>
      </w:r>
      <w:r>
        <w:lastRenderedPageBreak/>
        <w:t xml:space="preserve">through the </w:t>
      </w:r>
      <w:r>
        <w:rPr>
          <w:i/>
          <w:iCs/>
        </w:rPr>
        <w:t xml:space="preserve">Improving Judicial Quality </w:t>
      </w:r>
      <w:r>
        <w:t>project, the development of the second generation of SOKOP-Mal system was funded, which is reflected in:</w:t>
      </w:r>
    </w:p>
    <w:p w14:paraId="4A490332" w14:textId="77777777" w:rsidR="003E7651" w:rsidRPr="00ED047F" w:rsidRDefault="003E7651" w:rsidP="009E77AF">
      <w:pPr>
        <w:pStyle w:val="Tackice"/>
      </w:pPr>
      <w:r>
        <w:t>Implementation of a new functionality of the system (the so-called Public Module) which implies that judgement debtor can access the court case through Internet using an access code. In this way, the debtors will be able to review the case and follow it;</w:t>
      </w:r>
    </w:p>
    <w:p w14:paraId="6E0C6483" w14:textId="77777777" w:rsidR="003E7651" w:rsidRPr="00ED047F" w:rsidRDefault="003E7651" w:rsidP="009E77AF">
      <w:pPr>
        <w:pStyle w:val="Tackice"/>
      </w:pPr>
      <w:r>
        <w:t>Launch of new SOKOP application servers, which will enable faster data processing;</w:t>
      </w:r>
    </w:p>
    <w:p w14:paraId="6C78DD23" w14:textId="77777777" w:rsidR="003E7651" w:rsidRPr="00ED047F" w:rsidRDefault="003E7651" w:rsidP="009E77AF">
      <w:pPr>
        <w:pStyle w:val="Tackice"/>
      </w:pPr>
      <w:r>
        <w:t xml:space="preserve">Testing of all system modules was performed in order to increase the security of system use. </w:t>
      </w:r>
    </w:p>
    <w:p w14:paraId="73C8891D" w14:textId="77777777" w:rsidR="003E7651" w:rsidRPr="00ED047F" w:rsidRDefault="003E7651" w:rsidP="009E77AF">
      <w:pPr>
        <w:pStyle w:val="Tackice"/>
      </w:pPr>
      <w:r>
        <w:t xml:space="preserve">Introduction of new IT technologies that will enable overcoming of existing system deficiencies, introduction of new functionalities, increased security and data protection, as well as the speed of the system and its applications. </w:t>
      </w:r>
    </w:p>
    <w:p w14:paraId="6F41120C" w14:textId="77777777" w:rsidR="003E7651" w:rsidRPr="00ED047F" w:rsidRDefault="003E7651" w:rsidP="009E77AF">
      <w:pPr>
        <w:pStyle w:val="Tackice"/>
      </w:pPr>
      <w:r>
        <w:t xml:space="preserve">Migration of data to new databases. </w:t>
      </w:r>
    </w:p>
    <w:p w14:paraId="2E5E4195" w14:textId="77777777" w:rsidR="003E7651" w:rsidRPr="00ED047F" w:rsidRDefault="003E7651" w:rsidP="003E7651">
      <w:pPr>
        <w:spacing w:before="120" w:after="120"/>
        <w:rPr>
          <w:rFonts w:ascii="Arial" w:hAnsi="Arial"/>
          <w:b/>
          <w:bCs/>
          <w:sz w:val="20"/>
          <w:szCs w:val="20"/>
        </w:rPr>
      </w:pPr>
    </w:p>
    <w:p w14:paraId="7106C845" w14:textId="253291E8" w:rsidR="003E7651" w:rsidRPr="00ED047F" w:rsidRDefault="009E77AF" w:rsidP="009E77AF">
      <w:pPr>
        <w:pStyle w:val="Caption"/>
        <w:rPr>
          <w:rFonts w:cs="Arial"/>
        </w:rPr>
      </w:pPr>
      <w:r>
        <w:t xml:space="preserve">Image </w:t>
      </w:r>
      <w:r w:rsidR="006D1459">
        <w:fldChar w:fldCharType="begin"/>
      </w:r>
      <w:r w:rsidR="006D1459">
        <w:instrText xml:space="preserve"> SEQ Image \* ARABIC </w:instrText>
      </w:r>
      <w:r w:rsidR="006D1459">
        <w:fldChar w:fldCharType="separate"/>
      </w:r>
      <w:r>
        <w:rPr>
          <w:noProof/>
        </w:rPr>
        <w:t>5</w:t>
      </w:r>
      <w:r w:rsidR="006D1459">
        <w:rPr>
          <w:noProof/>
        </w:rPr>
        <w:fldChar w:fldCharType="end"/>
      </w:r>
      <w:r>
        <w:t>: Case review screen for judges</w:t>
      </w:r>
    </w:p>
    <w:p w14:paraId="2C3DE26C" w14:textId="77777777" w:rsidR="003E7651" w:rsidRPr="00ED047F" w:rsidRDefault="003E7651" w:rsidP="003E7651">
      <w:pPr>
        <w:keepNext/>
        <w:jc w:val="center"/>
      </w:pPr>
      <w:r>
        <w:rPr>
          <w:rFonts w:ascii="Arial" w:hAnsi="Arial"/>
          <w:noProof/>
          <w:lang w:val="bs-Latn-BA" w:eastAsia="bs-Latn-BA"/>
        </w:rPr>
        <w:drawing>
          <wp:inline distT="0" distB="0" distL="0" distR="0" wp14:anchorId="5339EAAE" wp14:editId="6FED06CD">
            <wp:extent cx="4669291" cy="25336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OKOP MAL.jpg"/>
                    <pic:cNvPicPr/>
                  </pic:nvPicPr>
                  <pic:blipFill>
                    <a:blip r:embed="rId22">
                      <a:extLst>
                        <a:ext uri="{28A0092B-C50C-407E-A947-70E740481C1C}">
                          <a14:useLocalDpi xmlns:a14="http://schemas.microsoft.com/office/drawing/2010/main" val="0"/>
                        </a:ext>
                      </a:extLst>
                    </a:blip>
                    <a:stretch>
                      <a:fillRect/>
                    </a:stretch>
                  </pic:blipFill>
                  <pic:spPr>
                    <a:xfrm>
                      <a:off x="0" y="0"/>
                      <a:ext cx="4685884" cy="2542654"/>
                    </a:xfrm>
                    <a:prstGeom prst="rect">
                      <a:avLst/>
                    </a:prstGeom>
                  </pic:spPr>
                </pic:pic>
              </a:graphicData>
            </a:graphic>
          </wp:inline>
        </w:drawing>
      </w:r>
    </w:p>
    <w:p w14:paraId="5D241DAD" w14:textId="77777777" w:rsidR="003E7651" w:rsidRPr="00ED047F" w:rsidRDefault="003E7651" w:rsidP="003E7651">
      <w:pPr>
        <w:keepNext/>
        <w:ind w:left="720"/>
      </w:pPr>
    </w:p>
    <w:p w14:paraId="4D936AE3" w14:textId="77777777" w:rsidR="003E7651" w:rsidRPr="00ED047F" w:rsidRDefault="003E7651" w:rsidP="009E77AF">
      <w:pPr>
        <w:pStyle w:val="TREINASLOV"/>
      </w:pPr>
      <w:bookmarkStart w:id="67" w:name="_Toc97722062"/>
      <w:bookmarkStart w:id="68" w:name="_Toc101944224"/>
      <w:bookmarkStart w:id="69" w:name="_Toc112852430"/>
      <w:r>
        <w:t>Improving business processes in courts, through reorganisation of work and human resources in courts</w:t>
      </w:r>
      <w:bookmarkEnd w:id="67"/>
      <w:bookmarkEnd w:id="68"/>
      <w:bookmarkEnd w:id="69"/>
    </w:p>
    <w:p w14:paraId="2B7855AA" w14:textId="77777777" w:rsidR="003E7651" w:rsidRPr="00ED047F" w:rsidRDefault="003E7651" w:rsidP="009E77AF">
      <w:pPr>
        <w:pStyle w:val="Tekst"/>
      </w:pPr>
      <w:r>
        <w:t xml:space="preserve">The work was reorganised and a system of more efficient use of human resources was established in eighteen target courts from the entire territory of BiH, which resulted in a shorter duration of court proceedings. </w:t>
      </w:r>
    </w:p>
    <w:p w14:paraId="427B345F" w14:textId="77777777" w:rsidR="003E7651" w:rsidRPr="00ED047F" w:rsidRDefault="003E7651" w:rsidP="009E77AF">
      <w:pPr>
        <w:pStyle w:val="Tekst"/>
      </w:pPr>
      <w:r>
        <w:lastRenderedPageBreak/>
        <w:t xml:space="preserve">The changes are the result of joint work and cooperation between the HJPC BiH and the Swedish National Courts Administration under the project </w:t>
      </w:r>
      <w:r>
        <w:rPr>
          <w:i/>
          <w:iCs/>
        </w:rPr>
        <w:t>Improving Court Efficiency and Accountability of Judges and Prosecutors in BiH</w:t>
      </w:r>
      <w:r>
        <w:t xml:space="preserve"> (ICEA).</w:t>
      </w:r>
    </w:p>
    <w:p w14:paraId="0B9503A5" w14:textId="77777777" w:rsidR="003E7651" w:rsidRPr="00ED047F" w:rsidRDefault="003E7651" w:rsidP="009E77AF">
      <w:pPr>
        <w:pStyle w:val="Tekst"/>
      </w:pPr>
      <w:r>
        <w:t>This cooperation is based on the exchange of experiences, knowledge and application of good practice between the courts from Sweden and BiH. The main goal is to create working conditions that will relieve judges of administrative and technical tasks, which take up a significant part of their time, by assigning them to administrative staff and trainees while ensuring uniform administrative and technical procedures, and through the adoption of relevant procedural rules and tools.</w:t>
      </w:r>
    </w:p>
    <w:p w14:paraId="6EB99054" w14:textId="77777777" w:rsidR="003E7651" w:rsidRPr="00ED047F" w:rsidRDefault="003E7651" w:rsidP="009E77AF">
      <w:pPr>
        <w:pStyle w:val="Tekst"/>
      </w:pPr>
      <w:r>
        <w:t xml:space="preserve">That this is an important process is also shown by the great interest of the courts in the implementation of this activity. </w:t>
      </w:r>
    </w:p>
    <w:p w14:paraId="5FE2D9FA" w14:textId="77777777" w:rsidR="003E7651" w:rsidRPr="00ED047F" w:rsidRDefault="003E7651" w:rsidP="009E77AF">
      <w:pPr>
        <w:pStyle w:val="Tekst"/>
      </w:pPr>
      <w:r>
        <w:t>The results achieved in 2021 showed that a different organisation of work enables more efficient and better use of non-judicial staff resources, including trainees, which is directly reflected in more efficient work of the judiciary and cost reduction.</w:t>
      </w:r>
    </w:p>
    <w:p w14:paraId="1CD14894" w14:textId="77777777" w:rsidR="003E7651" w:rsidRPr="00ED047F" w:rsidRDefault="003E7651" w:rsidP="009E77AF">
      <w:pPr>
        <w:pStyle w:val="Tekst"/>
      </w:pPr>
      <w:r>
        <w:t xml:space="preserve">By applying the innovated model of work in all courts, positive results were achieved in terms of organisation and development, depending on the stage of introduction of a new model of work. Changes in work include development of new, more modern tools for work, the application of which contributes to the rationalisation of the court work process, and the improvement of knowledge and competence of court staff. New tools include the application of a list of delegated tasks, a uniform list of actions and tasks, the so-called checklists, as well as a training plan for judicial trainees / volunteers. </w:t>
      </w:r>
    </w:p>
    <w:p w14:paraId="23DA19CD" w14:textId="77777777" w:rsidR="003E7651" w:rsidRPr="00ED047F" w:rsidRDefault="003E7651" w:rsidP="009E77AF">
      <w:pPr>
        <w:pStyle w:val="Tekst"/>
      </w:pPr>
      <w:r>
        <w:t>Undertaking innovative organisational activities has also contributed to better management and use of human resources, along with cost rationalization. Using new tools, the court presidents organised the work processes through teamwork, using the full capacity of the expertise of each team member. At the same time, the usefulness of new ways of working is reflected in the creation of competent non-judicial staff, with clearly defined roles and status, which significantly increases the qualitative and quantitative performance of non-judicial staff.</w:t>
      </w:r>
    </w:p>
    <w:p w14:paraId="011CA49E" w14:textId="77777777" w:rsidR="003E7651" w:rsidRPr="00ED047F" w:rsidRDefault="003E7651" w:rsidP="009E77AF">
      <w:pPr>
        <w:pStyle w:val="Tekst"/>
      </w:pPr>
      <w:r>
        <w:t>In order to complete the process of reorganisation of work, at the same time we worked on improving the material and technical conditions for the court operations by providing a number of computers intended for trainees / volunteers, given that they are more active in performing their tasks.</w:t>
      </w:r>
    </w:p>
    <w:p w14:paraId="42E3FE64" w14:textId="77777777" w:rsidR="003E7651" w:rsidRPr="00ED047F" w:rsidRDefault="003E7651" w:rsidP="009E77AF">
      <w:pPr>
        <w:pStyle w:val="Tekst"/>
      </w:pPr>
      <w:r>
        <w:t>In order to ensure the provision of continuous support to the courts regarding the implementation of the activity in question during 2021, a series of visits to the target courts were held, as well as an on-line meeting via the Webex platform. Continuous communication with the courts is a kind of control mechanism that seeks to maintain the quality of the results achieved as well as to eliminate certain dilemmas that the courts had during the application of new methods of work.</w:t>
      </w:r>
    </w:p>
    <w:p w14:paraId="3FA316A0" w14:textId="77777777" w:rsidR="003E7651" w:rsidRPr="00ED047F" w:rsidRDefault="003E7651" w:rsidP="009E77AF">
      <w:pPr>
        <w:pStyle w:val="Tekst"/>
      </w:pPr>
      <w:r>
        <w:t>With the aim of implementing the above legislative activities, the HJPC BiH, through the activities of the Working Group, established cooperation with the relevant ministries of justice.</w:t>
      </w:r>
    </w:p>
    <w:p w14:paraId="6EA7C453" w14:textId="77777777" w:rsidR="003E7651" w:rsidRPr="00ED047F" w:rsidRDefault="003E7651" w:rsidP="009E77AF">
      <w:pPr>
        <w:pStyle w:val="Tekst"/>
      </w:pPr>
      <w:r>
        <w:lastRenderedPageBreak/>
        <w:t xml:space="preserve">The work modality of the Working Group, formed by the HJPC BiH in 2021, through meetings and individual work of its members resulted in the adoption of working documents, which are a kind of guide for their own assessment of the fulfilment of commitments. Through the analysis of systematisation of both judicial and non-judicial staff positions and of current job descriptions for non-judicial staff and trainees/volunteers, the Working Group has identified legislative shortcomings and the need for a new category of staff. It implies a person with the status of a law graduate and at least one year of work experience. This person will provide professional assistance to the judge. In the forthcoming period, the Working Group will define the qualifications for the new position, and propose its introduction into the relevant bylaws, which will achieve the full effect of the new work model. </w:t>
      </w:r>
    </w:p>
    <w:p w14:paraId="352399F1" w14:textId="77777777" w:rsidR="003E7651" w:rsidRPr="00ED047F" w:rsidRDefault="003E7651" w:rsidP="009E77AF">
      <w:pPr>
        <w:pStyle w:val="TREINASLOV"/>
      </w:pPr>
      <w:bookmarkStart w:id="70" w:name="_Toc97722063"/>
      <w:bookmarkStart w:id="71" w:name="_Toc101944225"/>
      <w:bookmarkStart w:id="72" w:name="_Toc112852431"/>
      <w:r>
        <w:t>Improving the efficiency of bankruptcy proceedings</w:t>
      </w:r>
      <w:bookmarkEnd w:id="70"/>
      <w:bookmarkEnd w:id="71"/>
      <w:bookmarkEnd w:id="72"/>
    </w:p>
    <w:p w14:paraId="31D57AB5" w14:textId="77777777" w:rsidR="003E7651" w:rsidRPr="00ED047F" w:rsidRDefault="003E7651" w:rsidP="009E77AF">
      <w:pPr>
        <w:pStyle w:val="Tekst"/>
      </w:pPr>
      <w:r>
        <w:t xml:space="preserve">HJPC BiH, within the project </w:t>
      </w:r>
      <w:r>
        <w:rPr>
          <w:i/>
          <w:iCs/>
        </w:rPr>
        <w:t>Building an Effective and Citizen-friendly Judiciary</w:t>
      </w:r>
      <w:r>
        <w:t xml:space="preserve"> (IPA - </w:t>
      </w:r>
      <w:r>
        <w:rPr>
          <w:color w:val="202124"/>
          <w:szCs w:val="36"/>
          <w:shd w:val="clear" w:color="auto" w:fill="FFFFFF"/>
        </w:rPr>
        <w:t>Instrument for Pre-Accession Assistance)</w:t>
      </w:r>
      <w:r>
        <w:t>, has undertaken a number of activities to strengthen the capacity of bankruptcy judges to more effectively conduct bankruptcy proceedings, especially in terms of understanding its economic aspects.</w:t>
      </w:r>
    </w:p>
    <w:p w14:paraId="65D14885" w14:textId="77777777" w:rsidR="003E7651" w:rsidRPr="00ED047F" w:rsidRDefault="003E7651" w:rsidP="009E77AF">
      <w:pPr>
        <w:pStyle w:val="Tekst"/>
      </w:pPr>
      <w:r>
        <w:t>The length of bankruptcy proceedings has a particularly negative impact not only on persons directly affiliated to bankruptcy debtors, but also on the wider business and social community. The problem of inefficiency in resolving bankruptcy proceedings has its roots both in certain legislative solutions and in bad practices which, as a rule, are not sanctioned, but concern the lack of timeliness regarding the opening of bankruptcy against insolvent bankruptcy debtors. However, part of the problem of inefficiency is related to the issue of conducting and managing bankruptcy proceedings by the competent court, while a special problem is the inadequate capacity of bankruptcy judges in terms of understanding the economic aspects of bankruptcy proceedings.</w:t>
      </w:r>
    </w:p>
    <w:p w14:paraId="28D7FD32" w14:textId="77777777" w:rsidR="003E7651" w:rsidRPr="00ED047F" w:rsidRDefault="003E7651" w:rsidP="009E77AF">
      <w:pPr>
        <w:pStyle w:val="Tekst"/>
      </w:pPr>
      <w:r>
        <w:t>Therefore, through the engagement of financial advisers with relevant experience in this field, based on the analysis of a representative sample of archived bankruptcy cases, a Module for training of bankruptcy judges was developed, which included economic topics relevant to bankruptcy judges to better understand this aspect of bankruptcy proceedings, which is crucial for greater control and better management of bankruptcy proceedings.</w:t>
      </w:r>
    </w:p>
    <w:p w14:paraId="011929B4" w14:textId="77777777" w:rsidR="003E7651" w:rsidRPr="00ED047F" w:rsidRDefault="003E7651" w:rsidP="009E77AF">
      <w:pPr>
        <w:pStyle w:val="Tekst"/>
      </w:pPr>
      <w:r>
        <w:t xml:space="preserve">Based on this Training Module, the HJPC BiH, in cooperation with the Entity judicial and prosecutorial training centres, conducted training for trainers on this specific topic. During 2021, as continuation of this activity, the HJPC BiH, in cooperation with the Entity judicial and prosecutorial training centres, organised special trainings for bankruptcy judges in Sarajevo and Trebinje, where economic topics relevant to bankruptcy proceedings were presented, starting with financial reports and their analysis, through inventory and assessment, to the audit of the bankruptcy proceedings. </w:t>
      </w:r>
    </w:p>
    <w:p w14:paraId="3D619D42" w14:textId="07522A49" w:rsidR="003E7651" w:rsidRPr="00ED047F" w:rsidRDefault="009E77AF" w:rsidP="009E77AF">
      <w:pPr>
        <w:pStyle w:val="Caption"/>
        <w:rPr>
          <w:rFonts w:cs="Arial"/>
          <w:i/>
        </w:rPr>
      </w:pPr>
      <w:r>
        <w:t xml:space="preserve">Image </w:t>
      </w:r>
      <w:r w:rsidR="006D1459">
        <w:fldChar w:fldCharType="begin"/>
      </w:r>
      <w:r w:rsidR="006D1459">
        <w:instrText xml:space="preserve"> SEQ Image \* ARABIC </w:instrText>
      </w:r>
      <w:r w:rsidR="006D1459">
        <w:fldChar w:fldCharType="separate"/>
      </w:r>
      <w:r>
        <w:rPr>
          <w:noProof/>
        </w:rPr>
        <w:t>6</w:t>
      </w:r>
      <w:r w:rsidR="006D1459">
        <w:rPr>
          <w:noProof/>
        </w:rPr>
        <w:fldChar w:fldCharType="end"/>
      </w:r>
      <w:r>
        <w:t xml:space="preserve">: </w:t>
      </w:r>
      <w:r w:rsidRPr="00D21D4C">
        <w:t>Training of bankruptcy judges on the topic of important economic aspects of bankruptcy proceedings</w:t>
      </w:r>
    </w:p>
    <w:p w14:paraId="64DAAFA9" w14:textId="77777777" w:rsidR="003E7651" w:rsidRPr="00ED047F" w:rsidRDefault="003E7651" w:rsidP="003E7651">
      <w:pPr>
        <w:spacing w:before="80" w:after="60"/>
        <w:contextualSpacing/>
        <w:jc w:val="both"/>
        <w:rPr>
          <w:rFonts w:ascii="Arial" w:hAnsi="Arial" w:cs="Arial"/>
          <w:i/>
        </w:rPr>
      </w:pPr>
      <w:r>
        <w:rPr>
          <w:rFonts w:ascii="Arial" w:hAnsi="Arial"/>
          <w:i/>
          <w:noProof/>
          <w:lang w:val="bs-Latn-BA" w:eastAsia="bs-Latn-BA"/>
        </w:rPr>
        <w:lastRenderedPageBreak/>
        <w:drawing>
          <wp:inline distT="0" distB="0" distL="0" distR="0" wp14:anchorId="732ACE65" wp14:editId="4C3CF67F">
            <wp:extent cx="2486025" cy="192598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uka_Stečaj_Trebinje.jpg"/>
                    <pic:cNvPicPr/>
                  </pic:nvPicPr>
                  <pic:blipFill rotWithShape="1">
                    <a:blip r:embed="rId23" cstate="print">
                      <a:extLst>
                        <a:ext uri="{28A0092B-C50C-407E-A947-70E740481C1C}">
                          <a14:useLocalDpi xmlns:a14="http://schemas.microsoft.com/office/drawing/2010/main" val="0"/>
                        </a:ext>
                      </a:extLst>
                    </a:blip>
                    <a:srcRect t="14983"/>
                    <a:stretch/>
                  </pic:blipFill>
                  <pic:spPr bwMode="auto">
                    <a:xfrm>
                      <a:off x="0" y="0"/>
                      <a:ext cx="2502316" cy="193860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i/>
        </w:rPr>
        <w:t xml:space="preserve">        </w:t>
      </w:r>
      <w:r>
        <w:rPr>
          <w:noProof/>
          <w:lang w:val="bs-Latn-BA" w:eastAsia="bs-Latn-BA"/>
        </w:rPr>
        <w:drawing>
          <wp:inline distT="0" distB="0" distL="0" distR="0" wp14:anchorId="59C93F13" wp14:editId="1885AD0C">
            <wp:extent cx="2565077" cy="192600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uka_Stečaj_Sarajevo.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5077" cy="1926000"/>
                    </a:xfrm>
                    <a:prstGeom prst="rect">
                      <a:avLst/>
                    </a:prstGeom>
                  </pic:spPr>
                </pic:pic>
              </a:graphicData>
            </a:graphic>
          </wp:inline>
        </w:drawing>
      </w:r>
    </w:p>
    <w:p w14:paraId="3491E506" w14:textId="77777777" w:rsidR="003E7651" w:rsidRPr="00ED047F" w:rsidRDefault="003E7651" w:rsidP="003E7651">
      <w:pPr>
        <w:spacing w:before="80" w:after="60"/>
        <w:contextualSpacing/>
        <w:jc w:val="both"/>
        <w:rPr>
          <w:rFonts w:ascii="Arial" w:hAnsi="Arial" w:cs="Arial"/>
          <w:b/>
          <w:i/>
        </w:rPr>
      </w:pPr>
    </w:p>
    <w:p w14:paraId="5C0BEFF8" w14:textId="77777777" w:rsidR="003E7651" w:rsidRPr="00ED047F" w:rsidRDefault="003E7651" w:rsidP="009E77AF">
      <w:pPr>
        <w:pStyle w:val="TREINASLOV"/>
      </w:pPr>
      <w:bookmarkStart w:id="73" w:name="_Toc97722064"/>
      <w:bookmarkStart w:id="74" w:name="_Toc101944226"/>
      <w:bookmarkStart w:id="75" w:name="_Toc112852432"/>
      <w:r>
        <w:t>Draft Strategy for Alternative Dispute Resolution developed - faster and more economic dispute resolution</w:t>
      </w:r>
      <w:bookmarkEnd w:id="73"/>
      <w:bookmarkEnd w:id="74"/>
      <w:bookmarkEnd w:id="75"/>
    </w:p>
    <w:p w14:paraId="5101E04C" w14:textId="77777777" w:rsidR="003E7651" w:rsidRPr="00ED047F" w:rsidRDefault="003E7651" w:rsidP="009E77AF">
      <w:pPr>
        <w:pStyle w:val="Tekst"/>
      </w:pPr>
      <w:r>
        <w:t xml:space="preserve">Although alternative dispute resolution has great potential for faster, more economic and often cheaper procedures, the essential alternative to court adjudicating in Bosnia and Herzegovina has not yet taken root to a significant extent. Citizens and businesses still rarely decide to entrust the resolution of their dispute to other entities. </w:t>
      </w:r>
    </w:p>
    <w:p w14:paraId="5006B054" w14:textId="77777777" w:rsidR="003E7651" w:rsidRPr="00ED047F" w:rsidRDefault="003E7651" w:rsidP="009E77AF">
      <w:pPr>
        <w:pStyle w:val="Tekst"/>
      </w:pPr>
      <w:r>
        <w:t xml:space="preserve">Since substantial changes in this segment require synchronized and comprehensive action, the HJPC BiH, within the IPA 2017 Project, launched an initiative to develop a strategic framework for the development of alternative dispute resolution and formed the Working Group which, in addition to HJPC representatives, consists of representatives of line ministries of justice at the Entity and BiH level, the Judicial Commission of the Brcko District of BiH, the Foreign Trade Chamber of BiH, the Association of Mediators in BiH, the Ombudsman Institution for Consumer Protection, the Association </w:t>
      </w:r>
      <w:r w:rsidRPr="00D97D47">
        <w:rPr>
          <w:i/>
        </w:rPr>
        <w:t>Arbitri</w:t>
      </w:r>
      <w:r>
        <w:t xml:space="preserve"> from Sarajevo and representatives of the judiciary. Through the work on defining the strategic framework in this segment, a draft Strategy for Alternative Dispute Resolution was developed, which included the segments of court settlement, mediation, arbitration and amicable settlement of consumer disputes. </w:t>
      </w:r>
    </w:p>
    <w:p w14:paraId="2BA775DC" w14:textId="77777777" w:rsidR="003E7651" w:rsidRPr="00ED047F" w:rsidRDefault="003E7651" w:rsidP="009E77AF">
      <w:pPr>
        <w:pStyle w:val="Tekst"/>
      </w:pPr>
      <w:r>
        <w:t xml:space="preserve">Unfortunately, due to the political blockade of the BiH institutions, there was no engagement of representatives of the RS Ministry of Justice in the past year, and therefore it was not possible to consider the adoption of the draft Strategy. </w:t>
      </w:r>
    </w:p>
    <w:p w14:paraId="52614F9D" w14:textId="77777777" w:rsidR="003E7651" w:rsidRPr="00ED047F" w:rsidRDefault="003E7651" w:rsidP="009E77AF">
      <w:pPr>
        <w:pStyle w:val="Tekst"/>
      </w:pPr>
      <w:r>
        <w:t xml:space="preserve">In addition to working on the strategic improvement of this segment, presenting to the citizens and the business community the benefits of amicable and alternative dispute resolution in relation to judicial decision-making in regular proceedings, was one of the goals of the HJPC BiH in 2021. </w:t>
      </w:r>
    </w:p>
    <w:p w14:paraId="7A3819F1" w14:textId="77777777" w:rsidR="003E7651" w:rsidRPr="00ED047F" w:rsidRDefault="003E7651" w:rsidP="009E77AF">
      <w:pPr>
        <w:pStyle w:val="Tekst"/>
      </w:pPr>
      <w:r>
        <w:lastRenderedPageBreak/>
        <w:t xml:space="preserve">The HJPC BiH organises Weekly Court Settlements in all first and second instance courts, during which the courts make particular efforts to resolve as many disputes as possible amicably, i.e. by concluding a court settlement. </w:t>
      </w:r>
    </w:p>
    <w:p w14:paraId="55481F92" w14:textId="77777777" w:rsidR="003E7651" w:rsidRPr="00ED047F" w:rsidRDefault="003E7651" w:rsidP="009E77AF">
      <w:pPr>
        <w:pStyle w:val="Tekst"/>
      </w:pPr>
      <w:r>
        <w:t>During 2021, weeks of court settlements were organised on two occasions, and the HJPC BiH, among other things, provided promotional material for the courts and organised open days for the media in three courts in BiH, which informed the general public about this event and the concept of judicial settlement.</w:t>
      </w:r>
    </w:p>
    <w:p w14:paraId="7594DF44" w14:textId="4CC9FCA3" w:rsidR="003E7651" w:rsidRPr="00ED047F" w:rsidRDefault="00BE3B39" w:rsidP="00A16CD8">
      <w:pPr>
        <w:pStyle w:val="Caption"/>
        <w:rPr>
          <w:rFonts w:cs="Arial"/>
          <w:i/>
        </w:rPr>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7</w:t>
      </w:r>
      <w:r w:rsidR="006D1459">
        <w:rPr>
          <w:noProof/>
        </w:rPr>
        <w:fldChar w:fldCharType="end"/>
      </w:r>
      <w:r w:rsidR="003E7651">
        <w:t xml:space="preserve">: </w:t>
      </w:r>
      <w:r w:rsidR="003E7651" w:rsidRPr="00D21D4C">
        <w:t>Excerpts from media content on the topic of the Open Day for the promotion of the Court Settlement Week</w:t>
      </w:r>
    </w:p>
    <w:p w14:paraId="6B46375A" w14:textId="77777777" w:rsidR="003E7651" w:rsidRPr="00ED047F" w:rsidRDefault="003E7651" w:rsidP="003E7651">
      <w:pPr>
        <w:spacing w:before="80" w:after="60"/>
        <w:contextualSpacing/>
        <w:jc w:val="both"/>
        <w:rPr>
          <w:rFonts w:ascii="Arial" w:hAnsi="Arial" w:cs="Arial"/>
          <w:i/>
        </w:rPr>
      </w:pPr>
      <w:r>
        <w:rPr>
          <w:rFonts w:ascii="Arial" w:hAnsi="Arial"/>
          <w:i/>
          <w:noProof/>
          <w:lang w:val="bs-Latn-BA" w:eastAsia="bs-Latn-BA"/>
        </w:rPr>
        <w:drawing>
          <wp:inline distT="0" distB="0" distL="0" distR="0" wp14:anchorId="5B4C6379" wp14:editId="1C91090D">
            <wp:extent cx="2511313" cy="3952875"/>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n otvorenih vrata Bijeljina.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11313" cy="3952875"/>
                    </a:xfrm>
                    <a:prstGeom prst="rect">
                      <a:avLst/>
                    </a:prstGeom>
                  </pic:spPr>
                </pic:pic>
              </a:graphicData>
            </a:graphic>
          </wp:inline>
        </w:drawing>
      </w:r>
      <w:r>
        <w:rPr>
          <w:rFonts w:ascii="Arial" w:hAnsi="Arial"/>
          <w:i/>
        </w:rPr>
        <w:t xml:space="preserve">             </w:t>
      </w:r>
      <w:r>
        <w:rPr>
          <w:noProof/>
          <w:lang w:val="bs-Latn-BA" w:eastAsia="bs-Latn-BA"/>
        </w:rPr>
        <w:drawing>
          <wp:inline distT="0" distB="0" distL="0" distR="0" wp14:anchorId="03150760" wp14:editId="58C8A492">
            <wp:extent cx="2305050" cy="386740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n otvorenih vrata Brčko.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15669" cy="3885226"/>
                    </a:xfrm>
                    <a:prstGeom prst="rect">
                      <a:avLst/>
                    </a:prstGeom>
                  </pic:spPr>
                </pic:pic>
              </a:graphicData>
            </a:graphic>
          </wp:inline>
        </w:drawing>
      </w:r>
    </w:p>
    <w:p w14:paraId="7FC65713" w14:textId="77777777" w:rsidR="003E7651" w:rsidRPr="00ED047F" w:rsidRDefault="003E7651" w:rsidP="003E7651">
      <w:pPr>
        <w:spacing w:before="80" w:after="60"/>
        <w:contextualSpacing/>
        <w:jc w:val="both"/>
        <w:rPr>
          <w:rFonts w:ascii="Arial" w:hAnsi="Arial" w:cs="Arial"/>
        </w:rPr>
      </w:pPr>
    </w:p>
    <w:p w14:paraId="77077CF1" w14:textId="77777777" w:rsidR="003E7651" w:rsidRPr="00ED047F" w:rsidRDefault="003E7651" w:rsidP="00A16CD8">
      <w:pPr>
        <w:pStyle w:val="Tekst"/>
      </w:pPr>
      <w:r>
        <w:t>In addition to these activities, the HJPC BiH implemented an information campaign on the benefits of mediation and court settlement, within which video and radio jingles were broadcasted and information posted on social networks.</w:t>
      </w:r>
    </w:p>
    <w:p w14:paraId="7551324B" w14:textId="13FFDC21" w:rsidR="003E7651" w:rsidRPr="00ED047F" w:rsidRDefault="00BE3B39" w:rsidP="00A16CD8">
      <w:pPr>
        <w:pStyle w:val="Caption"/>
        <w:rPr>
          <w:rFonts w:cs="Arial"/>
          <w:i/>
        </w:rPr>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8</w:t>
      </w:r>
      <w:r w:rsidR="006D1459">
        <w:rPr>
          <w:noProof/>
        </w:rPr>
        <w:fldChar w:fldCharType="end"/>
      </w:r>
      <w:r w:rsidR="003E7651">
        <w:t>: P</w:t>
      </w:r>
      <w:r w:rsidR="003E7651" w:rsidRPr="00D21D4C">
        <w:t>romotional animated film on large commercial displays</w:t>
      </w:r>
      <w:r w:rsidR="003E7651">
        <w:rPr>
          <w:i/>
        </w:rPr>
        <w:t xml:space="preserve"> </w:t>
      </w:r>
    </w:p>
    <w:p w14:paraId="4703541E" w14:textId="77777777" w:rsidR="003E7651" w:rsidRPr="00ED047F" w:rsidRDefault="003E7651" w:rsidP="003E7651">
      <w:pPr>
        <w:spacing w:before="80" w:after="60"/>
        <w:contextualSpacing/>
        <w:jc w:val="both"/>
        <w:rPr>
          <w:rFonts w:ascii="Arial" w:hAnsi="Arial" w:cs="Arial"/>
        </w:rPr>
      </w:pPr>
      <w:r>
        <w:rPr>
          <w:rFonts w:ascii="Arial" w:hAnsi="Arial"/>
          <w:noProof/>
          <w:lang w:val="bs-Latn-BA" w:eastAsia="bs-Latn-BA"/>
        </w:rPr>
        <w:lastRenderedPageBreak/>
        <w:drawing>
          <wp:inline distT="0" distB="0" distL="0" distR="0" wp14:anchorId="245E65CF" wp14:editId="54748ED7">
            <wp:extent cx="2725558" cy="1728000"/>
            <wp:effectExtent l="0" t="0" r="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splej_ferhadija.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25558" cy="1728000"/>
                    </a:xfrm>
                    <a:prstGeom prst="rect">
                      <a:avLst/>
                    </a:prstGeom>
                  </pic:spPr>
                </pic:pic>
              </a:graphicData>
            </a:graphic>
          </wp:inline>
        </w:drawing>
      </w:r>
      <w:r>
        <w:rPr>
          <w:rFonts w:ascii="Arial" w:hAnsi="Arial"/>
        </w:rPr>
        <w:t xml:space="preserve">  </w:t>
      </w:r>
      <w:r>
        <w:rPr>
          <w:noProof/>
          <w:lang w:val="bs-Latn-BA" w:eastAsia="bs-Latn-BA"/>
        </w:rPr>
        <w:drawing>
          <wp:inline distT="0" distB="0" distL="0" distR="0" wp14:anchorId="1698A360" wp14:editId="78C06879">
            <wp:extent cx="2888813" cy="1728000"/>
            <wp:effectExtent l="0" t="0" r="6985" b="57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plej_SCC.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88813" cy="1728000"/>
                    </a:xfrm>
                    <a:prstGeom prst="rect">
                      <a:avLst/>
                    </a:prstGeom>
                  </pic:spPr>
                </pic:pic>
              </a:graphicData>
            </a:graphic>
          </wp:inline>
        </w:drawing>
      </w:r>
    </w:p>
    <w:p w14:paraId="65BED9E3" w14:textId="77777777" w:rsidR="003E7651" w:rsidRPr="00ED047F" w:rsidRDefault="003E7651" w:rsidP="003E7651">
      <w:pPr>
        <w:spacing w:before="80" w:after="60"/>
        <w:contextualSpacing/>
        <w:jc w:val="both"/>
        <w:rPr>
          <w:rFonts w:ascii="Arial" w:hAnsi="Arial" w:cs="Arial"/>
        </w:rPr>
      </w:pPr>
    </w:p>
    <w:p w14:paraId="65B9D53F" w14:textId="77777777" w:rsidR="003E7651" w:rsidRPr="00ED047F" w:rsidRDefault="003E7651" w:rsidP="00A16CD8">
      <w:pPr>
        <w:pStyle w:val="Tekst"/>
      </w:pPr>
      <w:r>
        <w:t xml:space="preserve">Special emphasis has been placed on the business community in popularizing alternative dispute resolution, including mediation, court settlement and arbitration, as faster and cheaper dispute resolution methods are becoming increasingly important. </w:t>
      </w:r>
    </w:p>
    <w:p w14:paraId="2536AE6D" w14:textId="77777777" w:rsidR="003E7651" w:rsidRPr="00ED047F" w:rsidRDefault="003E7651" w:rsidP="00A16CD8">
      <w:pPr>
        <w:pStyle w:val="Tekst"/>
      </w:pPr>
      <w:r>
        <w:t>In this regard, the HJPC BiH, in cooperation with the Foreign Trade Chamber of BiH, the Chamber of Commerce of Republika Srpska and the Chamber of Commerce of the Brcko District of BiH, organised four informative lectures for the business community, held in Sarajevo, Mostar, Banja Luka and Brcko District of BiH. At these workshops, economic operators had the opportunity to hear all the practical advantages of amicable and alternative ways of resolving disputes over dispute resolution in regular court proceedings, and received all the necessary information from lecturers in the field of court settlement, mediation and arbitration.</w:t>
      </w:r>
    </w:p>
    <w:p w14:paraId="3DCE4B96" w14:textId="2D9EB258" w:rsidR="003E7651" w:rsidRPr="00ED047F" w:rsidRDefault="003E7651" w:rsidP="003E7651">
      <w:pPr>
        <w:rPr>
          <w:rFonts w:ascii="Arial" w:hAnsi="Arial"/>
          <w:b/>
          <w:bCs/>
          <w:sz w:val="20"/>
          <w:szCs w:val="20"/>
        </w:rPr>
      </w:pPr>
    </w:p>
    <w:p w14:paraId="2E3697FA" w14:textId="45CF7480" w:rsidR="003E7651" w:rsidRPr="00ED047F" w:rsidRDefault="00BE3B39" w:rsidP="00A16CD8">
      <w:pPr>
        <w:pStyle w:val="Caption"/>
        <w:rPr>
          <w:rFonts w:cs="Arial"/>
          <w:i/>
        </w:rPr>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9</w:t>
      </w:r>
      <w:r w:rsidR="006D1459">
        <w:rPr>
          <w:noProof/>
        </w:rPr>
        <w:fldChar w:fldCharType="end"/>
      </w:r>
      <w:r w:rsidR="003E7651" w:rsidRPr="004F626E">
        <w:t>: Informative workshops on the benefits of alternative dispute resolution</w:t>
      </w:r>
      <w:r w:rsidR="003E7651">
        <w:rPr>
          <w:i/>
        </w:rPr>
        <w:t xml:space="preserve"> </w:t>
      </w:r>
    </w:p>
    <w:p w14:paraId="7F712D87" w14:textId="77777777" w:rsidR="003E7651" w:rsidRPr="00ED047F" w:rsidRDefault="003E7651" w:rsidP="003E7651">
      <w:pPr>
        <w:spacing w:before="80" w:after="60"/>
        <w:contextualSpacing/>
        <w:jc w:val="both"/>
        <w:rPr>
          <w:rFonts w:ascii="Arial" w:hAnsi="Arial" w:cs="Arial"/>
          <w:i/>
        </w:rPr>
      </w:pPr>
      <w:r>
        <w:rPr>
          <w:rFonts w:ascii="Arial" w:hAnsi="Arial"/>
          <w:i/>
          <w:noProof/>
          <w:lang w:val="bs-Latn-BA" w:eastAsia="bs-Latn-BA"/>
        </w:rPr>
        <w:drawing>
          <wp:inline distT="0" distB="0" distL="0" distR="0" wp14:anchorId="0874D88E" wp14:editId="05A476F6">
            <wp:extent cx="2611520" cy="1620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adionica ADR BL.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11520" cy="1620000"/>
                    </a:xfrm>
                    <a:prstGeom prst="rect">
                      <a:avLst/>
                    </a:prstGeom>
                  </pic:spPr>
                </pic:pic>
              </a:graphicData>
            </a:graphic>
          </wp:inline>
        </w:drawing>
      </w:r>
      <w:r>
        <w:rPr>
          <w:rFonts w:ascii="Arial" w:hAnsi="Arial"/>
          <w:i/>
        </w:rPr>
        <w:t xml:space="preserve">        </w:t>
      </w:r>
      <w:r>
        <w:rPr>
          <w:noProof/>
          <w:lang w:val="bs-Latn-BA" w:eastAsia="bs-Latn-BA"/>
        </w:rPr>
        <w:drawing>
          <wp:inline distT="0" distB="0" distL="0" distR="0" wp14:anchorId="117477C3" wp14:editId="3C2336C0">
            <wp:extent cx="2569301" cy="162000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adionica ADR MO.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69301" cy="1620000"/>
                    </a:xfrm>
                    <a:prstGeom prst="rect">
                      <a:avLst/>
                    </a:prstGeom>
                  </pic:spPr>
                </pic:pic>
              </a:graphicData>
            </a:graphic>
          </wp:inline>
        </w:drawing>
      </w:r>
    </w:p>
    <w:p w14:paraId="33ECA0D6" w14:textId="77777777" w:rsidR="003E7651" w:rsidRPr="00ED047F" w:rsidRDefault="003E7651" w:rsidP="003E7651">
      <w:pPr>
        <w:spacing w:before="80"/>
        <w:contextualSpacing/>
        <w:jc w:val="both"/>
        <w:rPr>
          <w:rFonts w:ascii="Arial" w:hAnsi="Arial" w:cs="Arial"/>
          <w:b/>
          <w:noProof/>
        </w:rPr>
      </w:pPr>
    </w:p>
    <w:p w14:paraId="17E2F0E9" w14:textId="77777777" w:rsidR="003E7651" w:rsidRPr="00ED047F" w:rsidRDefault="003E7651" w:rsidP="00A16CD8">
      <w:pPr>
        <w:pStyle w:val="TREINASLOV"/>
      </w:pPr>
      <w:bookmarkStart w:id="76" w:name="_Toc97722065"/>
      <w:bookmarkStart w:id="77" w:name="_Toc101944227"/>
      <w:bookmarkStart w:id="78" w:name="_Toc112852433"/>
      <w:r>
        <w:t>Improving efficiency and quality of civil procedure</w:t>
      </w:r>
      <w:bookmarkEnd w:id="76"/>
      <w:bookmarkEnd w:id="77"/>
      <w:bookmarkEnd w:id="78"/>
      <w:r>
        <w:t xml:space="preserve"> </w:t>
      </w:r>
    </w:p>
    <w:p w14:paraId="7840D2D6" w14:textId="77777777" w:rsidR="003E7651" w:rsidRPr="00ED047F" w:rsidRDefault="003E7651" w:rsidP="00A16CD8">
      <w:pPr>
        <w:pStyle w:val="etvrtinaslov0"/>
      </w:pPr>
      <w:bookmarkStart w:id="79" w:name="_Toc101944228"/>
      <w:bookmarkStart w:id="80" w:name="_Toc112852434"/>
      <w:r>
        <w:t>Introducing quality standards in target courts and strengthening the capacity of civil  / litigation departments</w:t>
      </w:r>
      <w:bookmarkEnd w:id="79"/>
      <w:bookmarkEnd w:id="80"/>
    </w:p>
    <w:p w14:paraId="69E564C9" w14:textId="77777777" w:rsidR="003E7651" w:rsidRPr="00ED047F" w:rsidRDefault="003E7651" w:rsidP="00A16CD8">
      <w:pPr>
        <w:pStyle w:val="Tekst"/>
      </w:pPr>
      <w:r>
        <w:lastRenderedPageBreak/>
        <w:t>In 2021, the capacities of seven courts have been improved for the efficient and quality implementation of civil proceedings, which primarily refers to the improvement of the procedural discipline of litigation management, organisation and teamwork of civil / litigation departments of target courts. The Municipal Court in Mostar and the Cantonal Court in Mostar, the courts in the West Herzegovina Canton, the Basic Court in Trebinje and the District Court in Trebinje have been selected as judicial institutions in which changes will be introduced, which will be a model for all other institutions in BiH.</w:t>
      </w:r>
    </w:p>
    <w:p w14:paraId="20585567" w14:textId="77777777" w:rsidR="003E7651" w:rsidRPr="00ED047F" w:rsidRDefault="003E7651" w:rsidP="00A16CD8">
      <w:pPr>
        <w:pStyle w:val="Tekst"/>
      </w:pPr>
      <w:r>
        <w:t>The introduction of a different approach in the work of civil / litigation departments began with the establishment of cooperation between civil judges from courts in BiH with judges from Norway and the Netherlands, partner countries with impressive experience in this field, and continued with the development of materials to improve current practices.</w:t>
      </w:r>
    </w:p>
    <w:p w14:paraId="77D116D9" w14:textId="77777777" w:rsidR="003E7651" w:rsidRPr="00ED047F" w:rsidRDefault="003E7651" w:rsidP="00A16CD8">
      <w:pPr>
        <w:pStyle w:val="Tekst"/>
      </w:pPr>
      <w:r>
        <w:t>Guidelines and recommendations have been developed, as well as check-lists for examining the lawsuit and responding to the lawsuit, as well as a form for preparing and conducting civil proceedings. These are tools that significantly affect the efficiency of court proceedings and better preparation of judges.</w:t>
      </w:r>
    </w:p>
    <w:p w14:paraId="2B667925" w14:textId="77777777" w:rsidR="003E7651" w:rsidRPr="00ED047F" w:rsidRDefault="003E7651" w:rsidP="00A16CD8">
      <w:pPr>
        <w:pStyle w:val="Tekst"/>
      </w:pPr>
      <w:r>
        <w:t xml:space="preserve">The courts that are part of the first phase of improving the efficiency of litigation have worked intensively on the harmonisation of proceedings and case law using professional dialogue mechanisms, established through memoranda of cooperation, signed under the project </w:t>
      </w:r>
      <w:r>
        <w:rPr>
          <w:i/>
          <w:iCs/>
        </w:rPr>
        <w:t>Improving Judicial Quality</w:t>
      </w:r>
      <w:r>
        <w:t>, through which activities for the improvement in this field are implemented.</w:t>
      </w:r>
    </w:p>
    <w:p w14:paraId="0C15A321" w14:textId="77777777" w:rsidR="00A16CD8" w:rsidRDefault="00A16CD8">
      <w:pPr>
        <w:rPr>
          <w:rFonts w:ascii="Arial" w:hAnsi="Arial"/>
          <w:b/>
          <w:bCs/>
          <w:sz w:val="20"/>
          <w:szCs w:val="20"/>
        </w:rPr>
      </w:pPr>
      <w:r>
        <w:br w:type="page"/>
      </w:r>
    </w:p>
    <w:p w14:paraId="15425317" w14:textId="05864BC6" w:rsidR="003E7651" w:rsidRPr="00ED047F" w:rsidRDefault="00BE3B39" w:rsidP="00A16CD8">
      <w:pPr>
        <w:pStyle w:val="Caption"/>
        <w:rPr>
          <w:rFonts w:cs="Arial"/>
        </w:rPr>
      </w:pPr>
      <w:r>
        <w:lastRenderedPageBreak/>
        <w:t>Image</w:t>
      </w:r>
      <w:r w:rsidR="00A16CD8">
        <w:t xml:space="preserve"> </w:t>
      </w:r>
      <w:r w:rsidR="006D1459">
        <w:fldChar w:fldCharType="begin"/>
      </w:r>
      <w:r w:rsidR="006D1459">
        <w:instrText xml:space="preserve"> SEQ Image \* ARABIC </w:instrText>
      </w:r>
      <w:r w:rsidR="006D1459">
        <w:fldChar w:fldCharType="separate"/>
      </w:r>
      <w:r w:rsidR="009E77AF">
        <w:rPr>
          <w:noProof/>
        </w:rPr>
        <w:t>10</w:t>
      </w:r>
      <w:r w:rsidR="006D1459">
        <w:rPr>
          <w:noProof/>
        </w:rPr>
        <w:fldChar w:fldCharType="end"/>
      </w:r>
      <w:r w:rsidR="003E7651">
        <w:t>: Visit of the IJQ Project Expert Team to the District Court and Basic Court in Trebinje (September, 2021)</w:t>
      </w:r>
    </w:p>
    <w:p w14:paraId="2C7A5A3F" w14:textId="77777777" w:rsidR="003E7651" w:rsidRPr="00ED047F" w:rsidRDefault="003E7651" w:rsidP="003E7651">
      <w:pPr>
        <w:spacing w:before="80"/>
        <w:contextualSpacing/>
        <w:jc w:val="center"/>
        <w:rPr>
          <w:rFonts w:ascii="Arial" w:hAnsi="Arial" w:cs="Arial"/>
        </w:rPr>
      </w:pPr>
      <w:r>
        <w:rPr>
          <w:rFonts w:ascii="Arial" w:hAnsi="Arial"/>
          <w:noProof/>
          <w:lang w:val="bs-Latn-BA" w:eastAsia="bs-Latn-BA"/>
        </w:rPr>
        <w:drawing>
          <wp:inline distT="0" distB="0" distL="0" distR="0" wp14:anchorId="2DF84575" wp14:editId="288D6DF3">
            <wp:extent cx="3352800" cy="2514600"/>
            <wp:effectExtent l="0" t="0" r="0" b="0"/>
            <wp:docPr id="24" name="Picture 24" descr="\\vstv-file\vstv$\Projekti\Projekt unapredjenja efikasnosti pravosudja\IJQ\AKTIVNOSTI\Foto za Amelu\1.1. Upravljanje sudom i  postupkom\Trebinj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file\vstv$\Projekti\Projekt unapredjenja efikasnosti pravosudja\IJQ\AKTIVNOSTI\Foto za Amelu\1.1. Upravljanje sudom i  postupkom\Trebinje 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61073" cy="2520805"/>
                    </a:xfrm>
                    <a:prstGeom prst="rect">
                      <a:avLst/>
                    </a:prstGeom>
                    <a:noFill/>
                    <a:ln>
                      <a:noFill/>
                    </a:ln>
                  </pic:spPr>
                </pic:pic>
              </a:graphicData>
            </a:graphic>
          </wp:inline>
        </w:drawing>
      </w:r>
    </w:p>
    <w:p w14:paraId="27693B7B" w14:textId="77777777" w:rsidR="00A16CD8" w:rsidRDefault="00A16CD8" w:rsidP="00A16CD8">
      <w:pPr>
        <w:pStyle w:val="Caption"/>
      </w:pPr>
    </w:p>
    <w:p w14:paraId="6CE4E1E6" w14:textId="2FC4AE8E" w:rsidR="003E7651" w:rsidRPr="00ED047F" w:rsidRDefault="00BE3B39" w:rsidP="00A16CD8">
      <w:pPr>
        <w:pStyle w:val="Caption"/>
        <w:rPr>
          <w:rFonts w:cs="Arial"/>
        </w:rPr>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11</w:t>
      </w:r>
      <w:r w:rsidR="006D1459">
        <w:rPr>
          <w:noProof/>
        </w:rPr>
        <w:fldChar w:fldCharType="end"/>
      </w:r>
      <w:r w:rsidR="003E7651">
        <w:t>: Visit of the IJQ Project Expert Team to the Municipal Court and Cantonal Court in Mostar</w:t>
      </w:r>
    </w:p>
    <w:p w14:paraId="23BB2B8B" w14:textId="77777777" w:rsidR="003E7651" w:rsidRPr="00ED047F" w:rsidRDefault="003E7651" w:rsidP="003E7651">
      <w:pPr>
        <w:spacing w:before="80"/>
        <w:jc w:val="center"/>
        <w:rPr>
          <w:rFonts w:ascii="Arial" w:hAnsi="Arial" w:cs="Arial"/>
        </w:rPr>
      </w:pPr>
      <w:r>
        <w:rPr>
          <w:rFonts w:ascii="Arial" w:hAnsi="Arial"/>
          <w:noProof/>
          <w:lang w:val="bs-Latn-BA" w:eastAsia="bs-Latn-BA"/>
        </w:rPr>
        <w:drawing>
          <wp:inline distT="0" distB="0" distL="0" distR="0" wp14:anchorId="54BFD1F3" wp14:editId="5DE64CD7">
            <wp:extent cx="3424863" cy="2686050"/>
            <wp:effectExtent l="0" t="0" r="4445" b="0"/>
            <wp:docPr id="25" name="Picture 25" descr="\\vstv-file\vstv$\Projekti\Projekt unapredjenja efikasnosti pravosudja\IJQ\AKTIVNOSTI\Foto za Amelu\1.1. Upravljanje sudom i  postupkom\Mos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tv-file\vstv$\Projekti\Projekt unapredjenja efikasnosti pravosudja\IJQ\AKTIVNOSTI\Foto za Amelu\1.1. Upravljanje sudom i  postupkom\Mostar.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7492" cy="2688112"/>
                    </a:xfrm>
                    <a:prstGeom prst="rect">
                      <a:avLst/>
                    </a:prstGeom>
                    <a:noFill/>
                    <a:ln>
                      <a:noFill/>
                    </a:ln>
                  </pic:spPr>
                </pic:pic>
              </a:graphicData>
            </a:graphic>
          </wp:inline>
        </w:drawing>
      </w:r>
    </w:p>
    <w:p w14:paraId="5E82380E" w14:textId="77777777" w:rsidR="003E7651" w:rsidRPr="00ED047F" w:rsidRDefault="003E7651" w:rsidP="003E7651">
      <w:pPr>
        <w:spacing w:before="80"/>
        <w:jc w:val="both"/>
        <w:rPr>
          <w:rFonts w:ascii="Arial" w:hAnsi="Arial" w:cs="Arial"/>
          <w:b/>
        </w:rPr>
      </w:pPr>
    </w:p>
    <w:p w14:paraId="44AD52A5" w14:textId="77777777" w:rsidR="003E7651" w:rsidRPr="00ED047F" w:rsidRDefault="003E7651" w:rsidP="00A16CD8">
      <w:pPr>
        <w:pStyle w:val="Tekst"/>
      </w:pPr>
      <w:r>
        <w:lastRenderedPageBreak/>
        <w:t>In order to present all the activities, results and experiences of the courts in the implementation of these activities, an updated edition of the publication "Blueprint - materials to improve the efficiency and quality of justice" was prepared. The publication contains a detailed description of all activities aimed at civil proceedings and management of civil departments, carried out in the period from 2015 to 2021, which will facilitate the application of positive practices in other courts.</w:t>
      </w:r>
    </w:p>
    <w:p w14:paraId="48484A73" w14:textId="77777777" w:rsidR="003E7651" w:rsidRPr="00ED047F" w:rsidRDefault="003E7651" w:rsidP="00A16CD8">
      <w:pPr>
        <w:pStyle w:val="TREINASLOV"/>
        <w:rPr>
          <w:noProof/>
        </w:rPr>
      </w:pPr>
      <w:bookmarkStart w:id="81" w:name="_Toc97722066"/>
      <w:bookmarkStart w:id="82" w:name="_Toc101944229"/>
      <w:bookmarkStart w:id="83" w:name="_Toc112852435"/>
      <w:r>
        <w:t>Implementation of the Strategy for Improving Gender Equality in the Judiciary in BiH</w:t>
      </w:r>
      <w:bookmarkEnd w:id="81"/>
      <w:bookmarkEnd w:id="82"/>
      <w:bookmarkEnd w:id="83"/>
    </w:p>
    <w:p w14:paraId="185CF4B2" w14:textId="77777777" w:rsidR="003E7651" w:rsidRPr="00ED047F" w:rsidRDefault="003E7651" w:rsidP="00A16CD8">
      <w:pPr>
        <w:pStyle w:val="Tekst"/>
        <w:rPr>
          <w:noProof/>
        </w:rPr>
      </w:pPr>
      <w:r>
        <w:t xml:space="preserve">The process of implementation of the Strategy for Improving Gender Equality in the Judiciary of BiH, adopted by the HJPC BiH at the end of October 2020, continued intensively in 2021 under the project </w:t>
      </w:r>
      <w:r>
        <w:rPr>
          <w:i/>
          <w:iCs/>
        </w:rPr>
        <w:t>Improving Court Efficiency and Accountability of Judges and Prosecutors in BiH -</w:t>
      </w:r>
      <w:r>
        <w:t xml:space="preserve"> </w:t>
      </w:r>
      <w:r>
        <w:rPr>
          <w:i/>
          <w:iCs/>
        </w:rPr>
        <w:t>phase 3,</w:t>
      </w:r>
      <w:r>
        <w:t xml:space="preserve"> funded by the Government of Sweden.</w:t>
      </w:r>
    </w:p>
    <w:p w14:paraId="41241F1D" w14:textId="77777777" w:rsidR="003E7651" w:rsidRPr="00ED047F" w:rsidRDefault="003E7651" w:rsidP="00A16CD8">
      <w:pPr>
        <w:pStyle w:val="Tekst"/>
        <w:rPr>
          <w:noProof/>
        </w:rPr>
      </w:pPr>
      <w:r>
        <w:t>The Strategy contains all the most important steps that need to be taken in order to improve gender equality in the judiciary. At the same time, the Strategy is the basis for creating action plans for improving gender equality in all judicial institutions in BiH, which will be the very first strategic approach to this topic.</w:t>
      </w:r>
    </w:p>
    <w:p w14:paraId="21CA7C32" w14:textId="77777777" w:rsidR="003E7651" w:rsidRPr="00ED047F" w:rsidRDefault="003E7651" w:rsidP="00A16CD8">
      <w:pPr>
        <w:pStyle w:val="Tekst"/>
        <w:rPr>
          <w:noProof/>
        </w:rPr>
      </w:pPr>
      <w:r>
        <w:t>In four judicial institutions in BiH (the Cantonal Court in Sarajevo, the Basic Court in Bijeljina, the Prosecutor's Office of the Sarajevo Canton and the Prosecutor's Office of the Brčko District of BiH) a pilot phase was implemented to develop a model for the most effective implementation of the Strategy. In this phase, a document was developed within which good practices for the implementation of the Strategy were presented, which will be applied in other judicial institutions. The document is an integral part of the planned workshops that will be held in 2022, during which the representatives of all 102 judicial institutions in BiH will be presented with the starting point for the development of action plans for implementation of the Strategy.</w:t>
      </w:r>
    </w:p>
    <w:p w14:paraId="151508EE" w14:textId="33F2C7CF" w:rsidR="003E7651" w:rsidRPr="00ED047F" w:rsidRDefault="003E7651" w:rsidP="003E7651">
      <w:pPr>
        <w:rPr>
          <w:rFonts w:ascii="Arial" w:hAnsi="Arial"/>
          <w:b/>
          <w:bCs/>
          <w:sz w:val="20"/>
          <w:szCs w:val="20"/>
        </w:rPr>
      </w:pPr>
    </w:p>
    <w:p w14:paraId="630450B9" w14:textId="779149D0" w:rsidR="003E7651" w:rsidRPr="00ED047F" w:rsidRDefault="00BE3B39" w:rsidP="00A16CD8">
      <w:pPr>
        <w:pStyle w:val="Caption"/>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12</w:t>
      </w:r>
      <w:r w:rsidR="006D1459">
        <w:rPr>
          <w:noProof/>
        </w:rPr>
        <w:fldChar w:fldCharType="end"/>
      </w:r>
      <w:r w:rsidR="003E7651">
        <w:t xml:space="preserve">: Title page of the publication created within the pilot phase of the Strategy implementation </w:t>
      </w:r>
    </w:p>
    <w:p w14:paraId="3799C73D" w14:textId="77777777" w:rsidR="003E7651" w:rsidRPr="00ED047F" w:rsidRDefault="003E7651" w:rsidP="003E7651">
      <w:pPr>
        <w:keepNext/>
        <w:spacing w:before="80"/>
        <w:contextualSpacing/>
        <w:jc w:val="center"/>
      </w:pPr>
      <w:r>
        <w:rPr>
          <w:noProof/>
          <w:lang w:val="bs-Latn-BA" w:eastAsia="bs-Latn-BA"/>
        </w:rPr>
        <w:lastRenderedPageBreak/>
        <w:drawing>
          <wp:inline distT="0" distB="0" distL="0" distR="0" wp14:anchorId="671EADB8" wp14:editId="1EFB4EFA">
            <wp:extent cx="2403475" cy="309018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l="40343" t="16708" r="25078" b="11971"/>
                    <a:stretch>
                      <a:fillRect/>
                    </a:stretch>
                  </pic:blipFill>
                  <pic:spPr bwMode="auto">
                    <a:xfrm>
                      <a:off x="0" y="0"/>
                      <a:ext cx="2409262" cy="3097623"/>
                    </a:xfrm>
                    <a:prstGeom prst="rect">
                      <a:avLst/>
                    </a:prstGeom>
                    <a:noFill/>
                    <a:ln>
                      <a:noFill/>
                    </a:ln>
                  </pic:spPr>
                </pic:pic>
              </a:graphicData>
            </a:graphic>
          </wp:inline>
        </w:drawing>
      </w:r>
    </w:p>
    <w:p w14:paraId="217D3692" w14:textId="77777777" w:rsidR="003E7651" w:rsidRPr="00ED047F" w:rsidRDefault="003E7651" w:rsidP="003E7651">
      <w:pPr>
        <w:spacing w:before="80"/>
        <w:contextualSpacing/>
        <w:jc w:val="both"/>
        <w:rPr>
          <w:rFonts w:ascii="Arial" w:hAnsi="Arial" w:cs="Arial"/>
          <w:noProof/>
        </w:rPr>
      </w:pPr>
    </w:p>
    <w:p w14:paraId="5BA3367C" w14:textId="77777777" w:rsidR="003E7651" w:rsidRPr="00ED047F" w:rsidRDefault="003E7651" w:rsidP="003E7651">
      <w:pPr>
        <w:spacing w:before="80"/>
        <w:contextualSpacing/>
        <w:jc w:val="both"/>
        <w:rPr>
          <w:rFonts w:ascii="Arial" w:hAnsi="Arial" w:cs="Arial"/>
          <w:noProof/>
        </w:rPr>
      </w:pPr>
    </w:p>
    <w:p w14:paraId="1F6E1CC6" w14:textId="5EF52623" w:rsidR="003E7651" w:rsidRPr="00ED047F" w:rsidRDefault="00BE3B39" w:rsidP="00A16CD8">
      <w:pPr>
        <w:pStyle w:val="Caption"/>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13</w:t>
      </w:r>
      <w:r w:rsidR="006D1459">
        <w:rPr>
          <w:noProof/>
        </w:rPr>
        <w:fldChar w:fldCharType="end"/>
      </w:r>
      <w:r w:rsidR="003E7651">
        <w:t xml:space="preserve">: Workshops held as part of the pilot phase of the Strategy implementation </w:t>
      </w:r>
    </w:p>
    <w:p w14:paraId="5E5296B8" w14:textId="77777777" w:rsidR="003E7651" w:rsidRPr="00ED047F" w:rsidRDefault="003E7651" w:rsidP="003E7651">
      <w:pPr>
        <w:keepNext/>
        <w:spacing w:before="80"/>
        <w:contextualSpacing/>
        <w:jc w:val="both"/>
      </w:pPr>
      <w:r>
        <w:rPr>
          <w:rFonts w:ascii="Arial" w:hAnsi="Arial"/>
          <w:noProof/>
          <w:lang w:val="bs-Latn-BA" w:eastAsia="bs-Latn-BA"/>
        </w:rPr>
        <w:drawing>
          <wp:inline distT="0" distB="0" distL="0" distR="0" wp14:anchorId="2A118C36" wp14:editId="7E3CC0B7">
            <wp:extent cx="2207931" cy="1555200"/>
            <wp:effectExtent l="0" t="0" r="190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07931" cy="1555200"/>
                    </a:xfrm>
                    <a:prstGeom prst="rect">
                      <a:avLst/>
                    </a:prstGeom>
                    <a:noFill/>
                  </pic:spPr>
                </pic:pic>
              </a:graphicData>
            </a:graphic>
          </wp:inline>
        </w:drawing>
      </w:r>
      <w:r>
        <w:t xml:space="preserve">      </w:t>
      </w:r>
      <w:r>
        <w:rPr>
          <w:noProof/>
          <w:lang w:val="bs-Latn-BA" w:eastAsia="bs-Latn-BA"/>
        </w:rPr>
        <w:drawing>
          <wp:inline distT="0" distB="0" distL="0" distR="0" wp14:anchorId="7BBA2928" wp14:editId="2FC9ED53">
            <wp:extent cx="3169712" cy="1555200"/>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69712" cy="1555200"/>
                    </a:xfrm>
                    <a:prstGeom prst="rect">
                      <a:avLst/>
                    </a:prstGeom>
                    <a:noFill/>
                    <a:ln>
                      <a:noFill/>
                    </a:ln>
                  </pic:spPr>
                </pic:pic>
              </a:graphicData>
            </a:graphic>
          </wp:inline>
        </w:drawing>
      </w:r>
    </w:p>
    <w:p w14:paraId="216CF2ED" w14:textId="77777777" w:rsidR="003E7651" w:rsidRPr="00ED047F" w:rsidRDefault="003E7651" w:rsidP="003E7651">
      <w:pPr>
        <w:spacing w:before="80"/>
        <w:jc w:val="both"/>
        <w:rPr>
          <w:rFonts w:ascii="Arial" w:hAnsi="Arial" w:cs="Tahoma"/>
        </w:rPr>
      </w:pPr>
      <w:r>
        <w:rPr>
          <w:rFonts w:ascii="Arial" w:hAnsi="Arial"/>
        </w:rPr>
        <w:t xml:space="preserve">          </w:t>
      </w:r>
    </w:p>
    <w:p w14:paraId="6BB03F05" w14:textId="77777777" w:rsidR="003E7651" w:rsidRPr="00ED047F" w:rsidRDefault="003E7651" w:rsidP="00A16CD8">
      <w:pPr>
        <w:pStyle w:val="Tekst"/>
      </w:pPr>
      <w:r>
        <w:t>As part of the Strategy implementation efforts, the target judicial institutions have established working groups and appointed "ambassadors" of institutions - staff, who will support other judicial institutions in BiH in the process.</w:t>
      </w:r>
    </w:p>
    <w:p w14:paraId="636E833F" w14:textId="77777777" w:rsidR="003E7651" w:rsidRPr="00ED047F" w:rsidRDefault="003E7651" w:rsidP="00A16CD8">
      <w:pPr>
        <w:pStyle w:val="Tekst"/>
      </w:pPr>
      <w:r>
        <w:t>In order to determine the situation in the institution, as a basis for planning further activities, anonymous surveys on gender equality were conducted among the staff of target judicial institutions, but also users of court services and professional parties, appropriate training for em</w:t>
      </w:r>
      <w:r>
        <w:lastRenderedPageBreak/>
        <w:t>ployees of institutions was conducted, numerous analyses of processes and internal regulations and official documents were adopted by the heads of institutions, all with the aim of ensuring adequate implementation of the Strategy.</w:t>
      </w:r>
    </w:p>
    <w:p w14:paraId="21ADFF66" w14:textId="77777777" w:rsidR="003E7651" w:rsidRPr="00ED047F" w:rsidRDefault="003E7651" w:rsidP="00A16CD8">
      <w:pPr>
        <w:pStyle w:val="TREINASLOV"/>
        <w:rPr>
          <w:noProof/>
        </w:rPr>
      </w:pPr>
      <w:bookmarkStart w:id="84" w:name="_Toc97722067"/>
      <w:bookmarkStart w:id="85" w:name="_Toc101944230"/>
      <w:bookmarkStart w:id="86" w:name="_Toc112852436"/>
      <w:r>
        <w:t>The judiciary and vulnerable groups</w:t>
      </w:r>
      <w:bookmarkEnd w:id="84"/>
      <w:bookmarkEnd w:id="85"/>
      <w:bookmarkEnd w:id="86"/>
    </w:p>
    <w:p w14:paraId="2B2BBB08" w14:textId="77777777" w:rsidR="003E7651" w:rsidRPr="00A16CD8" w:rsidRDefault="003E7651" w:rsidP="00A16CD8">
      <w:pPr>
        <w:pStyle w:val="Tekst"/>
      </w:pPr>
      <w:r w:rsidRPr="00A16CD8">
        <w:t>The HJPC BiH has been working intensively on the implementation of activities aimed at strengthening the rule of law, democracy, human rights and improving the position of vulnerable groups in contact with the courts in 2021, through several segments.</w:t>
      </w:r>
    </w:p>
    <w:p w14:paraId="47B2E69E" w14:textId="77777777" w:rsidR="003E7651" w:rsidRPr="00A16CD8" w:rsidRDefault="003E7651" w:rsidP="00A16CD8">
      <w:pPr>
        <w:pStyle w:val="Tekst"/>
      </w:pPr>
      <w:r w:rsidRPr="00A16CD8">
        <w:t>Efforts to improve the handling of discrimination cases, as one of the most important segments in the aspect of needs of vulnerable groups, continued with the creation of the Instruction on the use of the amended CMS codebook for Discrimination Cases, in cooperation with the OSCE Mission to BiH.</w:t>
      </w:r>
    </w:p>
    <w:p w14:paraId="35460488" w14:textId="77777777" w:rsidR="003E7651" w:rsidRPr="00ED047F" w:rsidRDefault="003E7651" w:rsidP="003E7651">
      <w:pPr>
        <w:spacing w:before="80"/>
        <w:contextualSpacing/>
        <w:jc w:val="both"/>
        <w:rPr>
          <w:rFonts w:ascii="Arial" w:hAnsi="Arial" w:cs="Arial"/>
          <w:noProof/>
        </w:rPr>
      </w:pPr>
    </w:p>
    <w:p w14:paraId="5A2893AC" w14:textId="616239C7" w:rsidR="003E7651" w:rsidRPr="00ED047F" w:rsidRDefault="00BE3B39" w:rsidP="00A16CD8">
      <w:pPr>
        <w:pStyle w:val="Caption"/>
        <w:rPr>
          <w:noProof/>
        </w:rPr>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14</w:t>
      </w:r>
      <w:r w:rsidR="006D1459">
        <w:rPr>
          <w:noProof/>
        </w:rPr>
        <w:fldChar w:fldCharType="end"/>
      </w:r>
      <w:r w:rsidR="003E7651">
        <w:t>: Title page of Instruction on the Use of the Amended CMS Codebook for Discrimination Cases</w:t>
      </w:r>
    </w:p>
    <w:p w14:paraId="61B60526" w14:textId="77777777" w:rsidR="003E7651" w:rsidRPr="00ED047F" w:rsidRDefault="003E7651" w:rsidP="003E7651">
      <w:pPr>
        <w:spacing w:before="80"/>
        <w:contextualSpacing/>
        <w:jc w:val="center"/>
        <w:rPr>
          <w:rFonts w:ascii="Arial" w:hAnsi="Arial" w:cs="Arial"/>
          <w:noProof/>
        </w:rPr>
      </w:pPr>
      <w:r>
        <w:rPr>
          <w:noProof/>
          <w:lang w:val="bs-Latn-BA" w:eastAsia="bs-Latn-BA"/>
        </w:rPr>
        <w:drawing>
          <wp:inline distT="0" distB="0" distL="0" distR="0" wp14:anchorId="70A2647D" wp14:editId="20F5F95C">
            <wp:extent cx="2647950" cy="315269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l="23831" t="9227" r="38240" b="18452"/>
                    <a:stretch>
                      <a:fillRect/>
                    </a:stretch>
                  </pic:blipFill>
                  <pic:spPr bwMode="auto">
                    <a:xfrm>
                      <a:off x="0" y="0"/>
                      <a:ext cx="2652522" cy="3158135"/>
                    </a:xfrm>
                    <a:prstGeom prst="rect">
                      <a:avLst/>
                    </a:prstGeom>
                    <a:noFill/>
                    <a:ln>
                      <a:noFill/>
                    </a:ln>
                  </pic:spPr>
                </pic:pic>
              </a:graphicData>
            </a:graphic>
          </wp:inline>
        </w:drawing>
      </w:r>
    </w:p>
    <w:p w14:paraId="1EF07094" w14:textId="77777777" w:rsidR="003E7651" w:rsidRPr="00ED047F" w:rsidRDefault="003E7651" w:rsidP="003E7651">
      <w:pPr>
        <w:spacing w:before="80"/>
        <w:contextualSpacing/>
        <w:jc w:val="both"/>
        <w:rPr>
          <w:rFonts w:ascii="Arial" w:hAnsi="Arial" w:cs="Arial"/>
          <w:noProof/>
        </w:rPr>
      </w:pPr>
    </w:p>
    <w:p w14:paraId="091B9537" w14:textId="77777777" w:rsidR="003E7651" w:rsidRPr="00ED047F" w:rsidRDefault="003E7651" w:rsidP="00A16CD8">
      <w:pPr>
        <w:pStyle w:val="Tekst"/>
        <w:rPr>
          <w:noProof/>
        </w:rPr>
      </w:pPr>
      <w:r>
        <w:t xml:space="preserve">The purpose of this Instruction, which is intended for judges and registrars, is to offer additional information on the purpose and objective of the part of the CMS dealing with discrimination, </w:t>
      </w:r>
      <w:r>
        <w:lastRenderedPageBreak/>
        <w:t>clarify the entry of required elements in the CMS and ensure consistent data entry, so that data can be used for statistical reporting on discrimination cases.</w:t>
      </w:r>
    </w:p>
    <w:p w14:paraId="02382258" w14:textId="77777777" w:rsidR="003E7651" w:rsidRPr="00ED047F" w:rsidRDefault="003E7651" w:rsidP="00A16CD8">
      <w:pPr>
        <w:pStyle w:val="Tekst"/>
        <w:rPr>
          <w:noProof/>
        </w:rPr>
      </w:pPr>
      <w:r>
        <w:t>Improving the position of members of vulnerable groups in contact with the judiciary is also aimed at conducting case analyses on hate crimes and incitement to hatred in the courts of BiH. This Analysis identified shortcomings, primarily in the collection of reliable data and statistics on these crimes, as prerequisites for creating effective policies to combat hate-motivated incidents, and created an action plan to improve the situation. The results of the 2022 Analysis will be considered first by the Standing Committee on the Efficiency and Quality of Courts, and then by the Council.</w:t>
      </w:r>
    </w:p>
    <w:p w14:paraId="3E8A48C2" w14:textId="77777777" w:rsidR="003E7651" w:rsidRPr="00ED047F" w:rsidRDefault="003E7651" w:rsidP="00A16CD8">
      <w:pPr>
        <w:pStyle w:val="Tekst"/>
        <w:rPr>
          <w:noProof/>
        </w:rPr>
      </w:pPr>
      <w:r>
        <w:t>With regard to children and juveniles, the HJPC BiH continued to provide support to UNICEF BiH, in the context of equipping facilities in judicial institutions for hearing children in contact with the law, in accordance with the Minimum Standards for Equipping and Using Witness Child Examination Rooms, adopted by the HJPC BiH.</w:t>
      </w:r>
    </w:p>
    <w:p w14:paraId="5A161C8F" w14:textId="77777777" w:rsidR="003E7651" w:rsidRPr="00ED047F" w:rsidRDefault="003E7651" w:rsidP="00A16CD8">
      <w:pPr>
        <w:pStyle w:val="Tekst"/>
        <w:rPr>
          <w:noProof/>
        </w:rPr>
      </w:pPr>
      <w:r>
        <w:t>Faster resolution of enforcement proceedings, regarding the enforcement of adjudicated restitution claims in cases of war sexual violence, is another significant result, which was achieved in cooperation with TRIAL International. A technical solution was created and implemented, which included the addition of a new legal basis for enforcement in the CMS system and the introduction of an urgency mark for enforcements.</w:t>
      </w:r>
    </w:p>
    <w:p w14:paraId="1D5281E1" w14:textId="77777777" w:rsidR="003E7651" w:rsidRPr="00ED047F" w:rsidRDefault="003E7651" w:rsidP="00A16CD8">
      <w:pPr>
        <w:pStyle w:val="Tekst"/>
        <w:rPr>
          <w:noProof/>
        </w:rPr>
      </w:pPr>
      <w:r>
        <w:t xml:space="preserve">One of the segments that was improved through the project </w:t>
      </w:r>
      <w:r>
        <w:rPr>
          <w:i/>
          <w:iCs/>
        </w:rPr>
        <w:t>Improving Court Efficiency and Accountability of Judges and Prosecutors in BiH</w:t>
      </w:r>
      <w:r>
        <w:t xml:space="preserve"> was the issue of gender-based violence.</w:t>
      </w:r>
    </w:p>
    <w:p w14:paraId="014D45BF" w14:textId="77777777" w:rsidR="003E7651" w:rsidRPr="00ED047F" w:rsidRDefault="003E7651" w:rsidP="00A16CD8">
      <w:pPr>
        <w:pStyle w:val="Tekst"/>
        <w:rPr>
          <w:noProof/>
          <w:highlight w:val="yellow"/>
        </w:rPr>
      </w:pPr>
      <w:r>
        <w:t xml:space="preserve">Following a survey on the conduct of judicial office holders in cases of gender-based violence, the HJPC BiH has created an action plan aimed at improving the position of victims of violence in contact with the justice which will be implemented in cooperation with the OSCE Mission to BiH. </w:t>
      </w:r>
    </w:p>
    <w:p w14:paraId="0C795BEC" w14:textId="77777777" w:rsidR="003E7651" w:rsidRPr="00ED047F" w:rsidRDefault="003E7651" w:rsidP="00A16CD8">
      <w:pPr>
        <w:pStyle w:val="Tekst"/>
        <w:rPr>
          <w:noProof/>
        </w:rPr>
      </w:pPr>
      <w:r>
        <w:t xml:space="preserve">For the first time, within the training and professional development program of the Entity Judicial and Prosecutorial Training Centres (JPTCs), a seminar on </w:t>
      </w:r>
      <w:r w:rsidRPr="001810AC">
        <w:rPr>
          <w:i/>
        </w:rPr>
        <w:t>Members of vulnerable groups as witnesses in the proceedings</w:t>
      </w:r>
      <w:r>
        <w:t xml:space="preserve"> was realised in partnership with the AIRE Centre (Advice on Individual Rights in Europe).</w:t>
      </w:r>
    </w:p>
    <w:p w14:paraId="6999517B" w14:textId="77777777" w:rsidR="003E7651" w:rsidRPr="00ED047F" w:rsidRDefault="003E7651" w:rsidP="00A16CD8">
      <w:pPr>
        <w:pStyle w:val="Tekst"/>
        <w:rPr>
          <w:noProof/>
        </w:rPr>
      </w:pPr>
      <w:r>
        <w:t>The seminar participants had the opportunity to get acquainted with the basic communication skills and their application in investigative and court proceedings, basic communication techniques in the work of prosecutors and judges, and communication skills in situations of intense feelings.</w:t>
      </w:r>
    </w:p>
    <w:p w14:paraId="39D7DD93" w14:textId="77777777" w:rsidR="003E7651" w:rsidRPr="00ED047F" w:rsidRDefault="003E7651" w:rsidP="00A16CD8">
      <w:pPr>
        <w:pStyle w:val="Tekst"/>
        <w:rPr>
          <w:noProof/>
        </w:rPr>
      </w:pPr>
      <w:r>
        <w:t>In addition, they discussed ways of examining witnesses - members of vulnerable groups in the investigation and court proceedings, and ways to motivate these categories of witnesses to testify.</w:t>
      </w:r>
    </w:p>
    <w:p w14:paraId="295C1231" w14:textId="7DE2EF5B" w:rsidR="003E7651" w:rsidRPr="00ED047F" w:rsidRDefault="00BE3B39" w:rsidP="00A16CD8">
      <w:pPr>
        <w:pStyle w:val="Caption"/>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15</w:t>
      </w:r>
      <w:r w:rsidR="006D1459">
        <w:rPr>
          <w:noProof/>
        </w:rPr>
        <w:fldChar w:fldCharType="end"/>
      </w:r>
      <w:r w:rsidR="003E7651">
        <w:t xml:space="preserve">: Seminar </w:t>
      </w:r>
      <w:r w:rsidR="003E7651" w:rsidRPr="004B5ADB">
        <w:t>Members of vulnerable groups as witnesses in the proceedings</w:t>
      </w:r>
    </w:p>
    <w:p w14:paraId="4C32A7B5" w14:textId="77777777" w:rsidR="003E7651" w:rsidRPr="00ED047F" w:rsidRDefault="003E7651" w:rsidP="003E7651">
      <w:pPr>
        <w:keepNext/>
        <w:spacing w:before="80"/>
        <w:contextualSpacing/>
        <w:jc w:val="both"/>
      </w:pPr>
      <w:r>
        <w:rPr>
          <w:rFonts w:ascii="Arial" w:hAnsi="Arial"/>
          <w:noProof/>
          <w:lang w:val="bs-Latn-BA" w:eastAsia="bs-Latn-BA"/>
        </w:rPr>
        <w:lastRenderedPageBreak/>
        <w:drawing>
          <wp:inline distT="0" distB="0" distL="0" distR="0" wp14:anchorId="176C1245" wp14:editId="28059E5C">
            <wp:extent cx="2914650" cy="1780819"/>
            <wp:effectExtent l="0" t="0" r="0" b="0"/>
            <wp:docPr id="19" name="Picture 19" descr="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a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58340" cy="1807513"/>
                    </a:xfrm>
                    <a:prstGeom prst="rect">
                      <a:avLst/>
                    </a:prstGeom>
                    <a:noFill/>
                    <a:ln>
                      <a:noFill/>
                    </a:ln>
                  </pic:spPr>
                </pic:pic>
              </a:graphicData>
            </a:graphic>
          </wp:inline>
        </w:drawing>
      </w:r>
      <w:r>
        <w:rPr>
          <w:rFonts w:ascii="Arial" w:hAnsi="Arial"/>
        </w:rPr>
        <w:t xml:space="preserve">   </w:t>
      </w:r>
      <w:r>
        <w:rPr>
          <w:noProof/>
          <w:lang w:val="bs-Latn-BA" w:eastAsia="bs-Latn-BA"/>
        </w:rPr>
        <w:drawing>
          <wp:inline distT="0" distB="0" distL="0" distR="0" wp14:anchorId="7A98F939" wp14:editId="599DFCB0">
            <wp:extent cx="2549339" cy="1782000"/>
            <wp:effectExtent l="0" t="0" r="3810" b="8890"/>
            <wp:docPr id="18" name="Picture 18" descr="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lika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49339" cy="1782000"/>
                    </a:xfrm>
                    <a:prstGeom prst="rect">
                      <a:avLst/>
                    </a:prstGeom>
                    <a:noFill/>
                    <a:ln>
                      <a:noFill/>
                    </a:ln>
                  </pic:spPr>
                </pic:pic>
              </a:graphicData>
            </a:graphic>
          </wp:inline>
        </w:drawing>
      </w:r>
    </w:p>
    <w:p w14:paraId="4E58B6A6" w14:textId="77777777" w:rsidR="003E7651" w:rsidRPr="00ED047F" w:rsidRDefault="003E7651" w:rsidP="003E7651">
      <w:pPr>
        <w:spacing w:before="80"/>
        <w:contextualSpacing/>
        <w:jc w:val="both"/>
        <w:rPr>
          <w:rFonts w:ascii="Arial" w:hAnsi="Arial" w:cs="Arial"/>
          <w:noProof/>
        </w:rPr>
      </w:pPr>
      <w:r>
        <w:rPr>
          <w:rFonts w:ascii="Arial" w:hAnsi="Arial"/>
        </w:rPr>
        <w:t xml:space="preserve">        </w:t>
      </w:r>
    </w:p>
    <w:p w14:paraId="3C63EDB9" w14:textId="77777777" w:rsidR="003E7651" w:rsidRPr="00ED047F" w:rsidRDefault="003E7651" w:rsidP="00A16CD8">
      <w:pPr>
        <w:pStyle w:val="Tekst"/>
        <w:rPr>
          <w:noProof/>
        </w:rPr>
      </w:pPr>
      <w:r>
        <w:t xml:space="preserve">This year, the HJPC BiH joined the International Campaign </w:t>
      </w:r>
      <w:r w:rsidRPr="004B5ADB">
        <w:rPr>
          <w:i/>
        </w:rPr>
        <w:t xml:space="preserve">16 Days of Activism against Gender-Based Violence </w:t>
      </w:r>
      <w:r>
        <w:t>and, in cooperation with the Atlantic Initiative Association, organised advanced training for newly appointed advisers for the prevention of sexual and gender-based harassment in judicial institutions in BiH. At the suggestion of the HJPC BiH, the JPTCs have also included appropriate seminars/workshops on gender equality and the rights of vulnerable groups in their 2022 programmes for training and professional development.</w:t>
      </w:r>
    </w:p>
    <w:p w14:paraId="60A3AFDE" w14:textId="77777777" w:rsidR="003E7651" w:rsidRPr="00ED047F" w:rsidRDefault="003E7651" w:rsidP="00A16CD8">
      <w:pPr>
        <w:pStyle w:val="TREINASLOV"/>
      </w:pPr>
      <w:bookmarkStart w:id="87" w:name="_Toc97722068"/>
      <w:bookmarkStart w:id="88" w:name="_Toc101944231"/>
      <w:bookmarkStart w:id="89" w:name="_Toc112852437"/>
      <w:r>
        <w:t>Improving the quality of judgement in civil proceedings</w:t>
      </w:r>
      <w:bookmarkEnd w:id="87"/>
      <w:bookmarkEnd w:id="88"/>
      <w:bookmarkEnd w:id="89"/>
    </w:p>
    <w:p w14:paraId="029EB371" w14:textId="77777777" w:rsidR="003E7651" w:rsidRPr="00ED047F" w:rsidRDefault="003E7651" w:rsidP="00A16CD8">
      <w:pPr>
        <w:pStyle w:val="Tekst"/>
      </w:pPr>
      <w:r>
        <w:t xml:space="preserve">In an effort to improve the quality of court decisions in BiH, the HJPC BiH has issued two important publications under the project </w:t>
      </w:r>
      <w:r>
        <w:rPr>
          <w:i/>
          <w:iCs/>
        </w:rPr>
        <w:t>Improving Judicial Quality</w:t>
      </w:r>
      <w:r>
        <w:t xml:space="preserve">: Manual and Guidelines for writing judgements in civil cases. </w:t>
      </w:r>
    </w:p>
    <w:p w14:paraId="1D5696B9" w14:textId="77777777" w:rsidR="003E7651" w:rsidRPr="00ED047F" w:rsidRDefault="003E7651" w:rsidP="00A16CD8">
      <w:pPr>
        <w:pStyle w:val="Tekst"/>
        <w:rPr>
          <w:rFonts w:cs="Arial"/>
          <w:b/>
          <w:sz w:val="20"/>
          <w:szCs w:val="20"/>
        </w:rPr>
        <w:sectPr w:rsidR="003E7651" w:rsidRPr="00ED047F" w:rsidSect="003E7651">
          <w:headerReference w:type="even" r:id="rId39"/>
          <w:headerReference w:type="default" r:id="rId40"/>
          <w:footerReference w:type="even" r:id="rId41"/>
          <w:footerReference w:type="default" r:id="rId42"/>
          <w:type w:val="continuous"/>
          <w:pgSz w:w="11906" w:h="16838" w:code="9"/>
          <w:pgMar w:top="1134" w:right="1134" w:bottom="1134" w:left="1701" w:header="709" w:footer="709" w:gutter="0"/>
          <w:cols w:space="708"/>
          <w:titlePg/>
          <w:docGrid w:linePitch="360"/>
        </w:sectPr>
      </w:pPr>
    </w:p>
    <w:p w14:paraId="1DE0F22E" w14:textId="77777777" w:rsidR="003E7651" w:rsidRDefault="003E7651" w:rsidP="003E7651">
      <w:pPr>
        <w:spacing w:before="120" w:after="120"/>
        <w:contextualSpacing/>
        <w:rPr>
          <w:rFonts w:ascii="Arial" w:hAnsi="Arial"/>
          <w:b/>
          <w:bCs/>
          <w:sz w:val="20"/>
          <w:szCs w:val="20"/>
        </w:rPr>
      </w:pPr>
    </w:p>
    <w:p w14:paraId="3390584B" w14:textId="77777777" w:rsidR="00A16CD8" w:rsidRDefault="00A16CD8">
      <w:pPr>
        <w:rPr>
          <w:rFonts w:ascii="Arial" w:hAnsi="Arial"/>
          <w:b/>
          <w:bCs/>
          <w:sz w:val="20"/>
          <w:szCs w:val="20"/>
        </w:rPr>
      </w:pPr>
      <w:r>
        <w:rPr>
          <w:rFonts w:ascii="Arial" w:hAnsi="Arial"/>
          <w:b/>
          <w:bCs/>
          <w:sz w:val="20"/>
          <w:szCs w:val="20"/>
        </w:rPr>
        <w:br w:type="page"/>
      </w:r>
    </w:p>
    <w:p w14:paraId="59B79751" w14:textId="0FBF28E3" w:rsidR="003E7651" w:rsidRPr="00ED047F" w:rsidRDefault="00BE3B39" w:rsidP="00A16CD8">
      <w:pPr>
        <w:pStyle w:val="Caption"/>
      </w:pPr>
      <w:r>
        <w:lastRenderedPageBreak/>
        <w:t>Image</w:t>
      </w:r>
      <w:r w:rsidR="00A16CD8">
        <w:t xml:space="preserve"> </w:t>
      </w:r>
      <w:r w:rsidR="006D1459">
        <w:fldChar w:fldCharType="begin"/>
      </w:r>
      <w:r w:rsidR="006D1459">
        <w:instrText xml:space="preserve"> SEQ Image \* ARABIC </w:instrText>
      </w:r>
      <w:r w:rsidR="006D1459">
        <w:fldChar w:fldCharType="separate"/>
      </w:r>
      <w:r w:rsidR="009E77AF">
        <w:rPr>
          <w:noProof/>
        </w:rPr>
        <w:t>16</w:t>
      </w:r>
      <w:r w:rsidR="006D1459">
        <w:rPr>
          <w:noProof/>
        </w:rPr>
        <w:fldChar w:fldCharType="end"/>
      </w:r>
      <w:r w:rsidR="003E7651">
        <w:t xml:space="preserve">: Writing Manual for Civil Judgements </w:t>
      </w:r>
    </w:p>
    <w:p w14:paraId="4D67D9BA" w14:textId="7D7CB6EF" w:rsidR="003E7651" w:rsidRPr="00ED047F" w:rsidRDefault="00BE3B39" w:rsidP="00A16CD8">
      <w:pPr>
        <w:pStyle w:val="Caption"/>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17</w:t>
      </w:r>
      <w:r w:rsidR="006D1459">
        <w:rPr>
          <w:noProof/>
        </w:rPr>
        <w:fldChar w:fldCharType="end"/>
      </w:r>
      <w:r w:rsidR="003E7651">
        <w:t>: Writing Guidelines for civil judgements</w:t>
      </w:r>
    </w:p>
    <w:p w14:paraId="24189FCB" w14:textId="77777777" w:rsidR="003E7651" w:rsidRPr="00ED047F" w:rsidRDefault="003E7651" w:rsidP="00A16CD8">
      <w:pPr>
        <w:pStyle w:val="Caption"/>
        <w:sectPr w:rsidR="003E7651" w:rsidRPr="00ED047F" w:rsidSect="000A052A">
          <w:type w:val="continuous"/>
          <w:pgSz w:w="11906" w:h="16838" w:code="9"/>
          <w:pgMar w:top="1134" w:right="1134" w:bottom="1134" w:left="1701" w:header="709" w:footer="709" w:gutter="0"/>
          <w:cols w:num="2" w:space="1133"/>
          <w:titlePg/>
          <w:docGrid w:linePitch="360"/>
        </w:sectPr>
      </w:pPr>
    </w:p>
    <w:p w14:paraId="5FB705D0" w14:textId="77777777" w:rsidR="003E7651" w:rsidRPr="00ED047F" w:rsidRDefault="003E7651" w:rsidP="003E7651">
      <w:pPr>
        <w:spacing w:before="80"/>
        <w:jc w:val="both"/>
        <w:rPr>
          <w:rFonts w:ascii="Arial" w:hAnsi="Arial" w:cs="Arial"/>
          <w:noProof/>
        </w:rPr>
      </w:pPr>
      <w:r>
        <w:rPr>
          <w:rFonts w:ascii="Arial" w:hAnsi="Arial"/>
          <w:noProof/>
          <w:lang w:val="bs-Latn-BA" w:eastAsia="bs-Latn-BA"/>
        </w:rPr>
        <w:drawing>
          <wp:inline distT="0" distB="0" distL="0" distR="0" wp14:anchorId="1CF3C4E1" wp14:editId="4ED4B684">
            <wp:extent cx="2428875" cy="344658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444028" cy="3468088"/>
                    </a:xfrm>
                    <a:prstGeom prst="rect">
                      <a:avLst/>
                    </a:prstGeom>
                  </pic:spPr>
                </pic:pic>
              </a:graphicData>
            </a:graphic>
          </wp:inline>
        </w:drawing>
      </w:r>
      <w:r>
        <w:rPr>
          <w:rFonts w:ascii="Arial" w:hAnsi="Arial"/>
        </w:rPr>
        <w:t xml:space="preserve">      </w:t>
      </w:r>
      <w:r>
        <w:rPr>
          <w:noProof/>
          <w:lang w:val="bs-Latn-BA" w:eastAsia="bs-Latn-BA"/>
        </w:rPr>
        <w:drawing>
          <wp:inline distT="0" distB="0" distL="0" distR="0" wp14:anchorId="516ACA6E" wp14:editId="08E4CE0F">
            <wp:extent cx="2921533" cy="3444875"/>
            <wp:effectExtent l="0" t="0" r="0" b="3175"/>
            <wp:docPr id="17" name="Picture 17" descr="\\vstv-file\vstv$\Projekti\Projekt unapredjenja efikasnosti pravosudja\IJQ\AKTIVNOSTI\Foto za Amelu\1.3. Kvalitet sudskih odluka\Smjern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stv-file\vstv$\Projekti\Projekt unapredjenja efikasnosti pravosudja\IJQ\AKTIVNOSTI\Foto za Amelu\1.3. Kvalitet sudskih odluka\Smjernice.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5833"/>
                    <a:stretch/>
                  </pic:blipFill>
                  <pic:spPr bwMode="auto">
                    <a:xfrm>
                      <a:off x="0" y="0"/>
                      <a:ext cx="2921809" cy="3445200"/>
                    </a:xfrm>
                    <a:prstGeom prst="rect">
                      <a:avLst/>
                    </a:prstGeom>
                    <a:noFill/>
                    <a:ln>
                      <a:noFill/>
                    </a:ln>
                    <a:extLst>
                      <a:ext uri="{53640926-AAD7-44D8-BBD7-CCE9431645EC}">
                        <a14:shadowObscured xmlns:a14="http://schemas.microsoft.com/office/drawing/2010/main"/>
                      </a:ext>
                    </a:extLst>
                  </pic:spPr>
                </pic:pic>
              </a:graphicData>
            </a:graphic>
          </wp:inline>
        </w:drawing>
      </w:r>
    </w:p>
    <w:p w14:paraId="0B66D8F4" w14:textId="77777777" w:rsidR="003E7651" w:rsidRPr="00ED047F" w:rsidRDefault="003E7651" w:rsidP="00A16CD8">
      <w:pPr>
        <w:pStyle w:val="Tekst"/>
      </w:pPr>
      <w:r>
        <w:t>The publications are the result of a previous analysis of the quality of civil judgements, made by a panel of experts appointed by the HJPC BiH in 2019. Based on the findings of the analysis, i.e. identified specific shortcomings in the structure, language and legal reasoning of judgements in civil proceedings, experts began to develop materials that will help judges and court associates to avoid errors, i.e. improve judgement drafting techniques and training of judges and legal associates.</w:t>
      </w:r>
    </w:p>
    <w:p w14:paraId="039DBAB2" w14:textId="77777777" w:rsidR="003E7651" w:rsidRPr="00ED047F" w:rsidRDefault="003E7651" w:rsidP="00A16CD8">
      <w:pPr>
        <w:pStyle w:val="Tekst"/>
      </w:pPr>
      <w:r>
        <w:t>In cooperation with JPTCs, a total of six workshops were organised for judges and legal associates, focusing on the Manual and Guidelines, i.e. presenting the content and benefits of publications for courts in BiH. The professional / educational materials and training programmes developed under the project will serve JPTCs and courts for the continuous training of judicial office holders in order to improve the quality of court decisions.</w:t>
      </w:r>
    </w:p>
    <w:p w14:paraId="656BFD4E" w14:textId="585CE39D" w:rsidR="00A16CD8" w:rsidRDefault="00A16CD8">
      <w:pPr>
        <w:rPr>
          <w:rFonts w:ascii="Arial" w:hAnsi="Arial"/>
          <w:b/>
          <w:bCs/>
          <w:sz w:val="20"/>
          <w:szCs w:val="20"/>
        </w:rPr>
      </w:pPr>
    </w:p>
    <w:p w14:paraId="550FFF07" w14:textId="5C4530BF" w:rsidR="003E7651" w:rsidRPr="00ED047F" w:rsidRDefault="00BE3B39" w:rsidP="00A16CD8">
      <w:pPr>
        <w:pStyle w:val="Caption"/>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18</w:t>
      </w:r>
      <w:r w:rsidR="006D1459">
        <w:rPr>
          <w:noProof/>
        </w:rPr>
        <w:fldChar w:fldCharType="end"/>
      </w:r>
      <w:r w:rsidR="003E7651">
        <w:t xml:space="preserve">: </w:t>
      </w:r>
      <w:r w:rsidR="003E7651">
        <w:rPr>
          <w:i/>
          <w:iCs/>
        </w:rPr>
        <w:t>The Quality of Civil Judgement Drafting,</w:t>
      </w:r>
      <w:r w:rsidR="003E7651" w:rsidRPr="00FD6820">
        <w:t xml:space="preserve"> </w:t>
      </w:r>
      <w:r w:rsidR="003E7651">
        <w:t>workshop</w:t>
      </w:r>
      <w:r w:rsidR="003E7651">
        <w:rPr>
          <w:i/>
          <w:iCs/>
        </w:rPr>
        <w:t xml:space="preserve">, </w:t>
      </w:r>
      <w:r w:rsidR="003E7651">
        <w:t>Sarajevo, December 2021</w:t>
      </w:r>
    </w:p>
    <w:p w14:paraId="61B78A81" w14:textId="77777777" w:rsidR="003E7651" w:rsidRPr="00ED047F" w:rsidRDefault="003E7651" w:rsidP="007D67AD">
      <w:pPr>
        <w:spacing w:before="80"/>
        <w:jc w:val="center"/>
        <w:rPr>
          <w:rFonts w:ascii="Arial" w:hAnsi="Arial" w:cs="Arial"/>
          <w:b/>
        </w:rPr>
      </w:pPr>
      <w:r>
        <w:rPr>
          <w:rFonts w:ascii="Arial" w:hAnsi="Arial"/>
          <w:b/>
          <w:noProof/>
          <w:lang w:val="bs-Latn-BA" w:eastAsia="bs-Latn-BA"/>
        </w:rPr>
        <w:lastRenderedPageBreak/>
        <w:drawing>
          <wp:inline distT="0" distB="0" distL="0" distR="0" wp14:anchorId="4CC1BEBC" wp14:editId="7FC13E1C">
            <wp:extent cx="4041500" cy="3032794"/>
            <wp:effectExtent l="0" t="0" r="0" b="0"/>
            <wp:docPr id="28" name="Picture 28" descr="\\vstv-file\vstv$\Projekti\Projekt unapredjenja efikasnosti pravosudja\IJQ\AKTIVNOSTI\Foto za Amelu\1.3. Kvalitet sudskih odluka\Image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stv-file\vstv$\Projekti\Projekt unapredjenja efikasnosti pravosudja\IJQ\AKTIVNOSTI\Foto za Amelu\1.3. Kvalitet sudskih odluka\Image (3).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084667" cy="3065187"/>
                    </a:xfrm>
                    <a:prstGeom prst="rect">
                      <a:avLst/>
                    </a:prstGeom>
                    <a:noFill/>
                    <a:ln>
                      <a:noFill/>
                    </a:ln>
                  </pic:spPr>
                </pic:pic>
              </a:graphicData>
            </a:graphic>
          </wp:inline>
        </w:drawing>
      </w:r>
    </w:p>
    <w:p w14:paraId="59496455" w14:textId="77777777" w:rsidR="003E7651" w:rsidRPr="00ED047F" w:rsidRDefault="003E7651" w:rsidP="00A16CD8">
      <w:pPr>
        <w:pStyle w:val="TREINASLOV"/>
      </w:pPr>
      <w:bookmarkStart w:id="90" w:name="_Toc97722069"/>
      <w:bookmarkStart w:id="91" w:name="_Toc101944232"/>
      <w:bookmarkStart w:id="92" w:name="_Toc112852438"/>
      <w:r>
        <w:t>Initiating civil legislation reform</w:t>
      </w:r>
      <w:bookmarkEnd w:id="90"/>
      <w:bookmarkEnd w:id="91"/>
      <w:bookmarkEnd w:id="92"/>
    </w:p>
    <w:p w14:paraId="6F9AF92D" w14:textId="77777777" w:rsidR="003E7651" w:rsidRPr="00ED047F" w:rsidRDefault="003E7651" w:rsidP="00A16CD8">
      <w:pPr>
        <w:pStyle w:val="Tekst"/>
      </w:pPr>
      <w:r>
        <w:t xml:space="preserve">In 2021, the HJPC BiH, under the project </w:t>
      </w:r>
      <w:r>
        <w:rPr>
          <w:i/>
          <w:iCs/>
        </w:rPr>
        <w:t>Improving Court Efficiency and Accountability of Judges and Prosecutors in BiH,</w:t>
      </w:r>
      <w:r>
        <w:t xml:space="preserve"> began considering the reform of the appeal procedure in civil litigation. </w:t>
      </w:r>
    </w:p>
    <w:p w14:paraId="27562D8F" w14:textId="77777777" w:rsidR="003E7651" w:rsidRPr="00ED047F" w:rsidRDefault="003E7651" w:rsidP="00A16CD8">
      <w:pPr>
        <w:pStyle w:val="Tekst"/>
      </w:pPr>
      <w:r>
        <w:t xml:space="preserve">A detailed analysis of the state of appeal procedure before the courts in BiH was conducted, which indicated the specific needs for amendments to the applicable laws on civil procedure and other relevant regulations. </w:t>
      </w:r>
    </w:p>
    <w:p w14:paraId="301E8451" w14:textId="77777777" w:rsidR="003E7651" w:rsidRPr="00ED047F" w:rsidRDefault="003E7651" w:rsidP="00A16CD8">
      <w:pPr>
        <w:pStyle w:val="Tekst"/>
      </w:pPr>
      <w:r>
        <w:t xml:space="preserve">In the forthcoming period, an expert team consisting of representatives of the judiciary and academia, as well as experts in the field of civil law, will work on drafting a framework proposal for legislative amendments, as well as other measures affecting the number and duration of second instance civil proceedings. </w:t>
      </w:r>
    </w:p>
    <w:p w14:paraId="72C6BF05" w14:textId="77777777" w:rsidR="003E7651" w:rsidRPr="00ED047F" w:rsidRDefault="003E7651" w:rsidP="00A16CD8">
      <w:pPr>
        <w:pStyle w:val="Tekst"/>
      </w:pPr>
      <w:r>
        <w:t xml:space="preserve">Upon completion of the mandate of the expert team, the HJPC BiH will, in accordance with its legal competencies, forward an initiative for legislative amendments to the competent ministries. </w:t>
      </w:r>
    </w:p>
    <w:p w14:paraId="4D9B227E" w14:textId="77777777" w:rsidR="003E7651" w:rsidRPr="00ED047F" w:rsidRDefault="003E7651" w:rsidP="00A16CD8">
      <w:pPr>
        <w:pStyle w:val="TREINASLOV"/>
      </w:pPr>
      <w:bookmarkStart w:id="93" w:name="_Toc97722070"/>
      <w:bookmarkStart w:id="94" w:name="_Toc101944233"/>
      <w:bookmarkStart w:id="95" w:name="_Toc112852439"/>
      <w:r>
        <w:t>Assessment of independence, accountability and quality of justice according to the ENCJ Indicators</w:t>
      </w:r>
      <w:bookmarkEnd w:id="93"/>
      <w:bookmarkEnd w:id="94"/>
      <w:bookmarkEnd w:id="95"/>
    </w:p>
    <w:p w14:paraId="53872965" w14:textId="77777777" w:rsidR="003E7651" w:rsidRPr="00ED047F" w:rsidRDefault="003E7651" w:rsidP="00A16CD8">
      <w:pPr>
        <w:pStyle w:val="Tekst"/>
      </w:pPr>
      <w:r>
        <w:lastRenderedPageBreak/>
        <w:t>In 2021, for the first time, the HJPC BiH participated in the assessment of the independence, accountability and quality of the judiciary by applying the criteria of the ENCJ, which means that the measurement was performed in accordance with all European standards.</w:t>
      </w:r>
    </w:p>
    <w:p w14:paraId="034BD792" w14:textId="77777777" w:rsidR="003E7651" w:rsidRPr="00ED047F" w:rsidRDefault="003E7651" w:rsidP="00A16CD8">
      <w:pPr>
        <w:pStyle w:val="Tekst"/>
        <w:rPr>
          <w:rFonts w:eastAsia="Segoe UI"/>
          <w:color w:val="000000"/>
        </w:rPr>
      </w:pPr>
      <w:r>
        <w:rPr>
          <w:color w:val="000000"/>
        </w:rPr>
        <w:t>The results and steps achieved by the HJPC BiH in the implementation of this activity are extremely important for the institution and the judiciary, given that the opportunity was used for the Council to apply the tools of the ENCJ (questionnaires and surveys), to make an objective assessment of independence, responsibility and quality according to the ENCJ measurements, and to set priorities for its own work and the work of judicial institutions, to define effective mechanisms for meeting the identified priorities, which will ultimately lead to the alignment of the domestic judiciary with the EU justice systems.</w:t>
      </w:r>
    </w:p>
    <w:p w14:paraId="0F99A148" w14:textId="7EA6099C" w:rsidR="003E7651" w:rsidRPr="00ED047F" w:rsidRDefault="00BE3B39" w:rsidP="00A16CD8">
      <w:pPr>
        <w:pStyle w:val="Caption"/>
        <w:rPr>
          <w:rFonts w:eastAsia="Segoe UI"/>
        </w:rPr>
      </w:pPr>
      <w:r>
        <w:t>Image</w:t>
      </w:r>
      <w:r w:rsidR="00A16CD8">
        <w:t xml:space="preserve"> </w:t>
      </w:r>
      <w:r w:rsidR="006D1459">
        <w:fldChar w:fldCharType="begin"/>
      </w:r>
      <w:r w:rsidR="006D1459">
        <w:instrText xml:space="preserve"> SEQ Image \* ARABIC </w:instrText>
      </w:r>
      <w:r w:rsidR="006D1459">
        <w:fldChar w:fldCharType="separate"/>
      </w:r>
      <w:r w:rsidR="009E77AF">
        <w:rPr>
          <w:noProof/>
        </w:rPr>
        <w:t>19</w:t>
      </w:r>
      <w:r w:rsidR="006D1459">
        <w:rPr>
          <w:noProof/>
        </w:rPr>
        <w:fldChar w:fldCharType="end"/>
      </w:r>
      <w:r w:rsidR="003E7651">
        <w:t>: Meeting with representatives of the National Courts Administration of Norway and the Council for the Judiciary of the Netherlands on the application of the ENCJ’s principles.</w:t>
      </w:r>
    </w:p>
    <w:p w14:paraId="13CD0534" w14:textId="77777777" w:rsidR="003E7651" w:rsidRPr="00ED047F" w:rsidRDefault="003E7651" w:rsidP="003E7651">
      <w:pPr>
        <w:keepNext/>
        <w:jc w:val="center"/>
      </w:pPr>
      <w:r>
        <w:rPr>
          <w:rFonts w:ascii="Arial" w:hAnsi="Arial"/>
          <w:noProof/>
          <w:color w:val="000000"/>
          <w:lang w:val="bs-Latn-BA" w:eastAsia="bs-Latn-BA"/>
        </w:rPr>
        <w:drawing>
          <wp:inline distT="0" distB="0" distL="0" distR="0" wp14:anchorId="1FBD06D4" wp14:editId="31BBB4A7">
            <wp:extent cx="3533277" cy="2414081"/>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NCJ sastanak za GI.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542415" cy="2420324"/>
                    </a:xfrm>
                    <a:prstGeom prst="rect">
                      <a:avLst/>
                    </a:prstGeom>
                  </pic:spPr>
                </pic:pic>
              </a:graphicData>
            </a:graphic>
          </wp:inline>
        </w:drawing>
      </w:r>
    </w:p>
    <w:p w14:paraId="3B4D4F4B" w14:textId="77777777" w:rsidR="003E7651" w:rsidRPr="00ED047F" w:rsidRDefault="003E7651" w:rsidP="003E7651">
      <w:pPr>
        <w:spacing w:before="120" w:after="120"/>
        <w:jc w:val="both"/>
        <w:rPr>
          <w:rFonts w:ascii="Arial" w:hAnsi="Arial"/>
          <w:b/>
          <w:bCs/>
          <w:sz w:val="20"/>
          <w:szCs w:val="20"/>
        </w:rPr>
      </w:pPr>
    </w:p>
    <w:p w14:paraId="1FE7BAF4" w14:textId="77777777" w:rsidR="003E7651" w:rsidRPr="00ED047F" w:rsidRDefault="003E7651" w:rsidP="00A16CD8">
      <w:pPr>
        <w:pStyle w:val="Tekst"/>
        <w:rPr>
          <w:highlight w:val="yellow"/>
        </w:rPr>
      </w:pPr>
      <w:r>
        <w:t>The Report provides an overview of the state of the BiH judiciary and identifies areas of work of the HJPC BiH and the judiciary that are not in line with European standards and that require improvement. As such, the Report is the basis for determining the further course of action of the HJPC BiH, defined and aligned with the highest European standards.</w:t>
      </w:r>
    </w:p>
    <w:p w14:paraId="17FBD9CA" w14:textId="77777777" w:rsidR="003E7651" w:rsidRPr="00ED047F" w:rsidRDefault="003E7651" w:rsidP="00A16CD8">
      <w:pPr>
        <w:pStyle w:val="Tekst"/>
      </w:pPr>
      <w:r>
        <w:t xml:space="preserve">The key findings show that the HJPC BiH and the courts in BiH are working intensively to improve independence and accountability, and that the HJPC BiH is one of the few judicial councils in Europe to assess the quality of judgements. </w:t>
      </w:r>
    </w:p>
    <w:p w14:paraId="33DEE83C" w14:textId="77777777" w:rsidR="003E7651" w:rsidRPr="00ED047F" w:rsidRDefault="003E7651" w:rsidP="00A16CD8">
      <w:pPr>
        <w:pStyle w:val="Tekst"/>
      </w:pPr>
      <w:r>
        <w:t xml:space="preserve">The fact that the HJPC BiH, unlike other EU judicial councils, continuously conducts a survey of court users' satisfaction is also assessed as positive. </w:t>
      </w:r>
    </w:p>
    <w:p w14:paraId="09801513" w14:textId="77777777" w:rsidR="003E7651" w:rsidRPr="00ED047F" w:rsidRDefault="003E7651" w:rsidP="00A16CD8">
      <w:pPr>
        <w:pStyle w:val="Tekst"/>
      </w:pPr>
      <w:r>
        <w:lastRenderedPageBreak/>
        <w:t>At the same time, the Report points out that further progress is needed, in particular in the field of asset declarations, appointment and promotion of judges, ethics and ethical conduct of judicial office holders. Shortcomings were also identified in the field of media relations and transparency, which led to a negative perception of the independence of the judiciary.</w:t>
      </w:r>
    </w:p>
    <w:p w14:paraId="11B53420" w14:textId="77777777" w:rsidR="003E7651" w:rsidRPr="00ED047F" w:rsidRDefault="003E7651" w:rsidP="00A16CD8">
      <w:pPr>
        <w:pStyle w:val="Tekst"/>
      </w:pPr>
      <w:r>
        <w:t>In view of the above, the Report proved to be a good corrective and preventive tool that encouraged thematic meetings between members of the Council and representatives of the Norwegian Courts Administration, the Council for the Judiciary of the Netherlands and representatives of the ENCJ, with the aim of reviewing the structural, legal and institutional problems of the BiH judiciary, and determining the further direction of the HJPC BiH. The meetings also resulted in determining the need to initiate dialogue meetings with other actors, which have a direct or indirect impact on the work of the judiciary, in order to provide quality and objective information on the functioning of the judicial system and ultimately get a more objective picture of the current BiH judiciary.</w:t>
      </w:r>
    </w:p>
    <w:p w14:paraId="6F9D6845" w14:textId="77777777" w:rsidR="003E7651" w:rsidRPr="00ED047F" w:rsidRDefault="003E7651" w:rsidP="00A16CD8">
      <w:pPr>
        <w:pStyle w:val="Tekst"/>
      </w:pPr>
      <w:r>
        <w:t xml:space="preserve">The collected views and opinions of the professional community were formalised through the </w:t>
      </w:r>
      <w:r>
        <w:rPr>
          <w:i/>
          <w:iCs/>
        </w:rPr>
        <w:t xml:space="preserve">Fact Finding Report </w:t>
      </w:r>
      <w:r>
        <w:t>which assesses the response of the judiciary to challenges that threaten, but also factors that improve the independence and accountability of the entire judiciary.</w:t>
      </w:r>
    </w:p>
    <w:p w14:paraId="04B60533" w14:textId="77777777" w:rsidR="003E7651" w:rsidRPr="00ED047F" w:rsidRDefault="003E7651" w:rsidP="00A16CD8">
      <w:pPr>
        <w:pStyle w:val="Tekst"/>
      </w:pPr>
      <w:r>
        <w:t xml:space="preserve">This diagnostic instrument, together with the </w:t>
      </w:r>
      <w:r>
        <w:rPr>
          <w:i/>
          <w:iCs/>
        </w:rPr>
        <w:t>Report</w:t>
      </w:r>
      <w:r>
        <w:t xml:space="preserve"> prepared on the basis of the applied principles and tools of the ENCJ, will serve as a basis for determining priorities in the processes of reform and determining the direction in which these reforms should move. </w:t>
      </w:r>
    </w:p>
    <w:p w14:paraId="55F218D1" w14:textId="77777777" w:rsidR="003E7651" w:rsidRPr="00ED047F" w:rsidRDefault="003E7651" w:rsidP="00A16CD8">
      <w:pPr>
        <w:pStyle w:val="Tekst"/>
      </w:pPr>
      <w:r>
        <w:t>The analysis was carried out under the project</w:t>
      </w:r>
      <w:r>
        <w:rPr>
          <w:i/>
          <w:iCs/>
        </w:rPr>
        <w:t xml:space="preserve"> Improving Judicial Quality</w:t>
      </w:r>
      <w:r>
        <w:t>, and within the trilateral cooperation among the HJPC BiH and the Courts Administration of Norway and the Council for the Judiciary of the Netherlands.</w:t>
      </w:r>
    </w:p>
    <w:p w14:paraId="43AEF8F8" w14:textId="2F827527" w:rsidR="003E7651" w:rsidRPr="00ED047F" w:rsidRDefault="003E7651" w:rsidP="007D2964">
      <w:pPr>
        <w:pStyle w:val="TREINASLOV"/>
        <w:rPr>
          <w:noProof/>
        </w:rPr>
      </w:pPr>
      <w:bookmarkStart w:id="96" w:name="_Toc97722071"/>
      <w:bookmarkStart w:id="97" w:name="_Toc101944234"/>
      <w:bookmarkStart w:id="98" w:name="_Toc112852440"/>
      <w:r>
        <w:t>Reconstruction and modernisation of selected judicial buildings</w:t>
      </w:r>
      <w:bookmarkEnd w:id="96"/>
      <w:bookmarkEnd w:id="97"/>
      <w:bookmarkEnd w:id="98"/>
      <w:r>
        <w:t xml:space="preserve"> </w:t>
      </w:r>
    </w:p>
    <w:p w14:paraId="2A922347" w14:textId="77777777" w:rsidR="003E7651" w:rsidRPr="00ED047F" w:rsidRDefault="003E7651" w:rsidP="007D2964">
      <w:pPr>
        <w:pStyle w:val="Tekst"/>
        <w:rPr>
          <w:noProof/>
        </w:rPr>
      </w:pPr>
      <w:r>
        <w:t>After the completion of the tender procedure for the selection of contractors and supervision of the construction works, the construction and renovation of buildings of five judicial institutions began in October 2021. The works were funded by EU under IPA 2017, and the completion of works was planned in 12 months.</w:t>
      </w:r>
    </w:p>
    <w:p w14:paraId="436024D2" w14:textId="77777777" w:rsidR="003E7651" w:rsidRPr="00ED047F" w:rsidRDefault="003E7651" w:rsidP="007D2964">
      <w:pPr>
        <w:pStyle w:val="Tekst"/>
        <w:rPr>
          <w:noProof/>
        </w:rPr>
      </w:pPr>
      <w:r>
        <w:t>The High Judicial and Prosecutorial Council of Bosnia and Herzegovina, with the financial support of the Government of Sweden, and under the project</w:t>
      </w:r>
      <w:r>
        <w:rPr>
          <w:i/>
          <w:iCs/>
        </w:rPr>
        <w:t xml:space="preserve"> Improving Court Efficiency and Accountability of Judges and Prosecutors in BiH</w:t>
      </w:r>
      <w:r>
        <w:t xml:space="preserve">, provided project documentation for the construction of brand new buildings for </w:t>
      </w:r>
      <w:r w:rsidRPr="006817AF">
        <w:t>District Public Prosecutor's Office in Bijeljina, Municipal Court in Žepč</w:t>
      </w:r>
      <w:r>
        <w:t>e and part of the building of the Municipal Court in Zenica, while the buildings of the Basic Court in Prnjavor, the Basic Court in Mrkonjić-Grad and the ground floor of the existing building of the Municipal Court in Zenica will be renovated. The total value of the prepared project documentation, as well as all required studies (geomechanical reports, urban-technical conditions, studies on energy efficiency of buildings, review of project documentation), amounted to about BAM 160,000.</w:t>
      </w:r>
    </w:p>
    <w:p w14:paraId="5A7177CF" w14:textId="77777777" w:rsidR="003E7651" w:rsidRPr="00ED047F" w:rsidRDefault="003E7651" w:rsidP="007D2964">
      <w:pPr>
        <w:pStyle w:val="Tekst"/>
        <w:rPr>
          <w:noProof/>
        </w:rPr>
      </w:pPr>
      <w:r>
        <w:lastRenderedPageBreak/>
        <w:t>Infrastructural and technical solutions on the existing buildings of these judicial institutions could not meet the needs of a modern, efficient and citizen-friendly judiciary, which is why their adaptation and construction of new facilities is extremely important in establishing an efficient judicial system.</w:t>
      </w:r>
    </w:p>
    <w:p w14:paraId="4E0E3324" w14:textId="77777777" w:rsidR="003E7651" w:rsidRPr="00ED047F" w:rsidRDefault="003E7651" w:rsidP="003E7651">
      <w:pPr>
        <w:spacing w:before="120" w:after="120"/>
        <w:jc w:val="both"/>
        <w:rPr>
          <w:rFonts w:ascii="Arial" w:hAnsi="Arial"/>
          <w:b/>
          <w:bCs/>
          <w:sz w:val="20"/>
          <w:szCs w:val="20"/>
        </w:rPr>
        <w:sectPr w:rsidR="003E7651" w:rsidRPr="00ED047F" w:rsidSect="00C14585">
          <w:type w:val="continuous"/>
          <w:pgSz w:w="11906" w:h="16838" w:code="9"/>
          <w:pgMar w:top="1134" w:right="1134" w:bottom="1134" w:left="1701" w:header="709" w:footer="709" w:gutter="0"/>
          <w:cols w:space="708"/>
          <w:titlePg/>
          <w:docGrid w:linePitch="360"/>
        </w:sectPr>
      </w:pPr>
    </w:p>
    <w:p w14:paraId="11CCB7FC" w14:textId="77777777" w:rsidR="003E7651" w:rsidRPr="00ED047F" w:rsidRDefault="003E7651" w:rsidP="003E7651">
      <w:pPr>
        <w:spacing w:before="120" w:after="120"/>
        <w:jc w:val="both"/>
        <w:rPr>
          <w:rFonts w:ascii="Arial" w:hAnsi="Arial"/>
          <w:b/>
          <w:bCs/>
          <w:sz w:val="20"/>
          <w:szCs w:val="20"/>
        </w:rPr>
      </w:pPr>
    </w:p>
    <w:p w14:paraId="75BAF218" w14:textId="77777777" w:rsidR="003E7651" w:rsidRPr="00ED047F" w:rsidRDefault="003E7651" w:rsidP="003E7651">
      <w:pPr>
        <w:spacing w:before="120" w:after="120"/>
        <w:jc w:val="both"/>
        <w:rPr>
          <w:rFonts w:ascii="Arial" w:hAnsi="Arial"/>
          <w:b/>
          <w:bCs/>
          <w:sz w:val="20"/>
          <w:szCs w:val="20"/>
        </w:rPr>
        <w:sectPr w:rsidR="003E7651" w:rsidRPr="00ED047F" w:rsidSect="00C14585">
          <w:type w:val="continuous"/>
          <w:pgSz w:w="11906" w:h="16838" w:code="9"/>
          <w:pgMar w:top="1134" w:right="1134" w:bottom="1134" w:left="1701" w:header="709" w:footer="709" w:gutter="0"/>
          <w:cols w:space="708"/>
          <w:titlePg/>
          <w:docGrid w:linePitch="360"/>
        </w:sectPr>
      </w:pPr>
    </w:p>
    <w:p w14:paraId="14D2B062" w14:textId="77777777" w:rsidR="007D67AD" w:rsidRDefault="007D67AD">
      <w:pPr>
        <w:rPr>
          <w:rFonts w:ascii="Arial" w:hAnsi="Arial"/>
          <w:b/>
          <w:bCs/>
          <w:sz w:val="20"/>
          <w:szCs w:val="20"/>
        </w:rPr>
      </w:pPr>
      <w:r>
        <w:br w:type="page"/>
      </w:r>
    </w:p>
    <w:p w14:paraId="1FE681B9" w14:textId="7B69619D" w:rsidR="003E7651" w:rsidRPr="00ED047F" w:rsidRDefault="00BE3B39" w:rsidP="007D2964">
      <w:pPr>
        <w:pStyle w:val="Caption"/>
      </w:pPr>
      <w:r>
        <w:lastRenderedPageBreak/>
        <w:t>Image</w:t>
      </w:r>
      <w:r w:rsidR="007D2964">
        <w:t xml:space="preserve"> </w:t>
      </w:r>
      <w:r w:rsidR="006D1459">
        <w:fldChar w:fldCharType="begin"/>
      </w:r>
      <w:r w:rsidR="006D1459">
        <w:instrText xml:space="preserve"> SEQ Image \* ARABIC </w:instrText>
      </w:r>
      <w:r w:rsidR="006D1459">
        <w:fldChar w:fldCharType="separate"/>
      </w:r>
      <w:r w:rsidR="009E77AF">
        <w:rPr>
          <w:noProof/>
        </w:rPr>
        <w:t>20</w:t>
      </w:r>
      <w:r w:rsidR="006D1459">
        <w:rPr>
          <w:noProof/>
        </w:rPr>
        <w:fldChar w:fldCharType="end"/>
      </w:r>
      <w:r w:rsidR="003E7651">
        <w:t xml:space="preserve">: Municipal Court in Žepče                        </w:t>
      </w:r>
    </w:p>
    <w:p w14:paraId="690B6B8C" w14:textId="77A4DD6E" w:rsidR="003E7651" w:rsidRPr="00ED047F" w:rsidRDefault="00BE3B39" w:rsidP="007D2964">
      <w:pPr>
        <w:pStyle w:val="Caption"/>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21</w:t>
      </w:r>
      <w:r w:rsidR="006D1459">
        <w:rPr>
          <w:noProof/>
        </w:rPr>
        <w:fldChar w:fldCharType="end"/>
      </w:r>
      <w:r w:rsidR="003E7651">
        <w:t>: Condition of the archives of the Municipal Court in Žepče</w:t>
      </w:r>
    </w:p>
    <w:p w14:paraId="7629D5CA" w14:textId="77777777" w:rsidR="003E7651" w:rsidRPr="00ED047F" w:rsidRDefault="003E7651" w:rsidP="007D2964">
      <w:pPr>
        <w:pStyle w:val="Caption"/>
        <w:sectPr w:rsidR="003E7651" w:rsidRPr="00ED047F" w:rsidSect="003D3C46">
          <w:type w:val="continuous"/>
          <w:pgSz w:w="11906" w:h="16838" w:code="9"/>
          <w:pgMar w:top="1134" w:right="1134" w:bottom="1134" w:left="1701" w:header="709" w:footer="709" w:gutter="0"/>
          <w:cols w:num="2" w:space="708"/>
          <w:titlePg/>
          <w:docGrid w:linePitch="360"/>
        </w:sectPr>
      </w:pPr>
    </w:p>
    <w:p w14:paraId="3DFB90DB" w14:textId="77777777" w:rsidR="003E7651" w:rsidRPr="00ED047F" w:rsidRDefault="003E7651" w:rsidP="003E7651">
      <w:pPr>
        <w:keepNext/>
        <w:spacing w:before="80"/>
        <w:contextualSpacing/>
        <w:jc w:val="both"/>
      </w:pPr>
      <w:r>
        <w:rPr>
          <w:rFonts w:ascii="Arial" w:hAnsi="Arial"/>
          <w:noProof/>
          <w:lang w:val="bs-Latn-BA" w:eastAsia="bs-Latn-BA"/>
        </w:rPr>
        <w:drawing>
          <wp:inline distT="0" distB="0" distL="0" distR="0" wp14:anchorId="090E4902" wp14:editId="04137925">
            <wp:extent cx="2752061" cy="1548000"/>
            <wp:effectExtent l="0" t="0" r="0" b="0"/>
            <wp:docPr id="61" name="Picture 61" descr="\\vstv-file\vstv$\Projekti\Projekt unapredjenja efikasnosti pravosudja\JEDINICA ZA MODERNIZACIJU\UPITNICI-2016\UPITNIK O STANJU ZGRADA SUDOVA\Opštinski sud u Žepču\20160811_101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file\vstv$\Projekti\Projekt unapredjenja efikasnosti pravosudja\JEDINICA ZA MODERNIZACIJU\UPITNICI-2016\UPITNIK O STANJU ZGRADA SUDOVA\Opštinski sud u Žepču\20160811_101247.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52061" cy="1548000"/>
                    </a:xfrm>
                    <a:prstGeom prst="rect">
                      <a:avLst/>
                    </a:prstGeom>
                    <a:noFill/>
                    <a:ln>
                      <a:noFill/>
                    </a:ln>
                  </pic:spPr>
                </pic:pic>
              </a:graphicData>
            </a:graphic>
          </wp:inline>
        </w:drawing>
      </w:r>
      <w:r>
        <w:t xml:space="preserve">    </w:t>
      </w:r>
      <w:r>
        <w:rPr>
          <w:rFonts w:ascii="Arial" w:hAnsi="Arial"/>
          <w:noProof/>
          <w:lang w:val="bs-Latn-BA" w:eastAsia="bs-Latn-BA"/>
        </w:rPr>
        <w:drawing>
          <wp:inline distT="0" distB="0" distL="0" distR="0" wp14:anchorId="7A1B2261" wp14:editId="7E02EE4D">
            <wp:extent cx="2752059" cy="1548000"/>
            <wp:effectExtent l="0" t="0" r="0" b="0"/>
            <wp:docPr id="62" name="Picture 62" descr="\\vstv-file\vstv$\Projekti\Projekt unapredjenja efikasnosti pravosudja\JEDINICA ZA MODERNIZACIJU\UPITNICI-2016\UPITNIK O STANJU ZGRADA SUDOVA\Opštinski sud u Žepču\20160811_111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stv-file\vstv$\Projekti\Projekt unapredjenja efikasnosti pravosudja\JEDINICA ZA MODERNIZACIJU\UPITNICI-2016\UPITNIK O STANJU ZGRADA SUDOVA\Opštinski sud u Žepču\20160811_111714.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52059" cy="1548000"/>
                    </a:xfrm>
                    <a:prstGeom prst="rect">
                      <a:avLst/>
                    </a:prstGeom>
                    <a:noFill/>
                    <a:ln>
                      <a:noFill/>
                    </a:ln>
                  </pic:spPr>
                </pic:pic>
              </a:graphicData>
            </a:graphic>
          </wp:inline>
        </w:drawing>
      </w:r>
    </w:p>
    <w:p w14:paraId="76F0FFBE" w14:textId="77777777" w:rsidR="003E7651" w:rsidRPr="00ED047F" w:rsidRDefault="003E7651" w:rsidP="003E7651">
      <w:pPr>
        <w:spacing w:before="120" w:after="120"/>
        <w:jc w:val="both"/>
        <w:rPr>
          <w:rFonts w:ascii="Arial" w:hAnsi="Arial" w:cs="Arial"/>
          <w:b/>
          <w:bCs/>
          <w:noProof/>
          <w:szCs w:val="20"/>
        </w:rPr>
      </w:pPr>
    </w:p>
    <w:p w14:paraId="29A6005B" w14:textId="77777777" w:rsidR="003E7651" w:rsidRPr="00ED047F" w:rsidRDefault="003E7651" w:rsidP="003E7651">
      <w:pPr>
        <w:spacing w:before="120" w:after="120"/>
        <w:jc w:val="both"/>
        <w:rPr>
          <w:rFonts w:ascii="Arial" w:hAnsi="Arial"/>
          <w:b/>
          <w:bCs/>
          <w:sz w:val="20"/>
          <w:szCs w:val="20"/>
        </w:rPr>
        <w:sectPr w:rsidR="003E7651" w:rsidRPr="00ED047F" w:rsidSect="00C14585">
          <w:type w:val="continuous"/>
          <w:pgSz w:w="11906" w:h="16838" w:code="9"/>
          <w:pgMar w:top="1134" w:right="1134" w:bottom="1134" w:left="1701" w:header="709" w:footer="709" w:gutter="0"/>
          <w:cols w:space="708"/>
          <w:titlePg/>
          <w:docGrid w:linePitch="360"/>
        </w:sectPr>
      </w:pPr>
    </w:p>
    <w:p w14:paraId="1F92C303" w14:textId="3B1C8040" w:rsidR="003E7651" w:rsidRPr="00ED047F" w:rsidRDefault="00BE3B39" w:rsidP="007D2964">
      <w:pPr>
        <w:pStyle w:val="Caption"/>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22</w:t>
      </w:r>
      <w:r w:rsidR="006D1459">
        <w:rPr>
          <w:noProof/>
        </w:rPr>
        <w:fldChar w:fldCharType="end"/>
      </w:r>
      <w:r w:rsidR="003E7651">
        <w:t xml:space="preserve">: Condition of the boiler house in Mrkonjić-Grad                  </w:t>
      </w:r>
    </w:p>
    <w:p w14:paraId="03D67451" w14:textId="29B75C31" w:rsidR="003E7651" w:rsidRPr="00ED047F" w:rsidRDefault="00BE3B39" w:rsidP="007D2964">
      <w:pPr>
        <w:pStyle w:val="Caption"/>
        <w:rPr>
          <w:rFonts w:cs="Arial"/>
          <w:noProof/>
        </w:rPr>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23</w:t>
      </w:r>
      <w:r w:rsidR="006D1459">
        <w:rPr>
          <w:noProof/>
        </w:rPr>
        <w:fldChar w:fldCharType="end"/>
      </w:r>
      <w:r w:rsidR="003E7651">
        <w:t>: Appearance of the courtroom</w:t>
      </w:r>
    </w:p>
    <w:p w14:paraId="5538FFD9" w14:textId="77777777" w:rsidR="003E7651" w:rsidRPr="00ED047F" w:rsidRDefault="003E7651" w:rsidP="003E7651">
      <w:pPr>
        <w:spacing w:before="120" w:after="120"/>
        <w:rPr>
          <w:rFonts w:ascii="Arial" w:hAnsi="Arial"/>
          <w:b/>
          <w:bCs/>
          <w:sz w:val="20"/>
          <w:szCs w:val="20"/>
        </w:rPr>
        <w:sectPr w:rsidR="003E7651" w:rsidRPr="00ED047F" w:rsidSect="008408C2">
          <w:type w:val="continuous"/>
          <w:pgSz w:w="11906" w:h="16838" w:code="9"/>
          <w:pgMar w:top="1134" w:right="1134" w:bottom="1134" w:left="1701" w:header="709" w:footer="709" w:gutter="0"/>
          <w:cols w:num="2" w:space="708"/>
          <w:docGrid w:linePitch="360"/>
        </w:sectPr>
      </w:pPr>
    </w:p>
    <w:p w14:paraId="06BBF90F" w14:textId="77777777" w:rsidR="003E7651" w:rsidRPr="00ED047F" w:rsidRDefault="003E7651" w:rsidP="003E7651">
      <w:pPr>
        <w:keepNext/>
        <w:spacing w:before="80"/>
        <w:contextualSpacing/>
        <w:jc w:val="both"/>
      </w:pPr>
      <w:r>
        <w:rPr>
          <w:rFonts w:ascii="Arial" w:hAnsi="Arial"/>
          <w:noProof/>
          <w:lang w:val="bs-Latn-BA" w:eastAsia="bs-Latn-BA"/>
        </w:rPr>
        <w:drawing>
          <wp:inline distT="0" distB="0" distL="0" distR="0" wp14:anchorId="517D04F8" wp14:editId="443487D1">
            <wp:extent cx="2679701" cy="2009775"/>
            <wp:effectExtent l="0" t="0" r="6350" b="0"/>
            <wp:docPr id="63" name="Picture 63" descr="\\vstv-file\vstv$\Projekti\Projekt unapredjenja efikasnosti pravosudja\JEDINICA ZA MODERNIZACIJU\UPITNICI-2016\UPITNIK O STANJU ZGRADA SUDOVA\Osnovni sud u Mrkonjić Gradu\IMG_6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stv-file\vstv$\Projekti\Projekt unapredjenja efikasnosti pravosudja\JEDINICA ZA MODERNIZACIJU\UPITNICI-2016\UPITNIK O STANJU ZGRADA SUDOVA\Osnovni sud u Mrkonjić Gradu\IMG_659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81088" cy="2010815"/>
                    </a:xfrm>
                    <a:prstGeom prst="rect">
                      <a:avLst/>
                    </a:prstGeom>
                    <a:noFill/>
                    <a:ln>
                      <a:noFill/>
                    </a:ln>
                  </pic:spPr>
                </pic:pic>
              </a:graphicData>
            </a:graphic>
          </wp:inline>
        </w:drawing>
      </w:r>
      <w:r>
        <w:t xml:space="preserve">      </w:t>
      </w:r>
      <w:r>
        <w:rPr>
          <w:rFonts w:ascii="Arial" w:hAnsi="Arial"/>
          <w:noProof/>
          <w:lang w:val="bs-Latn-BA" w:eastAsia="bs-Latn-BA"/>
        </w:rPr>
        <w:drawing>
          <wp:inline distT="0" distB="0" distL="0" distR="0" wp14:anchorId="2E4B4215" wp14:editId="1832DB59">
            <wp:extent cx="2678399" cy="2008800"/>
            <wp:effectExtent l="0" t="0" r="8255" b="0"/>
            <wp:docPr id="64" name="Picture 64" descr="\\vstv-file\vstv$\Projekti\Projekt unapredjenja efikasnosti pravosudja\JEDINICA ZA MODERNIZACIJU\UPITNICI-2016\UPITNIK O STANJU ZGRADA SUDOVA\Osnovni sud u Mrkonjić Gradu\IMG_6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stv-file\vstv$\Projekti\Projekt unapredjenja efikasnosti pravosudja\JEDINICA ZA MODERNIZACIJU\UPITNICI-2016\UPITNIK O STANJU ZGRADA SUDOVA\Osnovni sud u Mrkonjić Gradu\IMG_659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78399" cy="2008800"/>
                    </a:xfrm>
                    <a:prstGeom prst="rect">
                      <a:avLst/>
                    </a:prstGeom>
                    <a:noFill/>
                    <a:ln>
                      <a:noFill/>
                    </a:ln>
                  </pic:spPr>
                </pic:pic>
              </a:graphicData>
            </a:graphic>
          </wp:inline>
        </w:drawing>
      </w:r>
    </w:p>
    <w:p w14:paraId="6320B9EE" w14:textId="77777777" w:rsidR="00C86A4D" w:rsidRDefault="00C86A4D" w:rsidP="007D2964">
      <w:pPr>
        <w:pStyle w:val="Caption"/>
      </w:pPr>
    </w:p>
    <w:p w14:paraId="7E60477E" w14:textId="3689E4F1" w:rsidR="003E7651" w:rsidRPr="00ED047F" w:rsidRDefault="00BE3B39" w:rsidP="007D2964">
      <w:pPr>
        <w:pStyle w:val="Caption"/>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24</w:t>
      </w:r>
      <w:r w:rsidR="006D1459">
        <w:rPr>
          <w:noProof/>
        </w:rPr>
        <w:fldChar w:fldCharType="end"/>
      </w:r>
      <w:r w:rsidR="003E7651">
        <w:t>: Construction of a new part of the building of the Municipal Court in Zenica</w:t>
      </w:r>
    </w:p>
    <w:p w14:paraId="4EA39CCA" w14:textId="77777777" w:rsidR="003E7651" w:rsidRPr="00ED047F" w:rsidRDefault="003E7651" w:rsidP="003E7651">
      <w:pPr>
        <w:keepNext/>
        <w:spacing w:before="80"/>
        <w:contextualSpacing/>
        <w:jc w:val="both"/>
      </w:pPr>
      <w:r>
        <w:rPr>
          <w:rFonts w:ascii="Arial" w:hAnsi="Arial"/>
          <w:b/>
        </w:rPr>
        <w:lastRenderedPageBreak/>
        <w:t xml:space="preserve">         </w:t>
      </w:r>
      <w:r>
        <w:rPr>
          <w:noProof/>
          <w:lang w:val="bs-Latn-BA" w:eastAsia="bs-Latn-BA"/>
        </w:rPr>
        <w:drawing>
          <wp:inline distT="0" distB="0" distL="0" distR="0" wp14:anchorId="7215B640" wp14:editId="45FDBC0C">
            <wp:extent cx="2057400" cy="2743048"/>
            <wp:effectExtent l="0" t="0" r="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71302" cy="2761583"/>
                    </a:xfrm>
                    <a:prstGeom prst="rect">
                      <a:avLst/>
                    </a:prstGeom>
                    <a:noFill/>
                  </pic:spPr>
                </pic:pic>
              </a:graphicData>
            </a:graphic>
          </wp:inline>
        </w:drawing>
      </w:r>
      <w:r>
        <w:rPr>
          <w:rFonts w:ascii="Arial" w:hAnsi="Arial"/>
          <w:b/>
        </w:rPr>
        <w:t xml:space="preserve">                    </w:t>
      </w:r>
      <w:r>
        <w:rPr>
          <w:noProof/>
          <w:lang w:val="bs-Latn-BA" w:eastAsia="bs-Latn-BA"/>
        </w:rPr>
        <w:drawing>
          <wp:inline distT="0" distB="0" distL="0" distR="0" wp14:anchorId="3223E982" wp14:editId="26C1EF34">
            <wp:extent cx="2038350" cy="2717881"/>
            <wp:effectExtent l="0" t="0" r="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zenica izgradnja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040059" cy="2720159"/>
                    </a:xfrm>
                    <a:prstGeom prst="rect">
                      <a:avLst/>
                    </a:prstGeom>
                  </pic:spPr>
                </pic:pic>
              </a:graphicData>
            </a:graphic>
          </wp:inline>
        </w:drawing>
      </w:r>
    </w:p>
    <w:p w14:paraId="75C2E080" w14:textId="77777777" w:rsidR="003E7651" w:rsidRPr="00ED047F" w:rsidRDefault="003E7651" w:rsidP="003E7651">
      <w:pPr>
        <w:spacing w:before="120" w:after="120"/>
        <w:jc w:val="both"/>
        <w:rPr>
          <w:rFonts w:ascii="Arial" w:hAnsi="Arial"/>
          <w:b/>
          <w:bCs/>
          <w:sz w:val="20"/>
          <w:szCs w:val="20"/>
        </w:rPr>
      </w:pPr>
    </w:p>
    <w:p w14:paraId="502B76A6" w14:textId="77777777" w:rsidR="003E7651" w:rsidRPr="00ED047F" w:rsidRDefault="003E7651" w:rsidP="003E7651">
      <w:pPr>
        <w:spacing w:before="120" w:after="120"/>
        <w:jc w:val="both"/>
        <w:rPr>
          <w:rFonts w:ascii="Arial" w:hAnsi="Arial"/>
          <w:b/>
          <w:bCs/>
          <w:sz w:val="20"/>
          <w:szCs w:val="20"/>
        </w:rPr>
        <w:sectPr w:rsidR="003E7651" w:rsidRPr="00ED047F" w:rsidSect="00C14585">
          <w:type w:val="continuous"/>
          <w:pgSz w:w="11906" w:h="16838" w:code="9"/>
          <w:pgMar w:top="1134" w:right="1134" w:bottom="1134" w:left="1701" w:header="709" w:footer="709" w:gutter="0"/>
          <w:cols w:space="708"/>
          <w:titlePg/>
          <w:docGrid w:linePitch="360"/>
        </w:sectPr>
      </w:pPr>
    </w:p>
    <w:p w14:paraId="1A77E337" w14:textId="77777777" w:rsidR="007D67AD" w:rsidRDefault="007D67AD">
      <w:pPr>
        <w:rPr>
          <w:rFonts w:ascii="Arial" w:hAnsi="Arial"/>
          <w:b/>
          <w:bCs/>
          <w:sz w:val="20"/>
          <w:szCs w:val="20"/>
        </w:rPr>
      </w:pPr>
      <w:r>
        <w:br w:type="page"/>
      </w:r>
    </w:p>
    <w:p w14:paraId="2E73AABA" w14:textId="4C6A0613" w:rsidR="003E7651" w:rsidRPr="00ED047F" w:rsidRDefault="00BE3B39" w:rsidP="007D2964">
      <w:pPr>
        <w:pStyle w:val="Caption"/>
      </w:pPr>
      <w:r>
        <w:lastRenderedPageBreak/>
        <w:t>Image</w:t>
      </w:r>
      <w:r w:rsidR="007D2964">
        <w:t xml:space="preserve"> </w:t>
      </w:r>
      <w:r w:rsidR="006D1459">
        <w:fldChar w:fldCharType="begin"/>
      </w:r>
      <w:r w:rsidR="006D1459">
        <w:instrText xml:space="preserve"> SEQ Image \* ARABIC </w:instrText>
      </w:r>
      <w:r w:rsidR="006D1459">
        <w:fldChar w:fldCharType="separate"/>
      </w:r>
      <w:r w:rsidR="009E77AF">
        <w:rPr>
          <w:noProof/>
        </w:rPr>
        <w:t>25</w:t>
      </w:r>
      <w:r w:rsidR="006D1459">
        <w:rPr>
          <w:noProof/>
        </w:rPr>
        <w:fldChar w:fldCharType="end"/>
      </w:r>
      <w:r w:rsidR="003E7651">
        <w:t xml:space="preserve">: Future appearance of the Basic Court in Mrkonjić-Grad                      </w:t>
      </w:r>
    </w:p>
    <w:p w14:paraId="2669750B" w14:textId="00669FA7" w:rsidR="003E7651" w:rsidRPr="00ED047F" w:rsidRDefault="00BE3B39" w:rsidP="007D2964">
      <w:pPr>
        <w:pStyle w:val="Caption"/>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26</w:t>
      </w:r>
      <w:r w:rsidR="006D1459">
        <w:rPr>
          <w:noProof/>
        </w:rPr>
        <w:fldChar w:fldCharType="end"/>
      </w:r>
      <w:r w:rsidR="003E7651">
        <w:t>: Future appearance of the Basic Court in Žepče</w:t>
      </w:r>
    </w:p>
    <w:p w14:paraId="36BBE7CF" w14:textId="77777777" w:rsidR="003E7651" w:rsidRPr="00ED047F" w:rsidRDefault="003E7651" w:rsidP="007D2964">
      <w:pPr>
        <w:pStyle w:val="Caption"/>
        <w:sectPr w:rsidR="003E7651" w:rsidRPr="00ED047F" w:rsidSect="003D3C46">
          <w:type w:val="continuous"/>
          <w:pgSz w:w="11906" w:h="16838" w:code="9"/>
          <w:pgMar w:top="1134" w:right="1134" w:bottom="1134" w:left="1701" w:header="709" w:footer="709" w:gutter="0"/>
          <w:cols w:num="2" w:space="708"/>
          <w:titlePg/>
          <w:docGrid w:linePitch="360"/>
        </w:sectPr>
      </w:pPr>
    </w:p>
    <w:p w14:paraId="61B8CE9B" w14:textId="7E1414C2" w:rsidR="003E7651" w:rsidRPr="00ED047F" w:rsidRDefault="003E7651" w:rsidP="003E7651">
      <w:r>
        <w:rPr>
          <w:noProof/>
          <w:lang w:val="bs-Latn-BA" w:eastAsia="bs-Latn-BA"/>
        </w:rPr>
        <w:drawing>
          <wp:inline distT="0" distB="0" distL="0" distR="0" wp14:anchorId="79026299" wp14:editId="6B8D7713">
            <wp:extent cx="2678400" cy="1505270"/>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rkonjic Grad.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78400" cy="1505270"/>
                    </a:xfrm>
                    <a:prstGeom prst="rect">
                      <a:avLst/>
                    </a:prstGeom>
                  </pic:spPr>
                </pic:pic>
              </a:graphicData>
            </a:graphic>
          </wp:inline>
        </w:drawing>
      </w:r>
      <w:r>
        <w:t xml:space="preserve">   </w:t>
      </w:r>
      <w:r w:rsidR="007D2964">
        <w:t xml:space="preserve">     </w:t>
      </w:r>
      <w:r>
        <w:t xml:space="preserve">  </w:t>
      </w:r>
      <w:r>
        <w:rPr>
          <w:noProof/>
          <w:lang w:val="bs-Latn-BA" w:eastAsia="bs-Latn-BA"/>
        </w:rPr>
        <w:drawing>
          <wp:inline distT="0" distB="0" distL="0" distR="0" wp14:anchorId="2D1DF888" wp14:editId="71D45125">
            <wp:extent cx="2678400" cy="1505267"/>
            <wp:effectExtent l="0" t="0" r="825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Zepče.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78400" cy="1505267"/>
                    </a:xfrm>
                    <a:prstGeom prst="rect">
                      <a:avLst/>
                    </a:prstGeom>
                  </pic:spPr>
                </pic:pic>
              </a:graphicData>
            </a:graphic>
          </wp:inline>
        </w:drawing>
      </w:r>
    </w:p>
    <w:p w14:paraId="0C0E9860" w14:textId="2CC95643" w:rsidR="003E7651" w:rsidRPr="00ED047F" w:rsidRDefault="003E7651" w:rsidP="00C86A4D">
      <w:pPr>
        <w:spacing w:before="120" w:after="120"/>
        <w:jc w:val="both"/>
        <w:rPr>
          <w:rFonts w:ascii="Arial" w:hAnsi="Arial" w:cs="Arial"/>
          <w:b/>
          <w:noProof/>
        </w:rPr>
      </w:pPr>
      <w:r>
        <w:rPr>
          <w:rFonts w:ascii="Arial" w:hAnsi="Arial"/>
          <w:b/>
          <w:bCs/>
          <w:sz w:val="20"/>
          <w:szCs w:val="20"/>
        </w:rPr>
        <w:t xml:space="preserve">       </w:t>
      </w:r>
    </w:p>
    <w:p w14:paraId="26F8498F" w14:textId="03B8B749" w:rsidR="003E7651" w:rsidRPr="00ED047F" w:rsidRDefault="003E7651" w:rsidP="007D2964">
      <w:pPr>
        <w:pStyle w:val="etvrtinaslov0"/>
        <w:rPr>
          <w:noProof/>
        </w:rPr>
      </w:pPr>
      <w:bookmarkStart w:id="99" w:name="_Toc101944235"/>
      <w:bookmarkStart w:id="100" w:name="_Toc112852441"/>
      <w:r>
        <w:t>Conversion of the Miljacka Prison premises</w:t>
      </w:r>
      <w:bookmarkEnd w:id="99"/>
      <w:bookmarkEnd w:id="100"/>
    </w:p>
    <w:p w14:paraId="1E2AACA5" w14:textId="77777777" w:rsidR="003E7651" w:rsidRPr="00ED047F" w:rsidRDefault="003E7651" w:rsidP="007D2964">
      <w:pPr>
        <w:pStyle w:val="Tekst"/>
        <w:rPr>
          <w:noProof/>
        </w:rPr>
      </w:pPr>
      <w:r>
        <w:t>In recent years, through the involvement of the HJPC BiH and with the help of international donors, a significant number of court and public prosecutor's buildings in Bosnia and Herzegovina have been completely renovated or built, and the practice has continued this year as well.</w:t>
      </w:r>
    </w:p>
    <w:p w14:paraId="662E0A89" w14:textId="77777777" w:rsidR="003E7651" w:rsidRPr="00ED047F" w:rsidRDefault="003E7651" w:rsidP="007D2964">
      <w:pPr>
        <w:pStyle w:val="Tekst"/>
        <w:rPr>
          <w:noProof/>
        </w:rPr>
      </w:pPr>
      <w:r>
        <w:t>The building of the Palace of Justice in Sarajevo is positioned at the very top of the list of priorities in the renovation of the buildings of judicial institutions, because the building itself does not meet the requirements of modern times, and the lack of office space does not allow the efficient operation of two courts. Although adapted in 2009 with the help of donors and local authorities, the problem of lack of space is still present.</w:t>
      </w:r>
    </w:p>
    <w:p w14:paraId="0F570662" w14:textId="77777777" w:rsidR="003E7651" w:rsidRPr="00ED047F" w:rsidRDefault="003E7651" w:rsidP="007D2964">
      <w:pPr>
        <w:pStyle w:val="Tekst"/>
        <w:rPr>
          <w:rFonts w:eastAsia="Calibri"/>
        </w:rPr>
      </w:pPr>
      <w:r>
        <w:t xml:space="preserve">In order to solve the constant problem of the accommodation capacity of judicial institutions in Sarajevo, the HJPC BiH assumed a role in solving it and in 2014 proposed the construction of a new facility to house the Cantonal Prosecutor's Office in Sarajevo or the Cantonal Court in Sarajevo. As there were no available plots in the town centre and none of the institutions accepted this proposal, we resorted to finding another solution. </w:t>
      </w:r>
    </w:p>
    <w:p w14:paraId="189CA490" w14:textId="77777777" w:rsidR="003E7651" w:rsidRPr="00ED047F" w:rsidRDefault="003E7651" w:rsidP="007D2964">
      <w:pPr>
        <w:pStyle w:val="Tekst"/>
        <w:rPr>
          <w:noProof/>
        </w:rPr>
      </w:pPr>
      <w:r>
        <w:t>In 2017, the HJPC BiH submitted a proposal to the FBiH Ministry of Justice to find a solution to this problem, which consisted of moving the Miljacka Prison in Sarajevo to a new location, which would create more room for the Cantonal Court in Sarajevo and the Municipal Court in Sarajevo.</w:t>
      </w:r>
    </w:p>
    <w:p w14:paraId="4C61DC50" w14:textId="77777777" w:rsidR="003E7651" w:rsidRPr="00ED047F" w:rsidRDefault="003E7651" w:rsidP="007D2964">
      <w:pPr>
        <w:pStyle w:val="Tekst"/>
        <w:rPr>
          <w:noProof/>
        </w:rPr>
      </w:pPr>
      <w:r>
        <w:t xml:space="preserve">It is important to recall in this part that in the  processes for programming EU pre-accession assistance under IPA 2017, due to significance of the issue, in order to support dislocation of Miljacka Prison, the HJPC BiH has changed the purpose of the 1,500,000 EUR grant that was initially intended for modernisation of the buildings of judicial institutions in the FBiH. The construction of the Miljacka Prison began in 2021, and it is funded by EU under IPA programme </w:t>
      </w:r>
      <w:r>
        <w:lastRenderedPageBreak/>
        <w:t>and the FBiH Government. Completion of the construction works is planned for the end of 2022, after which the conditions for the relocation of the prison will be met.</w:t>
      </w:r>
    </w:p>
    <w:p w14:paraId="614DC526" w14:textId="77777777" w:rsidR="003E7651" w:rsidRPr="00ED047F" w:rsidRDefault="003E7651" w:rsidP="007D2964">
      <w:pPr>
        <w:pStyle w:val="Tekst"/>
        <w:rPr>
          <w:noProof/>
        </w:rPr>
      </w:pPr>
      <w:r>
        <w:t>This is a prerequisite for beginning the expansion of the accommodation capacities of the Cantonal Court in Sarajevo and the Municipal Court in Sarajevo.</w:t>
      </w:r>
    </w:p>
    <w:p w14:paraId="7F9125B5" w14:textId="77777777" w:rsidR="003E7651" w:rsidRPr="00ED047F" w:rsidRDefault="003E7651" w:rsidP="007D2964">
      <w:pPr>
        <w:pStyle w:val="Tekst"/>
        <w:rPr>
          <w:noProof/>
        </w:rPr>
      </w:pPr>
      <w:r>
        <w:t>As in previous years, the Government of Norway proved to be a solid partner of the HJPC BiH in the process of improving the working conditions of judicial institutions in BiH, and under the project</w:t>
      </w:r>
      <w:r>
        <w:rPr>
          <w:i/>
          <w:iCs/>
        </w:rPr>
        <w:t xml:space="preserve"> Improving Judicial Quality</w:t>
      </w:r>
      <w:r>
        <w:t>, in the part related to the modernisation and reconstruction of the buildings of judicial institutions, in 2021, it funded development of project documentation for the reconstruction of the semi-open prison</w:t>
      </w:r>
      <w:r w:rsidRPr="00B0397F">
        <w:t xml:space="preserve"> </w:t>
      </w:r>
      <w:r w:rsidRPr="00B0397F">
        <w:rPr>
          <w:iCs/>
        </w:rPr>
        <w:t>Miljacka</w:t>
      </w:r>
      <w:r>
        <w:rPr>
          <w:i/>
          <w:iCs/>
        </w:rPr>
        <w:t xml:space="preserve"> </w:t>
      </w:r>
      <w:r>
        <w:t>based in Sarajevo, in order to expand the room for Cantonal Court in Sarajevo and the Municipal Court in Sarajevo. The value of the project documentation was BAM 69,500.00. Review of the project documentation amounted to BAM 9,850.00 and it was also paid from these funds.</w:t>
      </w:r>
    </w:p>
    <w:p w14:paraId="7E6087F6" w14:textId="77777777" w:rsidR="003E7651" w:rsidRPr="00ED047F" w:rsidRDefault="003E7651" w:rsidP="007D2964">
      <w:pPr>
        <w:pStyle w:val="Tekst"/>
        <w:rPr>
          <w:noProof/>
        </w:rPr>
      </w:pPr>
      <w:r>
        <w:t>Given that this is a building that is under the protection of the Commission for the Preservation of National Monuments of BiH, the design and technical documentation was prepared in accordance with the relevant regulations of the FBiH Ministry of Spatial Planning and the Commission for the Preservation of National Monuments of BiH, on the basis of which it will be possible to obtain the necessary approvals and permits.</w:t>
      </w:r>
    </w:p>
    <w:p w14:paraId="584CE845" w14:textId="77777777" w:rsidR="003E7651" w:rsidRPr="00ED047F" w:rsidRDefault="003E7651" w:rsidP="007D2964">
      <w:pPr>
        <w:pStyle w:val="Tekst"/>
        <w:rPr>
          <w:noProof/>
        </w:rPr>
      </w:pPr>
      <w:r>
        <w:t xml:space="preserve">By renovating the premises of the Miljacka Prison, the Cantonal Court in Sarajevo and the Municipal Court in Sarajevo will have expanded accommodation capacities, which will meet the long-term needs of these institutions and enable filling out vacancies under the jobs systematisation. The planned construction works would improve the functional organisation, as well as working conditions, both for employees and the public. Furthermore, the construction works would improve both access for people with disabilities and energy efficiency. </w:t>
      </w:r>
    </w:p>
    <w:p w14:paraId="19777B4E" w14:textId="77777777" w:rsidR="003E7651" w:rsidRPr="00ED047F" w:rsidRDefault="003E7651" w:rsidP="007D2964">
      <w:pPr>
        <w:pStyle w:val="Tekst"/>
        <w:rPr>
          <w:noProof/>
        </w:rPr>
      </w:pPr>
      <w:r>
        <w:t xml:space="preserve">With this project, in addition to the courts, the accommodation of the judicial police will be addressed as to have the adequate functioning of the courts within the Palace of Justice, especially with regard to the processing of criminal and minor offence cases. Taking into account the Guidelines for security standards and measures for judicial institutions and judicial office holders in Bosnia and Herzegovina, the judicial police will be provided with sufficient capacity of detention rooms and an adequate level of their security.      </w:t>
      </w:r>
    </w:p>
    <w:p w14:paraId="17C229D1" w14:textId="62925B14" w:rsidR="003E7651" w:rsidRDefault="003E7651" w:rsidP="007D2964">
      <w:pPr>
        <w:pStyle w:val="Tekst"/>
      </w:pPr>
      <w:r>
        <w:t>The future external and internal appearance of the existing building of the Miljacka Prison was presented at one of the meetings of all relevant actors involved in solving the problem of accommodation capacity of the Miljacka Prison and the courts.</w:t>
      </w:r>
    </w:p>
    <w:p w14:paraId="23BD07F4" w14:textId="77777777" w:rsidR="00C86A4D" w:rsidRPr="00ED047F" w:rsidRDefault="00C86A4D" w:rsidP="007D2964">
      <w:pPr>
        <w:pStyle w:val="Tekst"/>
        <w:rPr>
          <w:noProof/>
        </w:rPr>
      </w:pPr>
    </w:p>
    <w:p w14:paraId="1CB9DE9F" w14:textId="4E70A2FB" w:rsidR="003E7651" w:rsidRPr="00ED047F" w:rsidRDefault="00BE3B39" w:rsidP="007D2964">
      <w:pPr>
        <w:pStyle w:val="Caption"/>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27</w:t>
      </w:r>
      <w:r w:rsidR="006D1459">
        <w:rPr>
          <w:noProof/>
        </w:rPr>
        <w:fldChar w:fldCharType="end"/>
      </w:r>
      <w:r w:rsidR="003E7651">
        <w:t>: Future appearance of the Miljacka Prison</w:t>
      </w:r>
    </w:p>
    <w:p w14:paraId="219E47EA" w14:textId="77777777" w:rsidR="003E7651" w:rsidRPr="00ED047F" w:rsidRDefault="003E7651" w:rsidP="003E7651">
      <w:pPr>
        <w:spacing w:before="120" w:after="120"/>
        <w:rPr>
          <w:rFonts w:ascii="Arial" w:hAnsi="Arial"/>
          <w:b/>
          <w:bCs/>
          <w:sz w:val="20"/>
          <w:szCs w:val="20"/>
        </w:rPr>
      </w:pPr>
      <w:r>
        <w:rPr>
          <w:rFonts w:ascii="Arial" w:hAnsi="Arial"/>
          <w:b/>
          <w:bCs/>
          <w:noProof/>
          <w:sz w:val="20"/>
          <w:szCs w:val="20"/>
          <w:lang w:val="bs-Latn-BA" w:eastAsia="bs-Latn-BA"/>
        </w:rPr>
        <w:lastRenderedPageBreak/>
        <w:drawing>
          <wp:inline distT="0" distB="0" distL="0" distR="0" wp14:anchorId="7939ED2D" wp14:editId="3E4CD78D">
            <wp:extent cx="2834738" cy="1512000"/>
            <wp:effectExtent l="0" t="0" r="3810" b="0"/>
            <wp:docPr id="51" name="Picture 51" descr="C:\Users\boris.zubac\AppData\Local\Microsoft\Windows\INetCache\Content.Outlook\IHJ16EAU\KPZ-3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ris.zubac\AppData\Local\Microsoft\Windows\INetCache\Content.Outlook\IHJ16EAU\KPZ-3 (002).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34738" cy="1512000"/>
                    </a:xfrm>
                    <a:prstGeom prst="rect">
                      <a:avLst/>
                    </a:prstGeom>
                    <a:noFill/>
                    <a:ln>
                      <a:noFill/>
                    </a:ln>
                  </pic:spPr>
                </pic:pic>
              </a:graphicData>
            </a:graphic>
          </wp:inline>
        </w:drawing>
      </w:r>
      <w:r>
        <w:rPr>
          <w:rFonts w:ascii="Arial" w:hAnsi="Arial"/>
          <w:b/>
          <w:bCs/>
          <w:sz w:val="20"/>
          <w:szCs w:val="20"/>
        </w:rPr>
        <w:t xml:space="preserve"> </w:t>
      </w:r>
      <w:r>
        <w:rPr>
          <w:noProof/>
          <w:lang w:val="bs-Latn-BA" w:eastAsia="bs-Latn-BA"/>
        </w:rPr>
        <w:drawing>
          <wp:inline distT="0" distB="0" distL="0" distR="0" wp14:anchorId="24F60DF9" wp14:editId="0E82C374">
            <wp:extent cx="2834737" cy="1512000"/>
            <wp:effectExtent l="0" t="0" r="3810" b="0"/>
            <wp:docPr id="52" name="Picture 52" descr="C:\Users\boris.zubac\AppData\Local\Microsoft\Windows\INetCache\Content.Outlook\IHJ16EAU\KPZ-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ris.zubac\AppData\Local\Microsoft\Windows\INetCache\Content.Outlook\IHJ16EAU\KPZ-1 (002).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34737" cy="1512000"/>
                    </a:xfrm>
                    <a:prstGeom prst="rect">
                      <a:avLst/>
                    </a:prstGeom>
                    <a:noFill/>
                    <a:ln>
                      <a:noFill/>
                    </a:ln>
                  </pic:spPr>
                </pic:pic>
              </a:graphicData>
            </a:graphic>
          </wp:inline>
        </w:drawing>
      </w:r>
    </w:p>
    <w:p w14:paraId="3DD4782D" w14:textId="24B97B6C" w:rsidR="00C86A4D" w:rsidRDefault="00C86A4D">
      <w:pPr>
        <w:rPr>
          <w:rFonts w:ascii="Arial" w:hAnsi="Arial" w:cs="Arial"/>
          <w:b/>
          <w:bCs/>
          <w:iCs/>
          <w:kern w:val="32"/>
          <w:sz w:val="26"/>
          <w:szCs w:val="26"/>
          <w:lang w:eastAsia="hr-HR"/>
        </w:rPr>
      </w:pPr>
      <w:bookmarkStart w:id="101" w:name="_Toc97722072"/>
      <w:bookmarkStart w:id="102" w:name="_Toc101944236"/>
    </w:p>
    <w:p w14:paraId="4DDA5BD8" w14:textId="2B0C6AD1" w:rsidR="003E7651" w:rsidRPr="00ED047F" w:rsidRDefault="003E7651" w:rsidP="007D2964">
      <w:pPr>
        <w:pStyle w:val="TREINASLOV"/>
      </w:pPr>
      <w:bookmarkStart w:id="103" w:name="_Toc112852442"/>
      <w:r>
        <w:t>More proactive communication by the courts leads to greater transparency</w:t>
      </w:r>
      <w:bookmarkEnd w:id="101"/>
      <w:bookmarkEnd w:id="102"/>
      <w:bookmarkEnd w:id="103"/>
    </w:p>
    <w:p w14:paraId="4D024DFA" w14:textId="77777777" w:rsidR="003E7651" w:rsidRPr="00ED047F" w:rsidRDefault="003E7651" w:rsidP="007D2964">
      <w:pPr>
        <w:pStyle w:val="etvrtinaslov0"/>
      </w:pPr>
      <w:bookmarkStart w:id="104" w:name="_Toc101944237"/>
      <w:bookmarkStart w:id="105" w:name="_Toc112852443"/>
      <w:r>
        <w:t>New communication practices in judicial institutions in Bosnia and Herzegovina</w:t>
      </w:r>
      <w:bookmarkEnd w:id="104"/>
      <w:bookmarkEnd w:id="105"/>
    </w:p>
    <w:p w14:paraId="6C7647DC" w14:textId="77777777" w:rsidR="003E7651" w:rsidRPr="00ED047F" w:rsidRDefault="003E7651" w:rsidP="007D2964">
      <w:pPr>
        <w:pStyle w:val="Tekst"/>
      </w:pPr>
      <w:r>
        <w:t>Strengthening the transparency of the courts, primarily through the improvement of communication activities, was the focus of the work of the HJPC BiH throughout the year.</w:t>
      </w:r>
    </w:p>
    <w:p w14:paraId="10AFAD2C" w14:textId="77777777" w:rsidR="003E7651" w:rsidRPr="00ED047F" w:rsidRDefault="003E7651" w:rsidP="007D2964">
      <w:pPr>
        <w:pStyle w:val="Tekst"/>
      </w:pPr>
      <w:r>
        <w:t>The result of intensive work was the adoption of the Communication Strategy of the HJPC BiH, developed guidelines for media reporting, a developed set of tools for effective court communication with the media, as well as new techniques for using communication tools and channels.</w:t>
      </w:r>
    </w:p>
    <w:p w14:paraId="3E933A57" w14:textId="77777777" w:rsidR="003E7651" w:rsidRPr="00ED047F" w:rsidRDefault="003E7651" w:rsidP="007D2964">
      <w:pPr>
        <w:pStyle w:val="Tekst"/>
      </w:pPr>
      <w:r>
        <w:t xml:space="preserve">The Communication Strategy represents a kind of "umbrella" strategy for all judicial institutions, which will significantly contribute to the uniformity of communication practices, and which will directly reflect on the strengthening of the transparency of their work. </w:t>
      </w:r>
    </w:p>
    <w:p w14:paraId="3131EEC7" w14:textId="77777777" w:rsidR="003E7651" w:rsidRPr="00ED047F" w:rsidRDefault="003E7651" w:rsidP="007D2964">
      <w:pPr>
        <w:pStyle w:val="Tekst"/>
      </w:pPr>
      <w:r>
        <w:t>In addition, the Council drafted and printed the Guidelines for Reporting on Court Proceedings, the aim of which is to offer, in a simple and systematic manner, key recommendations to the courts in Bosnia and Herzegovina for up-to-date, complete, truthful and continuous reporting to the public on court proceedings that are of particular interest to the wider or special public, be it direct or media reporting.</w:t>
      </w:r>
    </w:p>
    <w:p w14:paraId="63A21398" w14:textId="77777777" w:rsidR="003E7651" w:rsidRPr="00ED047F" w:rsidRDefault="003E7651" w:rsidP="007D2964">
      <w:pPr>
        <w:pStyle w:val="Tekst"/>
      </w:pPr>
      <w:r>
        <w:t>The HJPC of BiH recognises the media as important partners in improving the work of judicial institutions, which is why particular attention is devoted to the establishment of a system for proactive communication of judicial institutions with the media and the public.</w:t>
      </w:r>
    </w:p>
    <w:p w14:paraId="5B2463AA" w14:textId="77777777" w:rsidR="007D2964" w:rsidRDefault="003E7651" w:rsidP="007D2964">
      <w:pPr>
        <w:pStyle w:val="Tekst"/>
      </w:pPr>
      <w:r>
        <w:t xml:space="preserve">In order to recognise the key challenges in current communication practices, specialised events for media representatives were organised as one of the activities of the project </w:t>
      </w:r>
      <w:r>
        <w:rPr>
          <w:i/>
          <w:iCs/>
        </w:rPr>
        <w:t>Improving Court Efficiency and Accountability of Judges and Prosecutors in BiH</w:t>
      </w:r>
      <w:r>
        <w:t xml:space="preserve">, </w:t>
      </w:r>
      <w:r>
        <w:rPr>
          <w:i/>
          <w:iCs/>
        </w:rPr>
        <w:t>Phase 3</w:t>
      </w:r>
      <w:r>
        <w:t>, which the HJPC BiH is implementing with the support of the Government of Sweden and which is largely dedicat</w:t>
      </w:r>
      <w:r w:rsidR="007D2964">
        <w:t>ed to strengthening this field.</w:t>
      </w:r>
    </w:p>
    <w:p w14:paraId="5BD69D1C" w14:textId="584B4860" w:rsidR="003E7651" w:rsidRPr="00ED047F" w:rsidRDefault="003E7651" w:rsidP="007D2964">
      <w:pPr>
        <w:pStyle w:val="Tekst"/>
      </w:pPr>
      <w:r>
        <w:lastRenderedPageBreak/>
        <w:t>Difficult access to information, the lack of proactivity of judicial institutions in communication with the media, insufficient use of the courts' website as a communication channel, and the lack of persons professionally engaged in public relations are identified as the biggest problems. Based on these parameters, activities were undertaken to improve key segments, primarily through cooperation with three courts (Municipal Court in Tuzla, Basic Court in Bijeljina and Basic Court of the Brčko District of BiH) which already use new methods of communication, and based on whose work and results current practices will be changed in other courts in Bosnia and Herzegovina.</w:t>
      </w:r>
    </w:p>
    <w:p w14:paraId="535634C8" w14:textId="77777777" w:rsidR="003E7651" w:rsidRPr="00ED047F" w:rsidRDefault="003E7651" w:rsidP="007D2964">
      <w:pPr>
        <w:pStyle w:val="Tekst"/>
      </w:pPr>
      <w:r>
        <w:t>In order to improve the communication of the courts with the media and the public, development of a set of tools for proactive communication and increased transparency is underway (checklists, forms and short guides for writing press releases, preparing for interviews, organising press conferences, as well as other events to increase the transparency of court operations, etc.).</w:t>
      </w:r>
    </w:p>
    <w:p w14:paraId="2D33AEEE" w14:textId="77777777" w:rsidR="003E7651" w:rsidRPr="00ED047F" w:rsidRDefault="003E7651" w:rsidP="007D2964">
      <w:pPr>
        <w:pStyle w:val="Tekst"/>
      </w:pPr>
      <w:r>
        <w:t>Although it is a short period of time (one year) for the change of long-standing communication practices, certain developments have already been observed in the work of the courts in this segment, which primarily relate to better preparation of press releases and information for the media, but also including proactive communication with the media and the public in the annual plans of the courts.</w:t>
      </w:r>
    </w:p>
    <w:p w14:paraId="4F4BBAA7" w14:textId="77777777" w:rsidR="007D67AD" w:rsidRDefault="007D67AD" w:rsidP="007D2964">
      <w:pPr>
        <w:pStyle w:val="Caption"/>
      </w:pPr>
    </w:p>
    <w:p w14:paraId="32CAA4DF" w14:textId="0B5B795E" w:rsidR="003E7651" w:rsidRPr="00ED047F" w:rsidRDefault="00BE3B39" w:rsidP="007D2964">
      <w:pPr>
        <w:pStyle w:val="Caption"/>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28</w:t>
      </w:r>
      <w:r w:rsidR="006D1459">
        <w:rPr>
          <w:noProof/>
        </w:rPr>
        <w:fldChar w:fldCharType="end"/>
      </w:r>
      <w:r w:rsidR="003E7651">
        <w:t xml:space="preserve">: </w:t>
      </w:r>
      <w:r w:rsidR="003E7651" w:rsidRPr="00D774F4">
        <w:rPr>
          <w:i/>
        </w:rPr>
        <w:t>Media Open Days</w:t>
      </w:r>
      <w:r w:rsidR="003E7651">
        <w:t xml:space="preserve"> event</w:t>
      </w:r>
    </w:p>
    <w:p w14:paraId="2323D2A2" w14:textId="77777777" w:rsidR="003E7651" w:rsidRPr="00ED047F" w:rsidRDefault="003E7651" w:rsidP="003E7651">
      <w:pPr>
        <w:keepNext/>
        <w:spacing w:before="80"/>
        <w:contextualSpacing/>
        <w:jc w:val="both"/>
      </w:pPr>
      <w:r>
        <w:rPr>
          <w:rFonts w:ascii="Arial" w:hAnsi="Arial"/>
          <w:noProof/>
          <w:lang w:val="bs-Latn-BA" w:eastAsia="bs-Latn-BA"/>
        </w:rPr>
        <w:drawing>
          <wp:inline distT="0" distB="0" distL="0" distR="0" wp14:anchorId="4991033F" wp14:editId="5B365403">
            <wp:extent cx="2577893" cy="193357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oaktivna komunikacija1.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581437" cy="1936233"/>
                    </a:xfrm>
                    <a:prstGeom prst="rect">
                      <a:avLst/>
                    </a:prstGeom>
                  </pic:spPr>
                </pic:pic>
              </a:graphicData>
            </a:graphic>
          </wp:inline>
        </w:drawing>
      </w:r>
      <w:r>
        <w:rPr>
          <w:rFonts w:ascii="Arial" w:hAnsi="Arial"/>
        </w:rPr>
        <w:t xml:space="preserve">                </w:t>
      </w:r>
      <w:r>
        <w:rPr>
          <w:noProof/>
          <w:lang w:val="bs-Latn-BA" w:eastAsia="bs-Latn-BA"/>
        </w:rPr>
        <w:drawing>
          <wp:inline distT="0" distB="0" distL="0" distR="0" wp14:anchorId="4E41E5E9" wp14:editId="511DE7EC">
            <wp:extent cx="2571744" cy="1928964"/>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roaktivna komunikacija3.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591365" cy="1943681"/>
                    </a:xfrm>
                    <a:prstGeom prst="rect">
                      <a:avLst/>
                    </a:prstGeom>
                  </pic:spPr>
                </pic:pic>
              </a:graphicData>
            </a:graphic>
          </wp:inline>
        </w:drawing>
      </w:r>
    </w:p>
    <w:p w14:paraId="30545F9A" w14:textId="77777777" w:rsidR="003E7651" w:rsidRPr="00ED047F" w:rsidRDefault="003E7651" w:rsidP="003E7651">
      <w:pPr>
        <w:spacing w:before="80"/>
        <w:contextualSpacing/>
        <w:jc w:val="both"/>
        <w:rPr>
          <w:rFonts w:ascii="Arial" w:hAnsi="Arial" w:cs="Arial"/>
        </w:rPr>
      </w:pPr>
      <w:r>
        <w:rPr>
          <w:rFonts w:ascii="Arial" w:hAnsi="Arial"/>
        </w:rPr>
        <w:t xml:space="preserve"> </w:t>
      </w:r>
    </w:p>
    <w:p w14:paraId="2FE46D1D" w14:textId="77777777" w:rsidR="003E7651" w:rsidRPr="00ED047F" w:rsidRDefault="003E7651" w:rsidP="007D2964">
      <w:pPr>
        <w:pStyle w:val="Tekst"/>
      </w:pPr>
      <w:r>
        <w:t>Changes were also observed in the part that refers to citizens' perception of the work of judicial institutions.</w:t>
      </w:r>
    </w:p>
    <w:p w14:paraId="693AC707" w14:textId="77777777" w:rsidR="003E7651" w:rsidRPr="00ED047F" w:rsidRDefault="003E7651" w:rsidP="007D2964">
      <w:pPr>
        <w:pStyle w:val="Tekst"/>
      </w:pPr>
      <w:r>
        <w:t xml:space="preserve">Public trust in the work of judicial institutions was strengthened through numerous activities and cooperation with international partners. The results of the final survey of the satisfaction of court users, which the HJPC BiH conducted in August 2021 as part of the project </w:t>
      </w:r>
      <w:r>
        <w:rPr>
          <w:i/>
          <w:iCs/>
        </w:rPr>
        <w:t xml:space="preserve">Building an </w:t>
      </w:r>
      <w:r>
        <w:rPr>
          <w:i/>
          <w:iCs/>
        </w:rPr>
        <w:lastRenderedPageBreak/>
        <w:t>Effective and Citizen-friendly Judiciary - IPA 2017,</w:t>
      </w:r>
      <w:r>
        <w:t xml:space="preserve"> showed that in certain segments there was a slight improvement in the citizens’ perception of the judiciary in BiH.</w:t>
      </w:r>
    </w:p>
    <w:p w14:paraId="0EF23B0D" w14:textId="77777777" w:rsidR="003E7651" w:rsidRPr="00ED047F" w:rsidRDefault="003E7651" w:rsidP="007D2964">
      <w:pPr>
        <w:pStyle w:val="Tekst"/>
      </w:pPr>
      <w:r>
        <w:t xml:space="preserve">The final survey was preceded by an initial survey that was conducted in 2019, and both surveys were carried out in order to gain insight into the level of public trust and to identify areas in which changes and improvements are necessary. </w:t>
      </w:r>
    </w:p>
    <w:p w14:paraId="7DD01D96" w14:textId="77777777" w:rsidR="003E7651" w:rsidRPr="00ED047F" w:rsidRDefault="003E7651" w:rsidP="007D2964">
      <w:pPr>
        <w:pStyle w:val="Tekst"/>
      </w:pPr>
      <w:r>
        <w:t>Improvements were noted in the following segments:</w:t>
      </w:r>
    </w:p>
    <w:p w14:paraId="340C08B7" w14:textId="77777777" w:rsidR="003E7651" w:rsidRPr="00ED047F" w:rsidRDefault="003E7651" w:rsidP="007D2964">
      <w:pPr>
        <w:pStyle w:val="Tackice"/>
      </w:pPr>
      <w:r>
        <w:t>opinion on the independence of the judiciary</w:t>
      </w:r>
    </w:p>
    <w:p w14:paraId="4CB72CD2" w14:textId="77777777" w:rsidR="003E7651" w:rsidRPr="00ED047F" w:rsidRDefault="003E7651" w:rsidP="007D2964">
      <w:pPr>
        <w:pStyle w:val="Tackice"/>
      </w:pPr>
      <w:r>
        <w:t>impartiality/objectivity</w:t>
      </w:r>
    </w:p>
    <w:p w14:paraId="2A3F540D" w14:textId="77777777" w:rsidR="003E7651" w:rsidRPr="00ED047F" w:rsidRDefault="003E7651" w:rsidP="007D2964">
      <w:pPr>
        <w:pStyle w:val="Tackice"/>
        <w:rPr>
          <w:rFonts w:cs="Arial"/>
        </w:rPr>
      </w:pPr>
      <w:r>
        <w:t>different aspects of the work and approach of judges and court clerks.</w:t>
      </w:r>
    </w:p>
    <w:p w14:paraId="193F6EC4" w14:textId="0BBCBA4B" w:rsidR="007D2964" w:rsidRDefault="007D2964">
      <w:pPr>
        <w:rPr>
          <w:rFonts w:ascii="Arial" w:hAnsi="Arial"/>
          <w:b/>
          <w:bCs/>
          <w:sz w:val="20"/>
          <w:szCs w:val="20"/>
        </w:rPr>
      </w:pPr>
    </w:p>
    <w:p w14:paraId="3590EF26" w14:textId="53C720BA" w:rsidR="003E7651" w:rsidRPr="00ED047F" w:rsidRDefault="00BE3B39" w:rsidP="007D2964">
      <w:pPr>
        <w:pStyle w:val="Caption"/>
      </w:pPr>
      <w:r>
        <w:t>Graph</w:t>
      </w:r>
      <w:r w:rsidR="007D2964">
        <w:t xml:space="preserve"> </w:t>
      </w:r>
      <w:r w:rsidR="006D1459">
        <w:fldChar w:fldCharType="begin"/>
      </w:r>
      <w:r w:rsidR="006D1459">
        <w:instrText xml:space="preserve"> SEQ Graph \* ARABIC </w:instrText>
      </w:r>
      <w:r w:rsidR="006D1459">
        <w:fldChar w:fldCharType="separate"/>
      </w:r>
      <w:r>
        <w:rPr>
          <w:noProof/>
        </w:rPr>
        <w:t>9</w:t>
      </w:r>
      <w:r w:rsidR="006D1459">
        <w:rPr>
          <w:noProof/>
        </w:rPr>
        <w:fldChar w:fldCharType="end"/>
      </w:r>
      <w:r w:rsidR="003E7651">
        <w:t>: One segment of the survey on court users' satisfaction</w:t>
      </w:r>
    </w:p>
    <w:p w14:paraId="14334A44" w14:textId="54D7A677" w:rsidR="003E7651" w:rsidRPr="00ED047F" w:rsidRDefault="00A127CB" w:rsidP="003E7651">
      <w:pPr>
        <w:spacing w:before="120" w:after="120"/>
        <w:jc w:val="center"/>
        <w:rPr>
          <w:rFonts w:ascii="Arial" w:hAnsi="Arial"/>
          <w:b/>
          <w:bCs/>
          <w:sz w:val="20"/>
          <w:szCs w:val="20"/>
        </w:rPr>
      </w:pPr>
      <w:r>
        <w:rPr>
          <w:noProof/>
          <w:lang w:val="bs-Latn-BA" w:eastAsia="bs-Latn-BA"/>
        </w:rPr>
        <w:drawing>
          <wp:inline distT="0" distB="0" distL="0" distR="0" wp14:anchorId="63F362C4" wp14:editId="589835B0">
            <wp:extent cx="4358326" cy="2895600"/>
            <wp:effectExtent l="0" t="0" r="4445" b="0"/>
            <wp:docPr id="231" name="Picture 231" descr="cid:image001.jpg@01D8BC5C.9842D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8BC5C.9842D700"/>
                    <pic:cNvPicPr>
                      <a:picLocks noChangeAspect="1" noChangeArrowheads="1"/>
                    </pic:cNvPicPr>
                  </pic:nvPicPr>
                  <pic:blipFill>
                    <a:blip r:embed="rId59" r:link="rId60">
                      <a:extLst>
                        <a:ext uri="{28A0092B-C50C-407E-A947-70E740481C1C}">
                          <a14:useLocalDpi xmlns:a14="http://schemas.microsoft.com/office/drawing/2010/main" val="0"/>
                        </a:ext>
                      </a:extLst>
                    </a:blip>
                    <a:srcRect/>
                    <a:stretch>
                      <a:fillRect/>
                    </a:stretch>
                  </pic:blipFill>
                  <pic:spPr bwMode="auto">
                    <a:xfrm>
                      <a:off x="0" y="0"/>
                      <a:ext cx="4362591" cy="2898434"/>
                    </a:xfrm>
                    <a:prstGeom prst="rect">
                      <a:avLst/>
                    </a:prstGeom>
                    <a:noFill/>
                    <a:ln>
                      <a:noFill/>
                    </a:ln>
                  </pic:spPr>
                </pic:pic>
              </a:graphicData>
            </a:graphic>
          </wp:inline>
        </w:drawing>
      </w:r>
    </w:p>
    <w:p w14:paraId="4A542B2A" w14:textId="615BE29F" w:rsidR="003E7651" w:rsidRPr="00ED047F" w:rsidRDefault="003E7651" w:rsidP="007D2964">
      <w:pPr>
        <w:pStyle w:val="Tekst"/>
      </w:pPr>
      <w:r>
        <w:t>Based on the results of the research, a set of recommendations was created and submitted for future steps that the courts should take in order to make their work more effective, which relate to the improvement of internal processes within the units of the judicial system through the digitisation of certain services, the implementation of continuous and long-term information campaigns and a kind of education of citizens and bringing the judiciary closer to citizens.</w:t>
      </w:r>
      <w:r>
        <w:cr/>
        <w:t>The survey was conducted in the Municipal Courts in Mostar, Sarajevo, Tuzla and the Basic Court in Banja Luka, and it included the general population, that is, former, current and potential users of the said courts. The entire survey is available on the HJPC website.</w:t>
      </w:r>
    </w:p>
    <w:p w14:paraId="59A2871C" w14:textId="77777777" w:rsidR="003E7651" w:rsidRPr="007D2964" w:rsidRDefault="003E7651" w:rsidP="007D2964">
      <w:pPr>
        <w:pStyle w:val="DRUGINASLOV"/>
      </w:pPr>
      <w:bookmarkStart w:id="106" w:name="_Toc112852444"/>
      <w:bookmarkStart w:id="107" w:name="_Toc34992541"/>
      <w:bookmarkStart w:id="108" w:name="_Toc97722073"/>
      <w:bookmarkStart w:id="109" w:name="_Toc101944238"/>
      <w:r w:rsidRPr="007D2964">
        <w:lastRenderedPageBreak/>
        <w:t>Performance, quality and transparency of prosecutor’s offices</w:t>
      </w:r>
      <w:bookmarkEnd w:id="106"/>
      <w:r w:rsidRPr="007D2964">
        <w:t xml:space="preserve"> </w:t>
      </w:r>
      <w:bookmarkEnd w:id="107"/>
      <w:bookmarkEnd w:id="108"/>
      <w:bookmarkEnd w:id="109"/>
    </w:p>
    <w:p w14:paraId="4B2634AF" w14:textId="77777777" w:rsidR="003E7651" w:rsidRPr="007D2964" w:rsidRDefault="003E7651" w:rsidP="007D2964">
      <w:pPr>
        <w:pStyle w:val="Tekst"/>
      </w:pPr>
      <w:r w:rsidRPr="007D2964">
        <w:t xml:space="preserve">In line with its competence, the HJPC is relying on statistical indicators to regularly monitor the performance efficiency of all prosecutor's offices throughout Bosnia and Herzegovina. </w:t>
      </w:r>
    </w:p>
    <w:p w14:paraId="13BFEC8D" w14:textId="77777777" w:rsidR="003E7651" w:rsidRPr="007D2964" w:rsidRDefault="003E7651" w:rsidP="007D2964">
      <w:pPr>
        <w:pStyle w:val="Tekst"/>
      </w:pPr>
      <w:r w:rsidRPr="007D2964">
        <w:t xml:space="preserve">Given the COVID-19 pandemic and Decision of the HJPC BiH on processing priority cases, the prosecutor’s offices had fewer working days due to being closed and staff being on sick leave, which significantly impacted the dynamic of processing all types of criminal  offences. </w:t>
      </w:r>
    </w:p>
    <w:p w14:paraId="44E2A1EF" w14:textId="77777777" w:rsidR="003E7651" w:rsidRPr="007D2964" w:rsidRDefault="003E7651" w:rsidP="007D2964">
      <w:pPr>
        <w:pStyle w:val="Tekst"/>
      </w:pPr>
      <w:r w:rsidRPr="007D2964">
        <w:t>According to the data from 2021, the prosecutor's offices in BiH received a total of 21,683 cases against known perpetrators, which is 2% less cases received compared to the number of cases received in 2020.</w:t>
      </w:r>
    </w:p>
    <w:p w14:paraId="456B16F4" w14:textId="77777777" w:rsidR="003E7651" w:rsidRPr="007D2964" w:rsidRDefault="003E7651" w:rsidP="007D2964">
      <w:pPr>
        <w:pStyle w:val="Tekst"/>
      </w:pPr>
      <w:r w:rsidRPr="007D2964">
        <w:t>There were 15,213 pending cases as of 31 December 2021, which is 3% less compared to the number of unresolved cases on 31 December 2020 (15,608).</w:t>
      </w:r>
    </w:p>
    <w:p w14:paraId="683F765B" w14:textId="0D228B90" w:rsidR="007D2964" w:rsidRDefault="007D2964">
      <w:pPr>
        <w:rPr>
          <w:rFonts w:ascii="Arial" w:hAnsi="Arial"/>
          <w:b/>
          <w:bCs/>
          <w:sz w:val="20"/>
          <w:szCs w:val="20"/>
        </w:rPr>
      </w:pPr>
    </w:p>
    <w:p w14:paraId="745DF550" w14:textId="77777777" w:rsidR="007D67AD" w:rsidRDefault="007D67AD">
      <w:pPr>
        <w:rPr>
          <w:rFonts w:ascii="Arial" w:hAnsi="Arial"/>
          <w:b/>
          <w:bCs/>
          <w:sz w:val="20"/>
          <w:szCs w:val="20"/>
        </w:rPr>
      </w:pPr>
      <w:r>
        <w:br w:type="page"/>
      </w:r>
    </w:p>
    <w:p w14:paraId="385C7345" w14:textId="16311777" w:rsidR="003E7651" w:rsidRPr="00AA6F9D" w:rsidRDefault="00BE3B39" w:rsidP="003E7651">
      <w:pPr>
        <w:pStyle w:val="Caption"/>
      </w:pPr>
      <w:r>
        <w:lastRenderedPageBreak/>
        <w:t>Graph</w:t>
      </w:r>
      <w:r w:rsidR="007D2964">
        <w:t xml:space="preserve"> </w:t>
      </w:r>
      <w:r w:rsidR="006D1459">
        <w:fldChar w:fldCharType="begin"/>
      </w:r>
      <w:r w:rsidR="006D1459">
        <w:instrText xml:space="preserve"> SEQ Graph \* ARABIC </w:instrText>
      </w:r>
      <w:r w:rsidR="006D1459">
        <w:fldChar w:fldCharType="separate"/>
      </w:r>
      <w:r>
        <w:rPr>
          <w:noProof/>
        </w:rPr>
        <w:t>10</w:t>
      </w:r>
      <w:r w:rsidR="006D1459">
        <w:rPr>
          <w:noProof/>
        </w:rPr>
        <w:fldChar w:fldCharType="end"/>
      </w:r>
      <w:r w:rsidR="003E7651">
        <w:t>: Backlog in prosecutor's offices in BiH per year</w:t>
      </w:r>
    </w:p>
    <w:p w14:paraId="4DBEF5BB" w14:textId="77777777" w:rsidR="003E7651" w:rsidRPr="0088167B" w:rsidRDefault="003E7651" w:rsidP="003E7651">
      <w:pPr>
        <w:spacing w:before="240" w:after="120"/>
        <w:jc w:val="center"/>
        <w:rPr>
          <w:rFonts w:cstheme="minorHAnsi"/>
          <w:b/>
          <w:bCs/>
        </w:rPr>
      </w:pPr>
      <w:r>
        <w:rPr>
          <w:b/>
          <w:bCs/>
          <w:noProof/>
          <w:lang w:val="bs-Latn-BA" w:eastAsia="bs-Latn-BA"/>
        </w:rPr>
        <w:drawing>
          <wp:inline distT="0" distB="0" distL="0" distR="0" wp14:anchorId="423168F8" wp14:editId="7C94D752">
            <wp:extent cx="5669280" cy="3482340"/>
            <wp:effectExtent l="0" t="0" r="7620" b="3810"/>
            <wp:docPr id="243" name="Chart 243"/>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31E5F4B4" w14:textId="77777777" w:rsidR="003E7651" w:rsidRDefault="003E7651" w:rsidP="003E7651">
      <w:pPr>
        <w:spacing w:before="80"/>
        <w:jc w:val="both"/>
        <w:rPr>
          <w:rFonts w:cstheme="minorHAnsi"/>
          <w:lang w:val="hr-BA"/>
        </w:rPr>
      </w:pPr>
    </w:p>
    <w:p w14:paraId="5DE97B33" w14:textId="77777777" w:rsidR="003E7651" w:rsidRPr="0088167B" w:rsidRDefault="003E7651" w:rsidP="003E7651">
      <w:pPr>
        <w:pStyle w:val="Tekst"/>
      </w:pPr>
      <w:r>
        <w:t>In 2021, the prosecutor's offices raised 11,041 indictments, which is 14% more than the number of indictments raised in 2020 i.e. 9,678.</w:t>
      </w:r>
    </w:p>
    <w:p w14:paraId="61283D40" w14:textId="77777777" w:rsidR="003E7651" w:rsidRPr="00AA6F9D" w:rsidRDefault="003E7651" w:rsidP="003E7651">
      <w:pPr>
        <w:pStyle w:val="TREINASLOV"/>
      </w:pPr>
      <w:bookmarkStart w:id="110" w:name="_Toc97722074"/>
      <w:bookmarkStart w:id="111" w:name="_Toc101944239"/>
      <w:bookmarkStart w:id="112" w:name="_Toc112852445"/>
      <w:r>
        <w:t>Prosecution of corruption</w:t>
      </w:r>
      <w:bookmarkEnd w:id="110"/>
      <w:bookmarkEnd w:id="111"/>
      <w:bookmarkEnd w:id="112"/>
    </w:p>
    <w:p w14:paraId="5FC2A567" w14:textId="77777777" w:rsidR="003E7651" w:rsidRPr="0088167B" w:rsidRDefault="003E7651" w:rsidP="003E7651">
      <w:pPr>
        <w:pStyle w:val="Tekst"/>
      </w:pPr>
      <w:r>
        <w:t>In 2021, the prosecutor's offices raised 235 indictments for corruption offences, which is 87% more than the number of indictments raised for corruption offences in 2020 i.e. when the prosecutor’s offices raised 126 indictments.</w:t>
      </w:r>
    </w:p>
    <w:p w14:paraId="49504280" w14:textId="77777777" w:rsidR="003E7651" w:rsidRPr="0088167B" w:rsidRDefault="003E7651" w:rsidP="003E7651">
      <w:pPr>
        <w:pStyle w:val="Tekst"/>
      </w:pPr>
      <w:r>
        <w:t>In 2021, the prosecutor's offices issued 555 orders not to conduct investigations into corruption offences, which is 11% more than the number of orders issued not to conduct investigation in 2020, i.e. when the orders not to conduct investigations were issued in 499 cases.</w:t>
      </w:r>
    </w:p>
    <w:p w14:paraId="2713F96D" w14:textId="77777777" w:rsidR="003E7651" w:rsidRPr="0088167B" w:rsidRDefault="003E7651" w:rsidP="003E7651">
      <w:pPr>
        <w:pStyle w:val="Tekst"/>
      </w:pPr>
      <w:r>
        <w:t>In 2021, the prosecutor's offices issued 119 orders to discontinue investigation into corruption offences, which is 11% more than the number of orders to discontinue investigations into corruption offences issued in 2020 when investigations were discontinued in 107 cases.</w:t>
      </w:r>
    </w:p>
    <w:p w14:paraId="445484AB" w14:textId="77777777" w:rsidR="003E7651" w:rsidRPr="0088167B" w:rsidRDefault="003E7651" w:rsidP="003E7651">
      <w:pPr>
        <w:pStyle w:val="Tekst"/>
      </w:pPr>
      <w:r>
        <w:t>Related to processing high-profile corruption cases, out of the total 328 ordered corruption investigations in 2021, 11 ordered investigations or 3% related to high-profile corruption cases.</w:t>
      </w:r>
    </w:p>
    <w:p w14:paraId="79726531" w14:textId="77777777" w:rsidR="003E7651" w:rsidRPr="0088167B" w:rsidRDefault="003E7651" w:rsidP="003E7651">
      <w:pPr>
        <w:pStyle w:val="Tekst"/>
      </w:pPr>
      <w:r>
        <w:lastRenderedPageBreak/>
        <w:t>Out of the total 235 raised indictments for corruption offences in 2021, the prosecutor's offices raised 6 indictments related to high-profile corruption or 3% of the total number of corruption indictments raised in 2021.</w:t>
      </w:r>
    </w:p>
    <w:p w14:paraId="34A0F72C" w14:textId="77777777" w:rsidR="003E7651" w:rsidRPr="0088167B" w:rsidRDefault="003E7651" w:rsidP="003E7651">
      <w:pPr>
        <w:pStyle w:val="TREINASLOV"/>
      </w:pPr>
      <w:bookmarkStart w:id="113" w:name="_Toc97722075"/>
      <w:bookmarkStart w:id="114" w:name="_Toc101944240"/>
      <w:bookmarkStart w:id="115" w:name="_Toc112852446"/>
      <w:r>
        <w:t>Prosecution of organised crime</w:t>
      </w:r>
      <w:bookmarkEnd w:id="113"/>
      <w:bookmarkEnd w:id="114"/>
      <w:bookmarkEnd w:id="115"/>
    </w:p>
    <w:p w14:paraId="1E371BE4" w14:textId="77777777" w:rsidR="003E7651" w:rsidRPr="0088167B" w:rsidRDefault="003E7651" w:rsidP="003E7651">
      <w:pPr>
        <w:pStyle w:val="Tekst"/>
      </w:pPr>
      <w:r>
        <w:t>In 2021, the prosecutor's offices raised 32 indictments for organised crime offences, which is 23% more than the 26 indictments raised in 2020.</w:t>
      </w:r>
    </w:p>
    <w:p w14:paraId="4335C98D" w14:textId="77777777" w:rsidR="003E7651" w:rsidRPr="0088167B" w:rsidRDefault="003E7651" w:rsidP="003E7651">
      <w:pPr>
        <w:pStyle w:val="Tekst"/>
      </w:pPr>
      <w:r>
        <w:t>In 2021, the prosecutor's offices issued 25 orders not to conduct investigations into organised crime offences, which is 4% more than the number of orders issued not to conduct investigation in 2020, i.e. when the orders not to conduct investigations were issued in 24 cases.</w:t>
      </w:r>
    </w:p>
    <w:p w14:paraId="01820A42" w14:textId="77777777" w:rsidR="003E7651" w:rsidRPr="0088167B" w:rsidRDefault="003E7651" w:rsidP="003E7651">
      <w:pPr>
        <w:pStyle w:val="Tekst"/>
      </w:pPr>
      <w:r>
        <w:t>In 2021, the prosecutor's offices issued 13 orders to discontinue investigation into organised crime offences, which is 54 % less than the number of orders to discontinue investigations into organised crime offences issued in 2020 when investigations were discontinued in 28 cases.</w:t>
      </w:r>
    </w:p>
    <w:p w14:paraId="74D025E5" w14:textId="77777777" w:rsidR="003E7651" w:rsidRPr="0088167B" w:rsidRDefault="003E7651" w:rsidP="003E7651">
      <w:pPr>
        <w:pStyle w:val="Tekst"/>
      </w:pPr>
      <w:r>
        <w:t>Related to the processing of high-profile organised crime  offences, of the total 55 ordered investigations in 2021, 2 ordered investigations or 4% related to high-level organised crime cases.</w:t>
      </w:r>
    </w:p>
    <w:p w14:paraId="704AAA91" w14:textId="77777777" w:rsidR="003E7651" w:rsidRDefault="003E7651" w:rsidP="003E7651">
      <w:pPr>
        <w:pStyle w:val="Tekst"/>
      </w:pPr>
      <w:r>
        <w:t>Out of the total 32 raised indictments for organised crime offences in 2021, the prosecutor's offices raised 2 indictments related to high-profile organised crime or 6% of the total number of organised crime indictments raised in 2021.</w:t>
      </w:r>
    </w:p>
    <w:p w14:paraId="7B7E6319" w14:textId="77777777" w:rsidR="003E7651" w:rsidRPr="0088167B" w:rsidRDefault="003E7651" w:rsidP="003E7651">
      <w:pPr>
        <w:pStyle w:val="TREINASLOV"/>
      </w:pPr>
      <w:bookmarkStart w:id="116" w:name="_Toc97722076"/>
      <w:bookmarkStart w:id="117" w:name="_Toc101944241"/>
      <w:bookmarkStart w:id="118" w:name="_Toc112852447"/>
      <w:r>
        <w:t>Supporting POs in processing cases involving economic crime, organised crime and corruption</w:t>
      </w:r>
      <w:bookmarkEnd w:id="116"/>
      <w:bookmarkEnd w:id="117"/>
      <w:bookmarkEnd w:id="118"/>
    </w:p>
    <w:p w14:paraId="3AACC1F9" w14:textId="77777777" w:rsidR="003E7651" w:rsidRPr="0088167B" w:rsidRDefault="003E7651" w:rsidP="003E7651">
      <w:pPr>
        <w:pStyle w:val="Tekst"/>
      </w:pPr>
      <w:r>
        <w:t xml:space="preserve">The IPA 2017 Project, funded by the EU, provides significant support to the prosecutor’s offices processing cases involving economic crime, organised crime and corruption, by recruiting 11 financial advisers in 10 prosecutor’s offices in 24 months.  Financial advisers are involved at the earliest phase of criminal procedure and the results of their engagement are reflected in shortened documentation collection time, not collecting unnecessary documentation, faster handling of current influx, more of better communication with expert witnesses and law enforcement agencies, assistance in drafting orders for expert witnessing, examination of witnesses and defendants. A significant contribution was reflected in recognising the need to initiate and conduct financial investigations, providing expert assistance in analysing cash flows and identifying illegally obtained income. </w:t>
      </w:r>
    </w:p>
    <w:p w14:paraId="109A4C18" w14:textId="77777777" w:rsidR="003E7651" w:rsidRPr="0088167B" w:rsidRDefault="003E7651" w:rsidP="003E7651">
      <w:pPr>
        <w:pStyle w:val="Tekst"/>
      </w:pPr>
      <w:r>
        <w:t xml:space="preserve">In their work so far, most of the cases involved complex economic and organised crime, corruption, tax evasion, abuse of position, fraud in obtaining loans, concluding harmful contracts, making false balance sheets, privatization, abuse on the capital market, money laundering and other crimes. In the period from May 2019 to January 2022, financial advisers made an analysis of 908 cases, of which the largest number of cases involved economic crime (516), corruption (140), organised crime (24), and financial investigations (14), and other cases (214). Of the </w:t>
      </w:r>
      <w:r>
        <w:lastRenderedPageBreak/>
        <w:t xml:space="preserve">total number of cases they were involved in, 23 cases of economic crime, corruption and organised crime had a court epilogue at the end of 2021, of which nineteen (19) verdicts were final and four (4) not final.  </w:t>
      </w:r>
    </w:p>
    <w:p w14:paraId="04E81C8D" w14:textId="77777777" w:rsidR="003E7651" w:rsidRPr="0088167B" w:rsidRDefault="003E7651" w:rsidP="003E7651">
      <w:pPr>
        <w:pStyle w:val="TREINASLOV"/>
      </w:pPr>
      <w:bookmarkStart w:id="119" w:name="_Toc97722077"/>
      <w:bookmarkStart w:id="120" w:name="_Toc101944242"/>
      <w:bookmarkStart w:id="121" w:name="_Toc112852448"/>
      <w:r>
        <w:t>Situation analysis and backlog reduction measures for the prosecutor's offices</w:t>
      </w:r>
      <w:bookmarkEnd w:id="119"/>
      <w:bookmarkEnd w:id="120"/>
      <w:bookmarkEnd w:id="121"/>
    </w:p>
    <w:p w14:paraId="579C0D0F" w14:textId="77777777" w:rsidR="003E7651" w:rsidRPr="0088167B" w:rsidRDefault="003E7651" w:rsidP="003E7651">
      <w:pPr>
        <w:pStyle w:val="Tekst"/>
      </w:pPr>
      <w:r>
        <w:t xml:space="preserve">All prosecutor's offices that have old pending cases passed backlog reduction plans (pending cases, older than two years) at the beginning of 2021, as prescribed with the current Instruction for drafting backlog reduction plans in prosecutor's offices in BiH. </w:t>
      </w:r>
    </w:p>
    <w:p w14:paraId="18ADEF5D" w14:textId="77777777" w:rsidR="003E7651" w:rsidRPr="0088167B" w:rsidRDefault="003E7651" w:rsidP="003E7651">
      <w:pPr>
        <w:pStyle w:val="Tekst"/>
      </w:pPr>
      <w:r>
        <w:t xml:space="preserve">At the end of 2021, the overall Backlog reduction plan realisation rate of all the prosecutor's offices in BiH was 87%. In 2021, the prosecutor's offices in BiH completed 3,533 old cases the completion of which was planned in the 2021  Backlog reduction plans. </w:t>
      </w:r>
    </w:p>
    <w:p w14:paraId="63C48060" w14:textId="77777777" w:rsidR="003E7651" w:rsidRPr="0088167B" w:rsidRDefault="003E7651" w:rsidP="003E7651">
      <w:pPr>
        <w:pStyle w:val="Tekst"/>
      </w:pPr>
      <w:r>
        <w:t>The total number of pending old cases in the prosecutors offices in BiH as of 31 December 2021 (5,486) was 67% less than the total number of pending old cases as of 31 December 2014 (16,611), and  approximately the same as  the total number of pending old cases as of 31 December 2020 (5.464).</w:t>
      </w:r>
    </w:p>
    <w:p w14:paraId="047DC88F" w14:textId="77777777" w:rsidR="003E7651" w:rsidRPr="0088167B" w:rsidRDefault="003E7651" w:rsidP="003E7651">
      <w:pPr>
        <w:pStyle w:val="Tekst"/>
      </w:pPr>
      <w:r>
        <w:t>In view of  significant limitations and difficulties in work due to the COVID-19 pandemic, as a measure to help the prosecutor’s office in reducing the backlog of old cases, the Standing Committee on the Efficiency and Quality of POs decided to hire additional staff of 20 legal advisers and 10 associates in 9 prosecutor's offices to assist prosecutors in reducing the backlog of cases.</w:t>
      </w:r>
    </w:p>
    <w:p w14:paraId="105C365A" w14:textId="301B95CD" w:rsidR="007D2964" w:rsidRDefault="007D2964">
      <w:pPr>
        <w:rPr>
          <w:rFonts w:ascii="Arial" w:hAnsi="Arial"/>
          <w:b/>
          <w:bCs/>
          <w:sz w:val="20"/>
          <w:szCs w:val="20"/>
        </w:rPr>
      </w:pPr>
    </w:p>
    <w:p w14:paraId="23090D73" w14:textId="77777777" w:rsidR="007D67AD" w:rsidRDefault="007D67AD">
      <w:pPr>
        <w:rPr>
          <w:rFonts w:ascii="Arial" w:hAnsi="Arial"/>
          <w:b/>
          <w:bCs/>
          <w:sz w:val="20"/>
          <w:szCs w:val="20"/>
        </w:rPr>
      </w:pPr>
      <w:r>
        <w:br w:type="page"/>
      </w:r>
    </w:p>
    <w:p w14:paraId="6883B5B7" w14:textId="66854DDD" w:rsidR="003E7651" w:rsidRPr="00AA6F9D" w:rsidRDefault="00BE3B39" w:rsidP="003E7651">
      <w:pPr>
        <w:pStyle w:val="Caption"/>
      </w:pPr>
      <w:r>
        <w:lastRenderedPageBreak/>
        <w:t>Graph</w:t>
      </w:r>
      <w:r w:rsidR="007D2964">
        <w:t xml:space="preserve"> </w:t>
      </w:r>
      <w:r w:rsidR="006D1459">
        <w:fldChar w:fldCharType="begin"/>
      </w:r>
      <w:r w:rsidR="006D1459">
        <w:instrText xml:space="preserve"> SEQ Graph \* ARABIC </w:instrText>
      </w:r>
      <w:r w:rsidR="006D1459">
        <w:fldChar w:fldCharType="separate"/>
      </w:r>
      <w:r>
        <w:rPr>
          <w:noProof/>
        </w:rPr>
        <w:t>11</w:t>
      </w:r>
      <w:r w:rsidR="006D1459">
        <w:rPr>
          <w:noProof/>
        </w:rPr>
        <w:fldChar w:fldCharType="end"/>
      </w:r>
      <w:r w:rsidR="003E7651">
        <w:t>: Backlog in prosecutor's offices</w:t>
      </w:r>
    </w:p>
    <w:p w14:paraId="1FDF2E49" w14:textId="77777777" w:rsidR="003E7651" w:rsidRPr="0088167B" w:rsidRDefault="003E7651" w:rsidP="003E7651">
      <w:pPr>
        <w:spacing w:before="240" w:after="120"/>
        <w:jc w:val="center"/>
        <w:rPr>
          <w:rFonts w:cstheme="minorHAnsi"/>
          <w:b/>
          <w:bCs/>
        </w:rPr>
      </w:pPr>
      <w:r>
        <w:rPr>
          <w:b/>
          <w:bCs/>
          <w:noProof/>
          <w:lang w:val="bs-Latn-BA" w:eastAsia="bs-Latn-BA"/>
        </w:rPr>
        <w:drawing>
          <wp:inline distT="0" distB="0" distL="0" distR="0" wp14:anchorId="75154DD6" wp14:editId="4D57FE0E">
            <wp:extent cx="5189220" cy="2476500"/>
            <wp:effectExtent l="0" t="0" r="11430" b="0"/>
            <wp:docPr id="250" name="Chart 250"/>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4FFF6336" w14:textId="77777777" w:rsidR="003E7651" w:rsidRPr="0088167B" w:rsidRDefault="003E7651" w:rsidP="003E7651">
      <w:pPr>
        <w:jc w:val="both"/>
        <w:rPr>
          <w:rFonts w:cstheme="minorHAnsi"/>
          <w:b/>
          <w:u w:val="single"/>
          <w:lang w:val="hr-BA"/>
        </w:rPr>
      </w:pPr>
    </w:p>
    <w:p w14:paraId="138DED68" w14:textId="77777777" w:rsidR="003E7651" w:rsidRPr="0088167B" w:rsidRDefault="003E7651" w:rsidP="003E7651">
      <w:pPr>
        <w:pStyle w:val="TREINASLOV"/>
      </w:pPr>
      <w:bookmarkStart w:id="122" w:name="_Toc97722078"/>
      <w:bookmarkStart w:id="123" w:name="_Toc101944243"/>
      <w:bookmarkStart w:id="124" w:name="_Toc112852449"/>
      <w:r>
        <w:t>Activities of the Standing Committee on the Efficiency and Quality of Prosecutor's Offices</w:t>
      </w:r>
      <w:bookmarkEnd w:id="122"/>
      <w:bookmarkEnd w:id="123"/>
      <w:bookmarkEnd w:id="124"/>
    </w:p>
    <w:p w14:paraId="46D959A4" w14:textId="77777777" w:rsidR="003E7651" w:rsidRPr="0088167B" w:rsidRDefault="003E7651" w:rsidP="003E7651">
      <w:pPr>
        <w:pStyle w:val="Tekst"/>
      </w:pPr>
      <w:r>
        <w:t xml:space="preserve">In 2021, the Standing Committee on the Efficiency and Quality of Prosecutor's Offices held 16 meetings at which current and issues of importance for the work of prosecutor's offices in Bosnia and Herzegovina were discussed. </w:t>
      </w:r>
    </w:p>
    <w:p w14:paraId="1B50BE86" w14:textId="77777777" w:rsidR="003E7651" w:rsidRPr="0088167B" w:rsidRDefault="003E7651" w:rsidP="003E7651">
      <w:pPr>
        <w:pStyle w:val="Tekst"/>
      </w:pPr>
      <w:r>
        <w:t xml:space="preserve">Since the fight against corruption and organised crime is one of the priorities of the BiH judiciary, reflecting on the shortcomings in prosecution of corruption detected by the OSCE Mission in their Third Annual Report, the Standing Committee for Efficiency and Quality of Prosecutor's Offices made an action plan with an overview of  necessary measures and activities directed at the implementation of measures recommended in the Report.  The proposed measures and activities include the prioritisation of processing high-profile corruption cases, improved supervision by the chief prosecutor in the investigation stage and indictment drafting, but also the introduction of the obligation to develop investigation plans.  The Action Plan was adopted by the High Judicial and Prosecutorial Council of Bosnia and Herzegovina, at its session on 24 and 25 March 2021, while the Standing Committee continues to monitor on a regular basis the extent of implementation of these measures and activities based on the reports submitted by the prosecutor’s offices.   The implementation of the adopted activities seeks to improve the negative trend observed in processing corruption, but also to ensure the implementation of the recommendations from previous OSCE Mission Reports, for which the Mission established had no progress in the implementation.  </w:t>
      </w:r>
    </w:p>
    <w:p w14:paraId="03A9DB46" w14:textId="77777777" w:rsidR="003E7651" w:rsidRPr="0088167B" w:rsidRDefault="003E7651" w:rsidP="003E7651">
      <w:pPr>
        <w:pStyle w:val="Tekst"/>
      </w:pPr>
      <w:r>
        <w:lastRenderedPageBreak/>
        <w:t>Bearing in mind that the USAID (</w:t>
      </w:r>
      <w:r>
        <w:rPr>
          <w:sz w:val="21"/>
          <w:szCs w:val="21"/>
          <w:shd w:val="clear" w:color="auto" w:fill="FFFFFF"/>
        </w:rPr>
        <w:t>United States Agency for International Development)</w:t>
      </w:r>
      <w:r>
        <w:t xml:space="preserve"> Judiciary Against Corruption in BiH Activity has published a Report on the application of the Definition for classification of high-profile corruption and organised crime cases, which presents the recommendations for a unified interpretation and improvement of the Definition, the Standing Committee has tasked the </w:t>
      </w:r>
      <w:r>
        <w:rPr>
          <w:i/>
          <w:iCs/>
        </w:rPr>
        <w:t>Strengthening Prosecutorial Capacities in the Criminal Justice System</w:t>
      </w:r>
      <w:r>
        <w:t xml:space="preserve"> project to prepare together with the USAID representatives the Draft amendments to the Definition of high-profile corruption and organised crime, taking into consideration the recommendations given in the subject report.   </w:t>
      </w:r>
    </w:p>
    <w:p w14:paraId="264DAF93" w14:textId="77777777" w:rsidR="003E7651" w:rsidRPr="0088167B" w:rsidRDefault="003E7651" w:rsidP="003E7651">
      <w:pPr>
        <w:pStyle w:val="Tekst"/>
      </w:pPr>
      <w:r>
        <w:t xml:space="preserve">On its session on 23 and 24 June 2021, the High Judicial and Prosecutorial Council of Bosnia and Herzegovina adopted a new Definition on high-profile corruption and organised crime.  The new Definition specifies the existing criteria for the classification of high-profile corruption and organised crime cases and provides clear guidelines for the application of the criterion of the nature of the high-profile corruption offence perpetrator, the census criterion, the ratio between the two criteria and then the criteria of the nature of a high-profile organised crime, the international element  and the damage or proceeds of crime.  </w:t>
      </w:r>
    </w:p>
    <w:p w14:paraId="0D555526" w14:textId="77777777" w:rsidR="003E7651" w:rsidRPr="0088167B" w:rsidRDefault="003E7651" w:rsidP="003E7651">
      <w:pPr>
        <w:pStyle w:val="Tekst"/>
      </w:pPr>
      <w:r>
        <w:t xml:space="preserve">The introduction of the new letter marking the high-profile corruption and organised crime cases required the adoption of the amendments to the Book of Rules on Performance Quotas for Prosecutors in the Prosecutor’s Offices in BiH that the Council adopted at the proposal of the Standing Committee.  The Rules of Procedure for marking cases as high-profile corruption and organised crime were also adopted and they regulate the procedure of recording cases as high-profile corruption and organised crime, also at the proposal of the Standing Committee. </w:t>
      </w:r>
    </w:p>
    <w:p w14:paraId="1DB055DE" w14:textId="77777777" w:rsidR="003E7651" w:rsidRPr="0088167B" w:rsidRDefault="003E7651" w:rsidP="003E7651">
      <w:pPr>
        <w:pStyle w:val="Tekst"/>
      </w:pPr>
      <w:r>
        <w:t xml:space="preserve">The Council also adopted the Guidelines for amendments to the Book of Rules on Internal Organisation and Systematisation of Prosecutor’s Offices or passing of a separate book of rules that regulates the relation between the chief prosecutor, deputy chief prosecutor and prosecutors, which regulates the procedure of the chief prosecutor issuing binding instructions to prosecutors in specific cases. </w:t>
      </w:r>
    </w:p>
    <w:p w14:paraId="10DAEEEE" w14:textId="77777777" w:rsidR="003E7651" w:rsidRPr="0088167B" w:rsidRDefault="003E7651" w:rsidP="003E7651">
      <w:pPr>
        <w:pStyle w:val="Tekst"/>
        <w:rPr>
          <w:iCs/>
        </w:rPr>
      </w:pPr>
      <w:r>
        <w:t xml:space="preserve">In 2021, supported by the Project, the Standing Committee started a comprehensive analysis of the impact of the Book of Rules on Performance Quotas for Prosecutors in Prosecutor's Offices in BiH on the performance and performance results and started drafting the proposed amendments.  </w:t>
      </w:r>
    </w:p>
    <w:p w14:paraId="3A0CECAA" w14:textId="77777777" w:rsidR="003E7651" w:rsidRPr="0088167B" w:rsidRDefault="003E7651" w:rsidP="003E7651">
      <w:pPr>
        <w:pStyle w:val="TREINASLOV"/>
      </w:pPr>
      <w:bookmarkStart w:id="125" w:name="_Toc97722079"/>
      <w:bookmarkStart w:id="126" w:name="_Toc101944244"/>
      <w:bookmarkStart w:id="127" w:name="_Toc112852450"/>
      <w:r>
        <w:t>Improving cooperation between prosecutor’s offices and law enforcement agencies</w:t>
      </w:r>
      <w:bookmarkEnd w:id="125"/>
      <w:bookmarkEnd w:id="126"/>
      <w:bookmarkEnd w:id="127"/>
    </w:p>
    <w:p w14:paraId="1CE0052F" w14:textId="77777777" w:rsidR="003E7651" w:rsidRPr="0088167B" w:rsidRDefault="003E7651" w:rsidP="003E7651">
      <w:pPr>
        <w:pStyle w:val="Tekst"/>
      </w:pPr>
      <w:r>
        <w:t xml:space="preserve">Meetings between the management of prosecutor’s offices and law enforcement agencies on strategic and operational level are being held on a regular basis. </w:t>
      </w:r>
    </w:p>
    <w:p w14:paraId="5933A43B" w14:textId="77777777" w:rsidR="003E7651" w:rsidRPr="0088167B" w:rsidRDefault="003E7651" w:rsidP="003E7651">
      <w:pPr>
        <w:pStyle w:val="Tekst"/>
      </w:pPr>
      <w:r>
        <w:t xml:space="preserve">Successful cooperation between the prosecutor's offices and law enforcement agencies is a key factor for the efficient operations of prosecutor's offices in BiH. In 2021, three meetings were held, of which one was a two-day meeting of the management of POs and law enforcement agencies on a strategic level (hereinafter: the Strategic forum). The attendees of these </w:t>
      </w:r>
      <w:r>
        <w:lastRenderedPageBreak/>
        <w:t xml:space="preserve">meetings are the Chief Prosecutor of the Prosecutor’s Office of BiH, Chief Prosecutor of the of FBiH Prosecutor's Office, Chief Prosecutor of the RS Public Prosecutor's Office and Chief Prosecutor of the Brcko District Prosecutor's Office, Director of the State Investigation and Protection Agency, Director of the FBiH Police Directorate, Director of the RS Police and Chief of the Brcko District Police. </w:t>
      </w:r>
    </w:p>
    <w:p w14:paraId="2D304234" w14:textId="77777777" w:rsidR="003E7651" w:rsidRPr="0088167B" w:rsidRDefault="003E7651" w:rsidP="003E7651">
      <w:pPr>
        <w:pStyle w:val="Tekst"/>
      </w:pPr>
      <w:r>
        <w:t xml:space="preserve">In the said meetings, the Strategic Forum discussed the significant issues for efficient work and cooperation of the prosecutor’s offices and police. In 2021, among other things, there was a discussion and adoption of concrete conclusions on the capacity of law enforcement agencies to work on organised and economic crime and corruption cases, on the analysis of the work of the joint investigative teams between the prosecutors and authorised officials and proposals for improvement of cooperation, the check-list for quality indicators of the actions undertaken and reports of the law enforcement agencies, the implementation of the Revised National War Crimes Strategy - the issue of capacity, efficiency and quality of cooperation between prosecutor’s offices and police and other issues relevant for their joint work. </w:t>
      </w:r>
    </w:p>
    <w:p w14:paraId="2F688568" w14:textId="77777777" w:rsidR="003E7651" w:rsidRPr="0088167B" w:rsidRDefault="003E7651" w:rsidP="003E7651">
      <w:pPr>
        <w:pStyle w:val="Tekst"/>
      </w:pPr>
      <w:r>
        <w:t xml:space="preserve">The Strategic Forum established a Working Group to amend the Instruction on the Cooperation of prosecutors and authorised officials while conducting evidentiary actions in investigations (hereinafter:  the Instruction) that is functional and works on the proposal of amendments to the Instruction.  </w:t>
      </w:r>
    </w:p>
    <w:p w14:paraId="57D2A951" w14:textId="77777777" w:rsidR="003E7651" w:rsidRPr="0088167B" w:rsidRDefault="003E7651" w:rsidP="003E7651">
      <w:pPr>
        <w:pStyle w:val="TREINASLOV"/>
      </w:pPr>
      <w:bookmarkStart w:id="128" w:name="_Toc112852451"/>
      <w:bookmarkStart w:id="129" w:name="_Toc97722080"/>
      <w:bookmarkStart w:id="130" w:name="_Toc101944245"/>
      <w:r>
        <w:t>Improving specialisation of prosecutors and expanded categories of participants</w:t>
      </w:r>
      <w:bookmarkEnd w:id="128"/>
      <w:r>
        <w:t xml:space="preserve"> </w:t>
      </w:r>
      <w:bookmarkEnd w:id="129"/>
      <w:bookmarkEnd w:id="130"/>
    </w:p>
    <w:p w14:paraId="47B66DA7" w14:textId="77777777" w:rsidR="003E7651" w:rsidRPr="0088167B" w:rsidRDefault="003E7651" w:rsidP="003E7651">
      <w:pPr>
        <w:pStyle w:val="Tekst"/>
      </w:pPr>
      <w:r>
        <w:t xml:space="preserve">Through the project </w:t>
      </w:r>
      <w:r>
        <w:rPr>
          <w:i/>
          <w:iCs/>
        </w:rPr>
        <w:t>Strengthening Prosecutorial Capacities in the Criminal Justice System</w:t>
      </w:r>
      <w:r>
        <w:t xml:space="preserve"> that is supported by the Government of Switzerland, in cooperation with the entity judicial and prosecutorial training centres, the High Judicial and Prosecutorial Council of Bosnia and Herzegovina organised specialised training in the domain of corruption, cyber crime and economic and organised crime. </w:t>
      </w:r>
    </w:p>
    <w:p w14:paraId="3C9988B8" w14:textId="77777777" w:rsidR="003E7651" w:rsidRPr="0088167B" w:rsidRDefault="003E7651" w:rsidP="003E7651">
      <w:pPr>
        <w:pStyle w:val="Tekst"/>
      </w:pPr>
      <w:r>
        <w:t xml:space="preserve">Specialised trainings went on in 2020 and 2021 and the trainers were the experts specialised in detecting and processing corruption, cyber crime, economic and organised crime cases. </w:t>
      </w:r>
    </w:p>
    <w:p w14:paraId="691EC7A5" w14:textId="77777777" w:rsidR="003E7651" w:rsidRPr="0088167B" w:rsidRDefault="003E7651" w:rsidP="003E7651">
      <w:pPr>
        <w:pStyle w:val="Tekst"/>
      </w:pPr>
      <w:r>
        <w:t xml:space="preserve">The objective of the specialised training in detecting and processing cases of economic and organised crime was the professional development of prosecutors, judges and police officers for the purpose of even more efficient detecting and processing of criminal offences of economic and organised crime in the judiciary in Bosnia and Herzegovina.  The implementation of the two-year professional development plan facilitated that at present we have a well trained and respectable team that can properly confront the perpetrators of criminal offences of economic and organised crime.  </w:t>
      </w:r>
    </w:p>
    <w:p w14:paraId="5CDDE5BF" w14:textId="77777777" w:rsidR="003E7651" w:rsidRDefault="003E7651" w:rsidP="003E7651">
      <w:pPr>
        <w:pStyle w:val="Tekst"/>
      </w:pPr>
      <w:r>
        <w:t xml:space="preserve">In 2021, two trainings were held on the topic of “Crime Intelligence Work in Support of Prosecutor’s Offices in Fighting Corruption in BiH” that was attended by the representatives of the prosecutor’s offices, the State Investigation and Protection Agency, the Federal Ministry of Internal Affairs of FBiH, the Ministry of Internal Affairs of the RS, the Security Intelligence Agency </w:t>
      </w:r>
      <w:r>
        <w:lastRenderedPageBreak/>
        <w:t xml:space="preserve">of BiH, the Indirect Taxation Authority of BiH, the Armed Forces of BiH, the Ministry of Interior of the Zenica-Doboj Canton, the Ministry of Interior of the Tuzla Canton, the Ministry of Interior of the Sarajevo Canton, the Police of the Brcko District and the Ministry of Interior of the Una-Sana Canton.     The trainings were carried out through two teaching modules and the first one was a theoretical preparation and introduction into a joint exercise that was also the second teaching module.   </w:t>
      </w:r>
    </w:p>
    <w:p w14:paraId="47C3C44D" w14:textId="77777777" w:rsidR="003E7651" w:rsidRPr="0088167B" w:rsidRDefault="003E7651" w:rsidP="003E7651">
      <w:pPr>
        <w:pStyle w:val="TREINASLOV"/>
      </w:pPr>
      <w:bookmarkStart w:id="131" w:name="_Toc112852452"/>
      <w:bookmarkStart w:id="132" w:name="_Toc97722081"/>
      <w:bookmarkStart w:id="133" w:name="_Toc101944246"/>
      <w:r>
        <w:t>Supporting the Coordinating Body of the chief prosecutors of the Prosecutor's Office of BiH, entity prosecutor’s offices and the Prosecutor’s Office of the Brcko District of BiH</w:t>
      </w:r>
      <w:bookmarkEnd w:id="131"/>
      <w:r>
        <w:t xml:space="preserve"> </w:t>
      </w:r>
      <w:bookmarkEnd w:id="132"/>
      <w:bookmarkEnd w:id="133"/>
    </w:p>
    <w:p w14:paraId="3C4E97BD" w14:textId="77777777" w:rsidR="003E7651" w:rsidRPr="0088167B" w:rsidRDefault="003E7651" w:rsidP="003E7651">
      <w:pPr>
        <w:pStyle w:val="Tekst"/>
      </w:pPr>
      <w:r>
        <w:t xml:space="preserve">The project </w:t>
      </w:r>
      <w:r>
        <w:rPr>
          <w:i/>
          <w:iCs/>
        </w:rPr>
        <w:t>Strengthening Prosecutorial Capacities in the Criminal Justice System</w:t>
      </w:r>
      <w:r>
        <w:t xml:space="preserve"> initiated the establishment of the Coordinating Body of Chief Prosecutors from the Prosecutor's Office of Bosnia and Herzegovina, the RS Public Prosecutor's Office, the Prosecutor's Office of the FBiH and the BDBiH Prosecutor's Office, to consider the conflict of jurisdiction between the prosecutor's offices in situations when the law does not prescribe the manner of resolving the conflict of jurisdiction and when all previous methods of resolving the conflict of jurisdiction have been exhausted. Among the competence of the Coordinating Body is the exchange of information and coordination of conducted investigations, which are conducted in several prosecutor's offices that are signatories to the Agreement on the Establishment of the Coordinating Body, with the aim of improving legality and efficiency, but also cooperation and resolving other issues that fall within the competence of the prosecutor's offices in Bosnia and Herzegovina.</w:t>
      </w:r>
    </w:p>
    <w:p w14:paraId="2E1FF85D" w14:textId="77777777" w:rsidR="003E7651" w:rsidRPr="0088167B" w:rsidRDefault="003E7651" w:rsidP="003E7651">
      <w:pPr>
        <w:pStyle w:val="Tekst"/>
      </w:pPr>
      <w:r>
        <w:t xml:space="preserve">Throughout the year, the Coordinating Body decided on the matter of jurisdiction in six cases and regulated the procedure of proposals for resolving the conflict of jurisdiction in this body. </w:t>
      </w:r>
    </w:p>
    <w:p w14:paraId="1B87E54C" w14:textId="77777777" w:rsidR="003E7651" w:rsidRPr="0088167B" w:rsidRDefault="003E7651" w:rsidP="003E7651">
      <w:pPr>
        <w:pStyle w:val="TREINASLOV"/>
      </w:pPr>
      <w:bookmarkStart w:id="134" w:name="_Toc112852453"/>
      <w:bookmarkStart w:id="135" w:name="_Toc97722082"/>
      <w:bookmarkStart w:id="136" w:name="_Toc101944247"/>
      <w:r>
        <w:t>Strategic planning in prosecutor’s office</w:t>
      </w:r>
      <w:bookmarkEnd w:id="134"/>
      <w:r>
        <w:t xml:space="preserve"> </w:t>
      </w:r>
      <w:bookmarkEnd w:id="135"/>
      <w:bookmarkEnd w:id="136"/>
    </w:p>
    <w:p w14:paraId="47746276" w14:textId="77777777" w:rsidR="003E7651" w:rsidRPr="0088167B" w:rsidRDefault="003E7651" w:rsidP="003E7651">
      <w:pPr>
        <w:pStyle w:val="Tekst"/>
      </w:pPr>
      <w:r>
        <w:t xml:space="preserve">In 2021, the </w:t>
      </w:r>
      <w:r>
        <w:rPr>
          <w:i/>
          <w:iCs/>
        </w:rPr>
        <w:t>Strengthening Prosecutorial Capacities in  the Criminal Justice System</w:t>
      </w:r>
      <w:r>
        <w:t xml:space="preserve"> project in partnership with the</w:t>
      </w:r>
      <w:r>
        <w:rPr>
          <w:i/>
          <w:iCs/>
        </w:rPr>
        <w:t>USAID Justice Against Corruption Project</w:t>
      </w:r>
      <w:r>
        <w:t xml:space="preserve"> continued to provide support to the FBiH prosecutorial system, the RS prosecutorial system, the BDBiH Prosecutor's Office and the BiH Prosecutor's Office in the development of three-year strategic plans for the period 2021 through 2023, preparation of annual plans for 2021 and annual reports for 2020 for all individual POs, as well as holding regular collegiums of the chief prosecutors in the Federation of BiH and collegiums of chief prosecutors in Republika Srpska. </w:t>
      </w:r>
    </w:p>
    <w:p w14:paraId="56F21824" w14:textId="77777777" w:rsidR="003E7651" w:rsidRPr="0088167B" w:rsidRDefault="003E7651" w:rsidP="003E7651">
      <w:pPr>
        <w:pStyle w:val="Tekst"/>
      </w:pPr>
      <w:r>
        <w:t xml:space="preserve">Aiming to have continued practice of mid-term strategic planning, to achieve independence in the strategic planning process and the preparation of annual work plans and annual reports on the implementation of the strategic framework of the prosecutorial system and achieved set targets, to hold collegiums of chief prosecutors and maintain the common course of action within the judicial system, the </w:t>
      </w:r>
      <w:r>
        <w:rPr>
          <w:i/>
          <w:iCs/>
        </w:rPr>
        <w:t>Strengthening Prosecutorial Capacities in  the Criminal Justice System</w:t>
      </w:r>
      <w:r>
        <w:t xml:space="preserve"> project continued in 2021 to raise the capacity and competencies of the employees in the prosecutor’s offices. </w:t>
      </w:r>
    </w:p>
    <w:p w14:paraId="2EF8E5C0" w14:textId="77777777" w:rsidR="007D67AD" w:rsidRDefault="007D67AD">
      <w:pPr>
        <w:rPr>
          <w:rFonts w:ascii="Arial" w:hAnsi="Arial" w:cs="Arial"/>
          <w:b/>
          <w:bCs/>
          <w:iCs/>
          <w:kern w:val="32"/>
          <w:sz w:val="26"/>
          <w:szCs w:val="26"/>
          <w:lang w:eastAsia="hr-HR"/>
        </w:rPr>
      </w:pPr>
      <w:bookmarkStart w:id="137" w:name="_Toc97722083"/>
      <w:bookmarkStart w:id="138" w:name="_Toc101944248"/>
      <w:r>
        <w:lastRenderedPageBreak/>
        <w:br w:type="page"/>
      </w:r>
    </w:p>
    <w:p w14:paraId="2094FDAA" w14:textId="5713D5AB" w:rsidR="003E7651" w:rsidRPr="0088167B" w:rsidRDefault="003E7651" w:rsidP="003E7651">
      <w:pPr>
        <w:pStyle w:val="TREINASLOV"/>
      </w:pPr>
      <w:bookmarkStart w:id="139" w:name="_Toc112852454"/>
      <w:r>
        <w:lastRenderedPageBreak/>
        <w:t>Support of the prosecutor’s offices in implementing the digitisation of archives</w:t>
      </w:r>
      <w:bookmarkEnd w:id="139"/>
      <w:r>
        <w:t xml:space="preserve"> </w:t>
      </w:r>
      <w:bookmarkEnd w:id="137"/>
      <w:bookmarkEnd w:id="138"/>
    </w:p>
    <w:p w14:paraId="0ED41B68" w14:textId="77777777" w:rsidR="003E7651" w:rsidRPr="0088167B" w:rsidRDefault="003E7651" w:rsidP="003E7651">
      <w:pPr>
        <w:pStyle w:val="Tekst"/>
      </w:pPr>
      <w:r>
        <w:t xml:space="preserve">The </w:t>
      </w:r>
      <w:r>
        <w:rPr>
          <w:i/>
          <w:iCs/>
        </w:rPr>
        <w:t>Strengthening Prosecutorial Capacities in  the Criminal Justice System</w:t>
      </w:r>
      <w:r>
        <w:t xml:space="preserve"> project, in its third stage, continued supporting the systematisation and digitisation of archives in the prosecutor’s offices in Bosnia and Herzegovina through the activity of writing off registry materials, inventorying archive materials, scanning archive materials and other activities related to the archive digitisation. </w:t>
      </w:r>
    </w:p>
    <w:p w14:paraId="7A2C248B" w14:textId="77777777" w:rsidR="003E7651" w:rsidRDefault="003E7651" w:rsidP="003E7651">
      <w:pPr>
        <w:pStyle w:val="Tekst"/>
      </w:pPr>
      <w:r>
        <w:t xml:space="preserve">In 2021, the archive digitisation started in eight district public and cantonal prosecutor's offices, where a total of 32 people are employed.  </w:t>
      </w:r>
    </w:p>
    <w:p w14:paraId="0A82D871" w14:textId="77777777" w:rsidR="003E7651" w:rsidRPr="0088167B" w:rsidRDefault="003E7651" w:rsidP="003E7651">
      <w:pPr>
        <w:pStyle w:val="TREINASLOV"/>
      </w:pPr>
      <w:bookmarkStart w:id="140" w:name="_Toc112852455"/>
      <w:bookmarkStart w:id="141" w:name="_Toc97722084"/>
      <w:bookmarkStart w:id="142" w:name="_Toc101944249"/>
      <w:r>
        <w:t>Transparency, public relations in the prosecutors offices and cooperation with the NGO sector</w:t>
      </w:r>
      <w:bookmarkEnd w:id="140"/>
      <w:r>
        <w:t xml:space="preserve"> </w:t>
      </w:r>
      <w:bookmarkEnd w:id="141"/>
      <w:bookmarkEnd w:id="142"/>
    </w:p>
    <w:p w14:paraId="58B628E9" w14:textId="77777777" w:rsidR="003E7651" w:rsidRPr="0088167B" w:rsidRDefault="003E7651" w:rsidP="003E7651">
      <w:pPr>
        <w:pStyle w:val="Tekst"/>
      </w:pPr>
      <w:r>
        <w:t>The Public Relations Monitoring and Evaluation Plan is based on a model of a complementary approach to the monitoring and evaluation process, through two groups of indicators, a group of quantitative indicators and a group of qualitative indicators and aims to create a model for systematic and continuous monitoring and evaluation of public relations performance on common grounds for all POs and it has been implemented since 2017. Evaluation for 2020 was made in 2021, and the overall score was 19.5, which is an increase of 4% compared to 2019.</w:t>
      </w:r>
    </w:p>
    <w:p w14:paraId="5F4C65E2" w14:textId="77777777" w:rsidR="003E7651" w:rsidRPr="0088167B" w:rsidRDefault="003E7651" w:rsidP="003E7651">
      <w:pPr>
        <w:pStyle w:val="Tekst"/>
      </w:pPr>
      <w:r>
        <w:t xml:space="preserve">The Strengthening Prosecutorial Capacities in the Criminal Justice System Project has continued implementing the activities to improve the quality and quantity of services, as well as the overall treatment of the persons coming in contact with the prosecutorial system.  At the end of 2021, the prosecutor’s offices in BiH have had implemented 81% of the Strategy for Care of Persons who Come in Contact with Prosecutor's Offices in BiH, which is a 35% increase compared to 2018. </w:t>
      </w:r>
    </w:p>
    <w:p w14:paraId="10ED76E1" w14:textId="77777777" w:rsidR="003E7651" w:rsidRPr="0088167B" w:rsidRDefault="003E7651" w:rsidP="003E7651">
      <w:pPr>
        <w:pStyle w:val="Tekst"/>
      </w:pPr>
      <w:r>
        <w:t xml:space="preserve">Given that one of the long-term objectives of the Strengthening Prosecutorial Capacities in the Criminal Justice System Project is to benefit the citizens through quality performance of activities within the competence of prosecutor’s offices and according to the Strategy for Care of Persons who Come in Contact with Prosecutor's Offices, in cooperation with the partner organisations the HJPC BiH has established cooperation with the non-governmental organisation which are active in the judicial sector, professional associations of the prosecutors in BiH, as well as the Association of Spokespersons of the Prosecutor’s Offices in BiH with financial support of the Embassy of Switzerland in BiH.    </w:t>
      </w:r>
    </w:p>
    <w:p w14:paraId="00F65F2C" w14:textId="77777777" w:rsidR="003E7651" w:rsidRPr="0088167B" w:rsidRDefault="003E7651" w:rsidP="003E7651">
      <w:pPr>
        <w:pStyle w:val="Tekst"/>
      </w:pPr>
      <w:r>
        <w:t>The involvement of non-governmental organisations that have concluded a Grant Agreement is focused on providing support to the prosecutor’s offices throughout BiH in establishing and maintaining interaction with the social community to suppress all types of crime.  The involvement of NGOs will be aimed at establishing a platform for continuous cooperation between the civil society organizations and the judiciary, as well as development of a plan of activities to motivate citizens to contribute to the work of prosecutor's offices.</w:t>
      </w:r>
    </w:p>
    <w:p w14:paraId="06ADCEC3" w14:textId="77777777" w:rsidR="003E7651" w:rsidRPr="0088167B" w:rsidRDefault="003E7651" w:rsidP="003E7651">
      <w:pPr>
        <w:pStyle w:val="Tekst"/>
      </w:pPr>
      <w:r>
        <w:lastRenderedPageBreak/>
        <w:t xml:space="preserve">The activities implemented through the said involvement with the professional associations of prosecutors are focused on strengthening the capacities of associations of prosecutors to actively participate in the process of resolving key issues that matter for the work of prosecutors.  </w:t>
      </w:r>
    </w:p>
    <w:p w14:paraId="54E1D606" w14:textId="77777777" w:rsidR="003E7651" w:rsidRPr="0088167B" w:rsidRDefault="003E7651" w:rsidP="003E7651">
      <w:pPr>
        <w:pStyle w:val="Tekst"/>
      </w:pPr>
      <w:r>
        <w:t xml:space="preserve">The Association of Spokespersons of the Prosecutor's Offices in BiH has implemented a project within which the basic principles and pubic relations standards have been defined and a training programme for public appearances for the chief prosecutors and prosecutors has been developed to be implemented in all the prosecutor's offices in BiH.  </w:t>
      </w:r>
    </w:p>
    <w:p w14:paraId="030AF0E8" w14:textId="77777777" w:rsidR="003E7651" w:rsidRPr="00675DA1" w:rsidRDefault="003E7651" w:rsidP="003E7651">
      <w:pPr>
        <w:pStyle w:val="DRUGINASLOV"/>
      </w:pPr>
      <w:bookmarkStart w:id="143" w:name="_Toc101944250"/>
      <w:bookmarkStart w:id="144" w:name="_Toc112852456"/>
      <w:bookmarkStart w:id="145" w:name="_Toc97722085"/>
      <w:r>
        <w:t>Performance evaluations for judicial office holders</w:t>
      </w:r>
      <w:bookmarkEnd w:id="143"/>
      <w:bookmarkEnd w:id="144"/>
      <w:r>
        <w:t xml:space="preserve"> </w:t>
      </w:r>
    </w:p>
    <w:p w14:paraId="55C8A2A9" w14:textId="77777777" w:rsidR="003E7651" w:rsidRDefault="003E7651" w:rsidP="003E7651">
      <w:pPr>
        <w:pStyle w:val="Tekst"/>
      </w:pPr>
      <w:r>
        <w:t xml:space="preserve">Article 17, item 22) of the Law on the HJPC prescribes that the HJPC “determines the criteria for the performance evaluation of judges and prosecutors”. The performance evaluation of judges, prosecutors, court presidents and chief prosecutors is carried out annually, in line with HJPC criteria. </w:t>
      </w:r>
    </w:p>
    <w:p w14:paraId="0D1517F3" w14:textId="77777777" w:rsidR="003E7651" w:rsidRPr="00E3119B" w:rsidRDefault="003E7651" w:rsidP="003E7651">
      <w:pPr>
        <w:pStyle w:val="Tekst"/>
      </w:pPr>
      <w:r>
        <w:t xml:space="preserve">The performance evaluation for the last three years must be used to assess the competence of a candidate as part of the appointment procedure in accordance with the HJPC Rules of Procedure. </w:t>
      </w:r>
    </w:p>
    <w:p w14:paraId="7D4474A1" w14:textId="77777777" w:rsidR="003E7651" w:rsidRDefault="003E7651" w:rsidP="003E7651">
      <w:pPr>
        <w:pStyle w:val="Tekst"/>
      </w:pPr>
      <w:r>
        <w:t>The HJPC BiH decided on its session on 22 and 23 October 2020 not to evaluate the performance of judicial office holders due to the circumstances caused by the COVID-19 pandemic that have diminished their performance.  Apart from that, the new performance evaluation criteria were adopted on the HJPC BiH session on 29 October 2020 (</w:t>
      </w:r>
      <w:r>
        <w:rPr>
          <w:i/>
          <w:iCs/>
        </w:rPr>
        <w:t>Official Gazette of BiH, no. 01/21).</w:t>
      </w:r>
      <w:r>
        <w:t xml:space="preserve"> The performance evaluation of all judicial office holders will be conducted by the court presidents and chief prosecutors according to the new criteria.  In 2021, the HJPC BiH prepared the necessary materials to carry out the performance evaluation in courts and prosecutor’s offices.  The deadline to carry out the performance evaluation for 2021 is 1 March 2022.  </w:t>
      </w:r>
    </w:p>
    <w:p w14:paraId="463B3CE6" w14:textId="77777777" w:rsidR="003E7651" w:rsidRDefault="003E7651" w:rsidP="003E7651">
      <w:pPr>
        <w:pStyle w:val="Tekst"/>
      </w:pPr>
      <w:r>
        <w:t xml:space="preserve">The adopted criteria contain the elements that are mostly of quantitative nature (performance target, statistical quality of decisions and the number of completed cases from the annual backlog reduction plan and timeliness).  Therefore, these are common indicators that are based on different aspects of judicial office in prosecutor’s offices and the courts and which are used over a longer period of time to monitor the performance of judicial institutions and judicial office holders in Bosnia and Herzegovina. </w:t>
      </w:r>
    </w:p>
    <w:p w14:paraId="699C197F" w14:textId="77777777" w:rsidR="003E7651" w:rsidRDefault="003E7651" w:rsidP="003E7651">
      <w:pPr>
        <w:pStyle w:val="Tekst"/>
      </w:pPr>
      <w:r>
        <w:t xml:space="preserve">The Criteria for performance evaluation of court presidents and Criteria for performance evaluation of chief prosecutors and department heads in the prosecutors offices prescribed the elements for the evaluation of their individual performance, as well as the elements for performance evaluation in management of court operations, prosecutor’s office and department/section in the prosecutor’s office.  </w:t>
      </w:r>
    </w:p>
    <w:p w14:paraId="248B0417" w14:textId="77777777" w:rsidR="003E7651" w:rsidRDefault="003E7651" w:rsidP="003E7651">
      <w:pPr>
        <w:pStyle w:val="Tekst"/>
      </w:pPr>
      <w:r>
        <w:t xml:space="preserve">The president of the immediately higher instance court evaluates the performance of the president of lower instance courts in his territory.  The chief entity prosecutor evaluates the performance of the chief prosecutors in district public prosecutor’s offices and cantonal prosecutor’s offices. </w:t>
      </w:r>
    </w:p>
    <w:p w14:paraId="0428AFDD" w14:textId="77777777" w:rsidR="003E7651" w:rsidRDefault="003E7651" w:rsidP="003E7651">
      <w:pPr>
        <w:pStyle w:val="Tekst"/>
      </w:pPr>
      <w:r>
        <w:lastRenderedPageBreak/>
        <w:t xml:space="preserve">As for the management of court operations, the performance of the court president is evaluated for the collective quota achieved by the court and for the organisation and management of the court operations, within which it is evaluated (i) whether and in which way the court president was fulfilling on a regular basis the obligations provided under the Book of Rules on Internal Court Operations and (ii) the percentage of the backlog reduction plan implementation on the court level.  </w:t>
      </w:r>
    </w:p>
    <w:p w14:paraId="27EF6C08" w14:textId="77777777" w:rsidR="003E7651" w:rsidRDefault="003E7651" w:rsidP="003E7651">
      <w:pPr>
        <w:pStyle w:val="Tekst"/>
      </w:pPr>
      <w:r>
        <w:t xml:space="preserve">The performance of chief prosecutors and heads of  departments/sections in prosecutor’s offices is evaluated in terms of  management for (i) collective quota achieved and collective quality of decisions of the prosecutor’s offices i.e. department or section of the prosecutor’s office and (ii) organisation and management of the operations of the prosecutor’s office and department/section in prosecutor’s office, the implementation of the backlog reduction plan of the prosecutor’s office departments/sections, etc. </w:t>
      </w:r>
    </w:p>
    <w:p w14:paraId="271031F8" w14:textId="77777777" w:rsidR="003E7651" w:rsidRDefault="003E7651" w:rsidP="003E7651">
      <w:pPr>
        <w:pStyle w:val="Tekst"/>
      </w:pPr>
      <w:r>
        <w:t xml:space="preserve">The HJPC BiH shall evaluate the performance of the presidents of the Court of Bosnia and Herzegovina, the Supreme Court of the Federation of Bosnia and Herzegovina, the Supreme Court of Republika Srpska and the Appellate Court of the Brcko District of Bosnia and Herzegovina in accordance with the Criteria for performance evaluation of court presidents in Bosnia and Herzegovina. </w:t>
      </w:r>
    </w:p>
    <w:p w14:paraId="3359C060" w14:textId="77777777" w:rsidR="003E7651" w:rsidRPr="00A67E62" w:rsidRDefault="003E7651" w:rsidP="003E7651">
      <w:pPr>
        <w:pStyle w:val="Tekst"/>
      </w:pPr>
      <w:r>
        <w:t xml:space="preserve">The HJPC BiH shall also evaluate the performance of chief prosecutors in the Prosecutor’s Office of Bosnia and Herzegovina, the Federal Prosecutor’s Office, the Office of the Public Prosecutor of Republika Srpska and the Prosecutor’s Office of the Brcko District of Bosnia and Herzegovina under the Criteria for Performance Evaluation of the chief prosecutor of the Prosecutor’s Office of the  Bosnia and Herzegovina, the chief prosecutor of the Federal  Prosecutor’s Office of Bosnia and Herzegovina, the Office of the Public Prosecutor of Republika Srpska and the Prosecutor’s Office of Brcko District of Bosnia and Herzegovina.  </w:t>
      </w:r>
    </w:p>
    <w:p w14:paraId="1535EF14" w14:textId="77777777" w:rsidR="003E7651" w:rsidRDefault="003E7651" w:rsidP="003E7651">
      <w:pPr>
        <w:pStyle w:val="Tekst"/>
        <w:rPr>
          <w:noProof/>
        </w:rPr>
      </w:pPr>
      <w:r>
        <w:t xml:space="preserve">The HJPC BiH shall ensure proper application of the Criteria for Performance Evaluation of judicial office holders in all courts and prosecutors offices by monitoring the implementation of the performance evaluation. An evaluated judicial office holder who does not agree with the performance evaluation may file an objection with the HJPC BiH. </w:t>
      </w:r>
    </w:p>
    <w:p w14:paraId="1244CB76" w14:textId="77777777" w:rsidR="003E7651" w:rsidRPr="00C338F0" w:rsidRDefault="003E7651" w:rsidP="003E7651">
      <w:pPr>
        <w:pStyle w:val="DRUGINASLOV"/>
      </w:pPr>
      <w:bookmarkStart w:id="146" w:name="_Toc101944251"/>
      <w:bookmarkStart w:id="147" w:name="_Toc112852457"/>
      <w:r>
        <w:t>Education of judicial office holders</w:t>
      </w:r>
      <w:bookmarkEnd w:id="145"/>
      <w:bookmarkEnd w:id="146"/>
      <w:bookmarkEnd w:id="147"/>
    </w:p>
    <w:p w14:paraId="743E1E45" w14:textId="77777777" w:rsidR="003E7651" w:rsidRDefault="003E7651" w:rsidP="003E7651">
      <w:pPr>
        <w:pStyle w:val="Tekst"/>
      </w:pPr>
      <w:r>
        <w:t xml:space="preserve">In the domain of improving the education system of judges and prosecutors, improving the quality and transparency of the work of the judiciary of Bosnia and Herzegovina, the HJPC BiH carried out a number of activities in 2021 and achieved significant improvements. </w:t>
      </w:r>
    </w:p>
    <w:p w14:paraId="0E1C23F2" w14:textId="77777777" w:rsidR="003E7651" w:rsidRDefault="003E7651" w:rsidP="003E7651">
      <w:pPr>
        <w:pStyle w:val="Tekst"/>
      </w:pPr>
      <w:r>
        <w:t xml:space="preserve">As in all previous years, the HJPC BiH cooperated in 2021 with the Judicial and Prosecutorial Training Centre in Republika Srpska (RS JPTC) and the Judicial and Prosecutorial Training centre of the Federation of Bosnia and Herzegovina (FBiH JPTC) and the representatives of the steering boards of these public institutions and the Judicial Commission of the Brcko District of BiH (JC BDBiH).   Apart from better coordination in drafting the 2022 education programme, the cooperation resulted in considering the improvement of the educators’ work.   Thus, in a </w:t>
      </w:r>
      <w:r>
        <w:lastRenderedPageBreak/>
        <w:t xml:space="preserve">meeting of the HJPC BiH Standing Committee for Education and Court Documentation and the said institutions in charge of organising and conducting the education of judges and prosecutors on 7 December 2021, the HJPC BiH conclusions from 2018 were revisited for the purpose of improving the criteria for the selection of best trainers, all within the amendments to the Book of Rules on categories, selection, rights and obligations of trainers. </w:t>
      </w:r>
    </w:p>
    <w:p w14:paraId="689BBD86" w14:textId="77777777" w:rsidR="003E7651" w:rsidRDefault="003E7651" w:rsidP="003E7651">
      <w:pPr>
        <w:pStyle w:val="Tekst"/>
      </w:pPr>
      <w:r>
        <w:t>In 2021, in cooperation with the training centres and supported by the USAID Judiciary Against Corruption Project, separate multi-annual specialised trainings started for judges and prosecutors in target judicial institutions on the topic of organised crime and corruption, and the judges and prosecutors have been trained about the said topics continuously.  It has been agreed with the training centres and the JC BDBiH that the conditions for obtaining the certificate for processing juvenile crime cases should be equalised for judges and prosecutors.  In cooperation with the Council of Europe, the levels of training on the topic of human rights have been determined and a multi-annual curriculum for human rights studies has been developed and adjusted for the judicial office holders in BiH</w:t>
      </w:r>
      <w:r>
        <w:rPr>
          <w:rStyle w:val="FootnoteReference"/>
          <w:lang w:val="sr-Latn-RS"/>
        </w:rPr>
        <w:footnoteReference w:id="6"/>
      </w:r>
      <w:r>
        <w:t xml:space="preserve">. The four modules from this curriculum adjusted for the basic level have been included in the mandatory initial training for newly appointed judges and prosecutors, that will be studied in 2022 within the training programme.  The modules are partly adjusted to the on-line learning format and follow the methodology of the Council of Europe HELP platform, which inspires the use of the on-line learning methodology.  Combined with the </w:t>
      </w:r>
      <w:r>
        <w:rPr>
          <w:i/>
          <w:iCs/>
        </w:rPr>
        <w:t xml:space="preserve">in vivo </w:t>
      </w:r>
      <w:r>
        <w:t xml:space="preserve">learning, this methodology is a good basis for a balanced training system for judges and prosecutors.  </w:t>
      </w:r>
    </w:p>
    <w:p w14:paraId="39C2A9E0" w14:textId="77777777" w:rsidR="003E7651" w:rsidRDefault="003E7651" w:rsidP="003E7651">
      <w:pPr>
        <w:pStyle w:val="Tekst"/>
      </w:pPr>
      <w:r>
        <w:t>In the session on 24 and 25 March 2021, the HJPC BiH adopted the new Book of Rules on the Procedure for designation and modus operandi of consultative prosecutors with the newly appointed and other prosecutors</w:t>
      </w:r>
      <w:r w:rsidRPr="00B549ED">
        <w:rPr>
          <w:rStyle w:val="FootnoteReference"/>
          <w:lang w:val="sr-Latn-RS"/>
        </w:rPr>
        <w:footnoteReference w:id="7"/>
      </w:r>
      <w:r>
        <w:t xml:space="preserve">, with the accompanying Guidelines for Consultative Prosecutors. In 2021, the application of the innovated Book of Rules was monitored on a regular basis and therefore it can be stated that in 2021 all newly appointed prosecutors worked with the help of the consultative prosecutors in the first year after their appointment. The reporting method of consultative prosecutors has also been improved and on the basis of proposals for improvement of the work of the newly appointed prosecutors the initial training has been expanded for the newly appointed prosecutors to be carried out in 2022 within the JPTCs.  </w:t>
      </w:r>
    </w:p>
    <w:p w14:paraId="7BFBDB4D" w14:textId="77777777" w:rsidR="003E7651" w:rsidRDefault="003E7651" w:rsidP="003E7651">
      <w:pPr>
        <w:pStyle w:val="Tekst"/>
      </w:pPr>
      <w:r>
        <w:t xml:space="preserve">With the participation of representatives of the entity judicial and prosecutorial training centres, steering boards and Judicial Commission of Brcko District BiH, on the session held on 29 and 30 September 2021, the 2020 reports on the work of the entity judicial and prosecutorial training centres were considered and approved with specific proposals for the improvement of ethics and integrity of judicial office holders, improvement of the initial training for newly appointed </w:t>
      </w:r>
      <w:r>
        <w:lastRenderedPageBreak/>
        <w:t xml:space="preserve">judges and prosecutors, the need to organise the training for certain categories of judicial management and other.  The HJPC BiH actively worked in 2021 on the implementation of conclusions from the session on November 2019, when the topic of particular importance for the judiciary were identified.  As per the Reform Agenda of the HJPC BiH, the Peer Review recommendations for training and GRECO recommendations, a new framework has been prepared, as well as the number and content of trainings on ethics and integrity.   A number of activities have been initiated to enrich the 2022 training programme with the seminars where the judges and prosecutors will receive training based on their true needs.  There is a new method of topic nomination and in cooperation with the highest instance courts in Bosnia and Herzegovina the most common mistakes in the work of lower instance courts have been identified per case type (criminal, civil and administrative).  The compiled information and accompanying analyses have been delivered to the entity judicial and prosecutorial training centres and their steering boards, as well as the Judicial Commission of Brcko District BiH and the topics identified by the analyses have been included in the training curricula of judges and prosecutors in 2022, which facilitated the implementation of target training of lower instance courts judges.  </w:t>
      </w:r>
    </w:p>
    <w:p w14:paraId="08190C84" w14:textId="77777777" w:rsidR="003E7651" w:rsidRPr="00F637F3" w:rsidRDefault="003E7651" w:rsidP="003E7651">
      <w:pPr>
        <w:pStyle w:val="Tekst"/>
      </w:pPr>
      <w:r>
        <w:t xml:space="preserve">In the HJPC BiH session on 15, 16 and 17 December 2021 the work programmes of the 2022 FBiH JPTC and RS JPTC steering boards were approved, which include common activities with the JC BDBiH. Regarding mandatory training, the HJPC BiH adopted a conclusion to continue applying in 2022 the Decision on Minimal Initial Training of judges and prosecutors in Bosnia and Herzegovina from 2018 and that: </w:t>
      </w:r>
    </w:p>
    <w:p w14:paraId="4401DB07" w14:textId="77777777" w:rsidR="003E7651" w:rsidRPr="00F637F3" w:rsidRDefault="003E7651" w:rsidP="003E7651">
      <w:pPr>
        <w:pStyle w:val="Tackice"/>
        <w:rPr>
          <w:rFonts w:eastAsiaTheme="minorHAnsi"/>
        </w:rPr>
      </w:pPr>
      <w:r>
        <w:t xml:space="preserve">all judicial office holders are obligated to attend the training: On-line Module on Ethics, Integrity and Prevention of Conflict of Interest that will be recognised as one day of mandatory training; </w:t>
      </w:r>
    </w:p>
    <w:p w14:paraId="163C626E" w14:textId="77777777" w:rsidR="003E7651" w:rsidRPr="00F637F3" w:rsidRDefault="003E7651" w:rsidP="003E7651">
      <w:pPr>
        <w:pStyle w:val="Tackice"/>
        <w:rPr>
          <w:rFonts w:eastAsiaTheme="minorHAnsi"/>
        </w:rPr>
      </w:pPr>
      <w:r>
        <w:t xml:space="preserve">all managers of judicial institutions are obligated to attend the training: The role of the court president and chief prosecutor in preserving the integrity of judicial institutions; </w:t>
      </w:r>
    </w:p>
    <w:p w14:paraId="2598C2FF" w14:textId="77777777" w:rsidR="003E7651" w:rsidRPr="00F637F3" w:rsidRDefault="003E7651" w:rsidP="003E7651">
      <w:pPr>
        <w:pStyle w:val="Tackice"/>
        <w:rPr>
          <w:rFonts w:eastAsiaTheme="minorHAnsi"/>
        </w:rPr>
      </w:pPr>
      <w:r>
        <w:t xml:space="preserve">all new managers of judicial institutions are obligated to attend the training: </w:t>
      </w:r>
    </w:p>
    <w:p w14:paraId="707D6A7B" w14:textId="77777777" w:rsidR="003E7651" w:rsidRPr="00BB58B2" w:rsidRDefault="003E7651" w:rsidP="003E7651">
      <w:pPr>
        <w:pStyle w:val="Tackice2"/>
        <w:rPr>
          <w:rFonts w:eastAsiaTheme="minorHAnsi"/>
        </w:rPr>
      </w:pPr>
      <w:r>
        <w:t>Building leadership and managerial capacities in judicial institutions</w:t>
      </w:r>
    </w:p>
    <w:p w14:paraId="166AD338" w14:textId="77777777" w:rsidR="003E7651" w:rsidRPr="00BB58B2" w:rsidRDefault="003E7651" w:rsidP="003E7651">
      <w:pPr>
        <w:pStyle w:val="Tackice2"/>
        <w:rPr>
          <w:rFonts w:eastAsiaTheme="minorHAnsi"/>
        </w:rPr>
      </w:pPr>
      <w:r>
        <w:t xml:space="preserve">Proactive role of the court president </w:t>
      </w:r>
    </w:p>
    <w:p w14:paraId="1B35B96D" w14:textId="77777777" w:rsidR="003E7651" w:rsidRPr="00BB58B2" w:rsidRDefault="003E7651" w:rsidP="003E7651">
      <w:pPr>
        <w:pStyle w:val="Tackice2"/>
        <w:rPr>
          <w:rFonts w:eastAsiaTheme="minorHAnsi"/>
        </w:rPr>
      </w:pPr>
      <w:r>
        <w:t>Electronic tools for managers</w:t>
      </w:r>
    </w:p>
    <w:p w14:paraId="77175945" w14:textId="77777777" w:rsidR="003E7651" w:rsidRPr="00BB58B2" w:rsidRDefault="003E7651" w:rsidP="003E7651">
      <w:pPr>
        <w:pStyle w:val="Tackice2"/>
        <w:rPr>
          <w:rFonts w:eastAsiaTheme="minorHAnsi"/>
        </w:rPr>
      </w:pPr>
      <w:r>
        <w:t xml:space="preserve">Contemporary communication with the public </w:t>
      </w:r>
    </w:p>
    <w:p w14:paraId="55C8A1A1" w14:textId="77777777" w:rsidR="003E7651" w:rsidRDefault="003E7651" w:rsidP="003E7651">
      <w:pPr>
        <w:pStyle w:val="Tackice"/>
      </w:pPr>
      <w:r>
        <w:t xml:space="preserve">All new department heads are obligated to attend the </w:t>
      </w:r>
      <w:r>
        <w:rPr>
          <w:i/>
          <w:iCs/>
        </w:rPr>
        <w:t xml:space="preserve">Proactive role of department heads in managing departments </w:t>
      </w:r>
      <w:r>
        <w:t xml:space="preserve">training. </w:t>
      </w:r>
      <w:bookmarkStart w:id="148" w:name="_Toc502041323"/>
      <w:bookmarkStart w:id="149" w:name="_Toc470785861"/>
      <w:bookmarkEnd w:id="148"/>
      <w:bookmarkEnd w:id="149"/>
    </w:p>
    <w:p w14:paraId="0CED772E" w14:textId="77777777" w:rsidR="003E7651" w:rsidRPr="00F637F3" w:rsidRDefault="003E7651" w:rsidP="003E7651">
      <w:pPr>
        <w:pStyle w:val="Tekst"/>
      </w:pPr>
      <w:r>
        <w:t xml:space="preserve">The HJPC BiH has also adopted the conclusion that in order to meet the conditions to obtain a certificate and according to the Law on Protection and Handling of Juveniles in Criminal Proceedings, the judicial office holders are obligated to attend all thematic units from a specialised </w:t>
      </w:r>
      <w:r>
        <w:lastRenderedPageBreak/>
        <w:t xml:space="preserve">training programme and that all open issues would be considered within the cooperation between the HJPC BiH Standing Committee for Education and Court Documentation and the Steering Board of the FBiH Judicial and Prosecutorial Training Centre, the Steering Board of the RS Judicial and Prosecutorial Training Centre and Judicial Commission of Brcko District of BiH. </w:t>
      </w:r>
    </w:p>
    <w:p w14:paraId="0D01E373" w14:textId="77777777" w:rsidR="003E7651" w:rsidRDefault="003E7651" w:rsidP="003E7651">
      <w:pPr>
        <w:pStyle w:val="Tekst"/>
      </w:pPr>
      <w:r>
        <w:t>According to the entity laws on judicial and prosecutorial training centres</w:t>
      </w:r>
      <w:r w:rsidRPr="008F6B73">
        <w:rPr>
          <w:rStyle w:val="FootnoteReference"/>
          <w:lang w:val="sr-Latn-RS"/>
        </w:rPr>
        <w:footnoteReference w:id="8"/>
      </w:r>
      <w:r>
        <w:t xml:space="preserve">, in the period between July and December 2021 the HJPC BiH consulted the steering boards of the JPTCs regarding the election of the JPTC Director.  Thus, in the session on 14 and 15 July 2021 the Council gave its opinion on the election of the Director of the RS Judicial and Prosecutorial Training Centre.  Additionally, after having learned that the Steering Board of the FBiH Judicial and Prosecutorial Training Centre did not appoint the director of that public institution since December 2020 when the HJPC BiH gave its positive opinion for the proposed candidate, in the session on 22 October 2021 the HJPC BiH withdrew its positive opinion for the candidate.  In the session held in Banja Luka, there was a discussion on the responsibility regarding the election meaning the lack of it and no election of a candidate for the post of the director of these public institutions and the nature of consultations in that process.  The HJPC BiH considered the said situations again at its December session and concluded that regardless of the HJPC BiH opinion, the actions of the steering boards had to be addressed again, after obtaining additional information from the steering boards of the entity training centres. Given that no law or by-law has prescribed the consulting process and binding nature of the opinion the HJPC BIH gives, everything will be additionally considered in the upcoming period.  </w:t>
      </w:r>
    </w:p>
    <w:p w14:paraId="1C7F6E0C" w14:textId="77777777" w:rsidR="003E7651" w:rsidRPr="00F637F3" w:rsidRDefault="003E7651" w:rsidP="003E7651">
      <w:pPr>
        <w:pStyle w:val="Tekst"/>
      </w:pPr>
      <w:r>
        <w:t xml:space="preserve">In the December session the HJPC BiH made a decision on temporary suspension of judge Jozo Andjic as a member of the Steering Board of the FBiH Judicial and Prosecutorial Training Centre due to the decision of an HJPC BiH disciplinary panel on temporary suspension of judge Andjic from the judicial post that is related to his function as a member of this steering board. </w:t>
      </w:r>
    </w:p>
    <w:p w14:paraId="5FAD8FD5" w14:textId="77777777" w:rsidR="003E7651" w:rsidRDefault="003E7651" w:rsidP="003E7651">
      <w:pPr>
        <w:pStyle w:val="Tekst"/>
      </w:pPr>
      <w:r>
        <w:t xml:space="preserve">In the period from 13 to 20 September 2021 a three-day training for the members of the disciplinary panels on the topic of </w:t>
      </w:r>
      <w:r>
        <w:rPr>
          <w:i/>
          <w:iCs/>
        </w:rPr>
        <w:t>Disciplinary Procedures and Practice</w:t>
      </w:r>
      <w:r>
        <w:t xml:space="preserve"> was held.  The training was organised so the members of the first-instance and second-instance disciplinary panels, who have more practical experience, could convey their knowledge and experience to the new members of the panels.  The training was assessed as very beneficial and well organised</w:t>
      </w:r>
      <w:r>
        <w:rPr>
          <w:rStyle w:val="FootnoteReference"/>
          <w:lang w:val="sr-Latn-RS"/>
        </w:rPr>
        <w:footnoteReference w:id="9"/>
      </w:r>
      <w:r>
        <w:t xml:space="preserve"> and generated a set of practical recommendations and conclusions to improve the disciplinary procedures on which the HJPC BiH will continue working in 2022.  </w:t>
      </w:r>
    </w:p>
    <w:p w14:paraId="2073D78A" w14:textId="23A8A0E6" w:rsidR="003E7651" w:rsidRPr="002C6B14" w:rsidRDefault="00BE3B39" w:rsidP="003E7651">
      <w:pPr>
        <w:pStyle w:val="Caption"/>
        <w:rPr>
          <w:i/>
        </w:rPr>
      </w:pPr>
      <w:r>
        <w:t>Image</w:t>
      </w:r>
      <w:r w:rsidR="007D2964">
        <w:t xml:space="preserve"> </w:t>
      </w:r>
      <w:r w:rsidR="006D1459">
        <w:fldChar w:fldCharType="begin"/>
      </w:r>
      <w:r w:rsidR="006D1459">
        <w:instrText xml:space="preserve"> SEQ Image \* ARABIC </w:instrText>
      </w:r>
      <w:r w:rsidR="006D1459">
        <w:fldChar w:fldCharType="separate"/>
      </w:r>
      <w:r w:rsidR="009E77AF">
        <w:rPr>
          <w:noProof/>
        </w:rPr>
        <w:t>29</w:t>
      </w:r>
      <w:r w:rsidR="006D1459">
        <w:rPr>
          <w:noProof/>
        </w:rPr>
        <w:fldChar w:fldCharType="end"/>
      </w:r>
      <w:r w:rsidR="003E7651">
        <w:t xml:space="preserve">: </w:t>
      </w:r>
      <w:r w:rsidR="003E7651">
        <w:rPr>
          <w:i/>
        </w:rPr>
        <w:t>Training of the new members of the  HJPC BiH disciplinary panels on the topic of Disciplinary Procedure and Practice</w:t>
      </w:r>
    </w:p>
    <w:p w14:paraId="172097F6" w14:textId="77777777" w:rsidR="003E7651" w:rsidRDefault="003E7651" w:rsidP="00C86A4D">
      <w:pPr>
        <w:jc w:val="center"/>
      </w:pPr>
      <w:r>
        <w:rPr>
          <w:noProof/>
          <w:lang w:val="bs-Latn-BA" w:eastAsia="bs-Latn-BA"/>
        </w:rPr>
        <w:lastRenderedPageBreak/>
        <w:drawing>
          <wp:inline distT="0" distB="0" distL="0" distR="0" wp14:anchorId="43BA4DE8" wp14:editId="3ACAB114">
            <wp:extent cx="4904509" cy="2821546"/>
            <wp:effectExtent l="0" t="0" r="0" b="0"/>
            <wp:docPr id="251" name="Picture 251" descr="\\vstv-file\csd$\SHARE - CENTAR ZA SUDSKU DOKUMENTACIJU VSTV\Centar za sudsku dokumentaciju\2021\SLIKE OBUKA DISCIPLINKI POSTUPAK HOTEL ILIDŽA 2021\AUSTRIA ILIDZA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file\csd$\SHARE - CENTAR ZA SUDSKU DOKUMENTACIJU VSTV\Centar za sudsku dokumentaciju\2021\SLIKE OBUKA DISCIPLINKI POSTUPAK HOTEL ILIDŽA 2021\AUSTRIA ILIDZA 9.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14145" cy="2827089"/>
                    </a:xfrm>
                    <a:prstGeom prst="rect">
                      <a:avLst/>
                    </a:prstGeom>
                    <a:noFill/>
                    <a:ln>
                      <a:noFill/>
                    </a:ln>
                  </pic:spPr>
                </pic:pic>
              </a:graphicData>
            </a:graphic>
          </wp:inline>
        </w:drawing>
      </w:r>
    </w:p>
    <w:p w14:paraId="391E8973" w14:textId="77777777" w:rsidR="003E7651" w:rsidRPr="00C338F0" w:rsidRDefault="003E7651" w:rsidP="003E7651">
      <w:pPr>
        <w:pStyle w:val="TREINASLOV"/>
      </w:pPr>
      <w:bookmarkStart w:id="150" w:name="_Toc97722086"/>
      <w:bookmarkStart w:id="151" w:name="_Toc101944252"/>
      <w:bookmarkStart w:id="152" w:name="_Toc112852458"/>
      <w:r>
        <w:t>Coordination of the case law harmonisation process</w:t>
      </w:r>
      <w:bookmarkEnd w:id="150"/>
      <w:bookmarkEnd w:id="151"/>
      <w:bookmarkEnd w:id="152"/>
    </w:p>
    <w:p w14:paraId="638BE4A8" w14:textId="77777777" w:rsidR="003E7651" w:rsidRDefault="003E7651" w:rsidP="003E7651">
      <w:pPr>
        <w:pStyle w:val="Tekst"/>
      </w:pPr>
      <w:r>
        <w:t xml:space="preserve">As for the case law harmonisation, as in the previous years, the HJPC BiH nominated topics to be considered in the case law harmonisation panels.  In April 2021, a civil law panel was held on the topic of:  </w:t>
      </w:r>
      <w:r>
        <w:rPr>
          <w:i/>
          <w:iCs/>
        </w:rPr>
        <w:t xml:space="preserve">The right of banks to charge clients for expenses of loan processing. </w:t>
      </w:r>
      <w:r>
        <w:t xml:space="preserve"> Legal opinions have not been harmonised since the Supreme Court of the Federation of BiH has not taken a position on this issue and the topic will be reconsidered once conditions for that are met.  The other topics that the HJPC BiH nominated have not been accepted by the courts that have case law harmonisation panels (two topics from the civil law domain and one from the criminal law), due to the courts believing that there was no equal legal framework, meaning the lack of the contradicting case law in all jurisdictions in Bosnia and Herzegovina, as the preconditions to hold panel meetings. </w:t>
      </w:r>
    </w:p>
    <w:p w14:paraId="08CFDFBF" w14:textId="77777777" w:rsidR="003E7651" w:rsidRPr="00492C76" w:rsidRDefault="003E7651" w:rsidP="003E7651">
      <w:pPr>
        <w:pStyle w:val="Tekst"/>
        <w:rPr>
          <w:rFonts w:asciiTheme="majorHAnsi" w:hAnsiTheme="majorHAnsi" w:cstheme="majorHAnsi"/>
          <w:szCs w:val="22"/>
        </w:rPr>
      </w:pPr>
      <w:r>
        <w:t xml:space="preserve">The HJPC BiH has reached a consensus with both the domestic and international partners on the necessity to improve the legal framework for the work of case law harmonisation panels in Bosnia and Herzegovina and in the second half of 2021 started a dialogue with all the relevant actors on the modalities to achieve this objective.  On 18 and 19 November 2021 the Fifth Annual Conference of the highest instance courts in Bosnia and Herzegovina was held on the topic:  </w:t>
      </w:r>
      <w:r>
        <w:rPr>
          <w:i/>
          <w:iCs/>
        </w:rPr>
        <w:t>Case Law Harmonisation,</w:t>
      </w:r>
      <w:r>
        <w:t xml:space="preserve"> when the need for the panels to start working again was </w:t>
      </w:r>
      <w:r>
        <w:lastRenderedPageBreak/>
        <w:t>stated, while a round table was held in cooperation with the OSCE Mission and Council of Europe to identify the topics to be considered in the panels.</w:t>
      </w:r>
      <w:r w:rsidRPr="008F6B73">
        <w:rPr>
          <w:rStyle w:val="FootnoteReference"/>
        </w:rPr>
        <w:footnoteReference w:id="10"/>
      </w:r>
      <w:r w:rsidRPr="008F6B73">
        <w:rPr>
          <w:rStyle w:val="FootnoteReference"/>
        </w:rPr>
        <w:t>.</w:t>
      </w:r>
      <w:r>
        <w:rPr>
          <w:rStyle w:val="FootnoteReference"/>
        </w:rPr>
        <w:t>.</w:t>
      </w:r>
      <w:r>
        <w:t xml:space="preserve">  </w:t>
      </w:r>
    </w:p>
    <w:p w14:paraId="29C74647" w14:textId="77777777" w:rsidR="003E7651" w:rsidRDefault="003E7651" w:rsidP="003E7651">
      <w:pPr>
        <w:pStyle w:val="Tekst"/>
      </w:pPr>
      <w:r>
        <w:t>In the second half of 2021 the HJPC BiH considered the proposals of the courts that have case law harmonisation panels about the validation of work for the judges who participate in the panels.</w:t>
      </w:r>
      <w:r>
        <w:rPr>
          <w:rStyle w:val="FootnoteReference"/>
          <w:lang w:val="sr-Latn-RS"/>
        </w:rPr>
        <w:footnoteReference w:id="11"/>
      </w:r>
      <w:r>
        <w:t xml:space="preserve"> The second half of 2021 saw the start of the compilation and review of replies from the judicial community in Bosnia and Herzegovina in the survey about the inconsistency of case law, which the HJPC BiH initiated in April 2021. </w:t>
      </w:r>
    </w:p>
    <w:p w14:paraId="5CDFEBDB" w14:textId="77777777" w:rsidR="003E7651" w:rsidRDefault="003E7651" w:rsidP="003E7651">
      <w:pPr>
        <w:pStyle w:val="Tekst"/>
      </w:pPr>
      <w:r>
        <w:t xml:space="preserve">Within the implementation of the project - </w:t>
      </w:r>
      <w:r>
        <w:rPr>
          <w:i/>
          <w:iCs/>
        </w:rPr>
        <w:t>Building an Effective and Citizen-Friendly Judiciary</w:t>
      </w:r>
      <w:r>
        <w:t xml:space="preserve"> - IPA 2017, the HJPC BiH ensured professional support for the judges assigned to case law departments/case law records in highest instance courts in Bosnia and Herzegovina. In cooperation with the European Union Delegation and AIRE Centre, the HJPC BiH Secretariat ensured the funds to create a software that will ensure archiving and search of court positions (E-sentence).  Through the software the courts will be able to record the positions and sentences from the court decisions.  In this way, the positions and accompanying decisions will be available to the judges while resolving new cases to familiarise themselves with the positions prior taken in factually same or similar situations, which is a step forward in the process of horizontal case law harmonisation.</w:t>
      </w:r>
      <w:r>
        <w:rPr>
          <w:rStyle w:val="FootnoteReference"/>
          <w:lang w:val="sr-Latn-RS"/>
        </w:rPr>
        <w:footnoteReference w:id="12"/>
      </w:r>
      <w:r>
        <w:t xml:space="preserve"> </w:t>
      </w:r>
    </w:p>
    <w:p w14:paraId="15681723" w14:textId="77777777" w:rsidR="003E7651" w:rsidRDefault="003E7651" w:rsidP="003E7651">
      <w:pPr>
        <w:pStyle w:val="Tekst"/>
      </w:pPr>
      <w:r>
        <w:t>During 2021 the HJPC BiH established cooperation with the Faculty of Law in Vitez in development of a specialised war crime case database.  This cooperation resulted in signing of the Agreement on Mutual Cooperation in November 2021.  The cooperation is focused on the information exchange on war crime cases with final decisions on the level of BiH judiciary and delivery of anonymised court decisions by the HJPC BiH to update the said database.</w:t>
      </w:r>
      <w:r>
        <w:rPr>
          <w:rStyle w:val="FootnoteReference"/>
          <w:lang w:val="sr-Latn-RS"/>
        </w:rPr>
        <w:footnoteReference w:id="13"/>
      </w:r>
    </w:p>
    <w:p w14:paraId="554C66BD" w14:textId="77777777" w:rsidR="003E7651" w:rsidRDefault="003E7651" w:rsidP="003E7651">
      <w:pPr>
        <w:pStyle w:val="Tekst"/>
      </w:pPr>
      <w:r>
        <w:t xml:space="preserve">In 2021, within the implementation of the Agreement of the HJPC BiH on cooperation with the highest instance courts, a dialogue was held on the identification of topics for the preparation and development of a publication on a case law, which is significant for the work of the judiciary.  As a result of the dialogue, five topics have been identified and the judges of the highest instance courts have been selected  as the authors to develop the said publications.  The work on the publications ended in December 2021.  The publications highlight the issues that the BiH judiciary is facing and it is expected that further work on the publication promotion will help </w:t>
      </w:r>
      <w:r>
        <w:lastRenderedPageBreak/>
        <w:t xml:space="preserve">improve the training of judicial office holders, meaning that the case law harmonisation panels will start working on certain issues.  The development of the publications about the current issues of the BiH judiciary will be continued through the IPA 2019.  </w:t>
      </w:r>
    </w:p>
    <w:p w14:paraId="6F0E565F" w14:textId="77777777" w:rsidR="003E7651" w:rsidRDefault="003E7651" w:rsidP="003E7651">
      <w:pPr>
        <w:pStyle w:val="Tekst"/>
      </w:pPr>
      <w:r>
        <w:t xml:space="preserve">The HJPC BiH coordinated the donors’ help and actively participated with the international partners.  The activities in the case law harmonisation have been largely implemented with the use of funds from the EU pre-accession funds (IPA 2017).  Other partners of the HJPC BiH were involved in some of these activities, primarily the Council of Europe, the OSCE Mission to BiH and the AIRE Centre from London, while the Justice Against Corruption Project of the USAID supported the HJPC BiH in organising  initial training for the new members of the disciplinary panels of the HJPC BiH, as well as for those on the back-up lists.  More about it is in the previous chapter </w:t>
      </w:r>
      <w:r>
        <w:rPr>
          <w:i/>
          <w:iCs/>
        </w:rPr>
        <w:t>Training of the Judicial Office Holders</w:t>
      </w:r>
      <w:r>
        <w:t xml:space="preserve">. </w:t>
      </w:r>
    </w:p>
    <w:p w14:paraId="40BE563D" w14:textId="77777777" w:rsidR="007D67AD" w:rsidRDefault="007D67AD">
      <w:pPr>
        <w:rPr>
          <w:rFonts w:ascii="Arial" w:hAnsi="Arial" w:cs="Arial"/>
          <w:b/>
          <w:bCs/>
          <w:iCs/>
          <w:kern w:val="32"/>
          <w:sz w:val="26"/>
          <w:szCs w:val="26"/>
          <w:lang w:eastAsia="hr-HR"/>
        </w:rPr>
      </w:pPr>
      <w:bookmarkStart w:id="153" w:name="_Toc97722087"/>
      <w:bookmarkStart w:id="154" w:name="_Toc101944253"/>
      <w:r>
        <w:br w:type="page"/>
      </w:r>
    </w:p>
    <w:p w14:paraId="14146211" w14:textId="1C92A485" w:rsidR="003E7651" w:rsidRPr="00C338F0" w:rsidRDefault="003E7651" w:rsidP="003E7651">
      <w:pPr>
        <w:pStyle w:val="TREINASLOV"/>
      </w:pPr>
      <w:bookmarkStart w:id="155" w:name="_Toc112852459"/>
      <w:r>
        <w:lastRenderedPageBreak/>
        <w:t>The increased transparency of the judicial system</w:t>
      </w:r>
      <w:bookmarkEnd w:id="155"/>
      <w:r>
        <w:t xml:space="preserve"> </w:t>
      </w:r>
      <w:bookmarkEnd w:id="153"/>
      <w:bookmarkEnd w:id="154"/>
    </w:p>
    <w:p w14:paraId="6D02DAD9" w14:textId="77777777" w:rsidR="003E7651" w:rsidRDefault="003E7651" w:rsidP="003E7651">
      <w:pPr>
        <w:pStyle w:val="Tekst"/>
      </w:pPr>
      <w:r>
        <w:t>In this domain the commitment of the HJPC BiH to raise the transparency of the judiciary in 2021 to a higher level is particularly significant.  In that end, the HJPC BiH Court Decisions Database has been open to public since 5 February 2021 without any restrictions, which is a step forward compared to the previous practice, when the interested parties outside the judiciary had to pay a 100BAM annual fee to access the database with prior registration.</w:t>
      </w:r>
      <w:r>
        <w:rPr>
          <w:rStyle w:val="FootnoteReference"/>
          <w:lang w:val="sr-Latn-RS"/>
        </w:rPr>
        <w:footnoteReference w:id="14"/>
      </w:r>
      <w:r>
        <w:t xml:space="preserve">  In addition, the judgements are entered with more data in the database according to the Instruction for the Anonymisation of Court Decisions, adopted at the session of the HJPC on 14 April 2021</w:t>
      </w:r>
      <w:r>
        <w:rPr>
          <w:rStyle w:val="FootnoteReference"/>
          <w:lang w:val="sr-Latn-RS"/>
        </w:rPr>
        <w:footnoteReference w:id="15"/>
      </w:r>
      <w:r>
        <w:t xml:space="preserve">. In this way, the HJPC BiH endeavoured to establish the balance between the private and public interest, because the judgements published in the database of court decisions are adjusted for reading not only by the judicial community, but the citizens of Bosnia and Herzegovina as well.  </w:t>
      </w:r>
    </w:p>
    <w:p w14:paraId="2192AB46" w14:textId="77777777" w:rsidR="003E7651" w:rsidRDefault="003E7651" w:rsidP="003E7651">
      <w:pPr>
        <w:pStyle w:val="Tekst"/>
      </w:pPr>
      <w:r>
        <w:t xml:space="preserve">Within the 1.3.1. Component </w:t>
      </w:r>
      <w:r>
        <w:rPr>
          <w:i/>
          <w:iCs/>
        </w:rPr>
        <w:t>Strengthening the Case Law Department/Case Law Record in the Highest Instance Courts in Bosnia and Herzegovina</w:t>
      </w:r>
      <w:r>
        <w:t xml:space="preserve"> of  the project </w:t>
      </w:r>
      <w:r>
        <w:rPr>
          <w:i/>
          <w:iCs/>
        </w:rPr>
        <w:t>Building an Effective and Citizen-Friendly Judiciary</w:t>
      </w:r>
      <w:r>
        <w:t>, as funded by the European Union (IPA 2017), 2,913 court decisions were added to the database and thus 14,972 searchable decisions were available to the public on 31 December 2021</w:t>
      </w:r>
      <w:r>
        <w:rPr>
          <w:rStyle w:val="FootnoteReference"/>
          <w:lang w:val="sr-Latn-RS"/>
        </w:rPr>
        <w:footnoteReference w:id="16"/>
      </w:r>
      <w:r>
        <w:t>. According to the new Instruction, the database is updated with all the final decisions in the cases of special public interest.  Thus the database has been updated by final decisions from the cases of war crimes, discrimination, human trafficking, while currently decisions from areas of organised crime and corruption are being added</w:t>
      </w:r>
      <w:r>
        <w:rPr>
          <w:rStyle w:val="FootnoteReference"/>
          <w:lang w:val="sr-Latn-RS"/>
        </w:rPr>
        <w:footnoteReference w:id="17"/>
      </w:r>
      <w:r>
        <w:t xml:space="preserve">. </w:t>
      </w:r>
    </w:p>
    <w:p w14:paraId="12C15A66" w14:textId="77777777" w:rsidR="003E7651" w:rsidRPr="00484D8F" w:rsidRDefault="003E7651" w:rsidP="003E7651">
      <w:pPr>
        <w:pStyle w:val="Tekst"/>
      </w:pPr>
      <w:r>
        <w:t>Parallel to that, the War Crimes Map</w:t>
      </w:r>
      <w:r>
        <w:rPr>
          <w:rStyle w:val="FootnoteReference"/>
          <w:lang w:val="sr-Latn-RS"/>
        </w:rPr>
        <w:footnoteReference w:id="18"/>
      </w:r>
      <w:r>
        <w:t xml:space="preserve"> was updated in 2021 with 13 summaries of completed war crime cases with final judgements.  The summaries are prepared in the languages of the constituent people in Bosnia and Herzegovina, as well as in English.  This interactive Map is available through the HJPC BiH web site. </w:t>
      </w:r>
    </w:p>
    <w:p w14:paraId="1EB5B6DA" w14:textId="77777777" w:rsidR="003E7651" w:rsidRPr="00843F69" w:rsidRDefault="003E7651" w:rsidP="003E7651">
      <w:pPr>
        <w:pStyle w:val="Tekst"/>
      </w:pPr>
      <w:r>
        <w:t xml:space="preserve">Apart from that, on 23 November 2021, an Agreement on Cooperation was signed between the High Judicial and Prosecutorial Council of Bosnia Herzegovina and the Faculty of Law of the Vitez University in the Project of Development of a Database of War Crime Cases with Final Decisions - The War Crimes Trials Database - WCTD, funded by the Government of Japan.  The agreement is about the exchange of information from all final judgements in the war crime </w:t>
      </w:r>
      <w:r>
        <w:lastRenderedPageBreak/>
        <w:t xml:space="preserve">cases perpetrated on the territory of Bosnia and Herzegovina that the signatories to the Agreement have at their disposal.  The database is available through the link:  </w:t>
      </w:r>
      <w:hyperlink r:id="rId64" w:history="1">
        <w:r>
          <w:rPr>
            <w:rStyle w:val="Hyperlink"/>
          </w:rPr>
          <w:t>https://warcrimesdatabase.net/public/</w:t>
        </w:r>
      </w:hyperlink>
      <w:r>
        <w:t>.</w:t>
      </w:r>
    </w:p>
    <w:p w14:paraId="3C347AB9" w14:textId="77777777" w:rsidR="003E7651" w:rsidRDefault="003E7651" w:rsidP="003E7651">
      <w:pPr>
        <w:pStyle w:val="Tekst"/>
      </w:pPr>
      <w:r>
        <w:t xml:space="preserve">In mid 2021 the HJPC BiH surveyed the judicial community on the application methods of the Guidelines for the Publication of Court and Prosecutorial Decisions on the official web-sites of judicial institutions, adopted in September 2014.  The HJPC BiH requested the judicial institutions to deliver in their 2021 annual performance reports the data on the number, method of publishing the decisions and their proposals for improvement.   In this manner, there is an attempt to engage the judicial community to increase the transparency of its work, which in the end will be the topic for an expert body that will be tasked with the evaluation and review of the Guidelines from 2014 given the development of the social community, new technologies, innovated web-sites and public needs. </w:t>
      </w:r>
    </w:p>
    <w:p w14:paraId="4454E785" w14:textId="77777777" w:rsidR="003E7651" w:rsidRDefault="003E7651" w:rsidP="003E7651">
      <w:pPr>
        <w:pStyle w:val="Tekst"/>
      </w:pPr>
      <w:r>
        <w:t>The work of the European Court of Human Rights (ECtHR) was monitored in 2021 as well.  The summaries of the latest cases of that court were translated and 49 summaries were published in 2021 that were also being delivered to the case law departments on a regular basis for a faster and more effective familiarisation with the positions and standards taken in those cases.   Weekly reviews of the ECtHR case law were also translated and additionally adapted with  information that are in the focus of the BiH judiciary for the purpose of studying  the court’s case law.  Over 50 such news were published for the BiH judiciary and public in 2021.  The publications contain a plethora of information</w:t>
      </w:r>
      <w:r>
        <w:rPr>
          <w:rStyle w:val="FootnoteReference"/>
          <w:lang w:val="sr-Latn-RS"/>
        </w:rPr>
        <w:footnoteReference w:id="19"/>
      </w:r>
      <w:r>
        <w:t xml:space="preserve"> and the links to the database of  ECtHR decisions in the integral text.    In the said project, 42 selected decisions of the European Court for Human Rights were translated from French to the languages of the constituent people in Bosnia and Herzegovina.</w:t>
      </w:r>
      <w:r>
        <w:rPr>
          <w:rStyle w:val="FootnoteReference"/>
          <w:lang w:val="sr-Latn-RS"/>
        </w:rPr>
        <w:footnoteReference w:id="20"/>
      </w:r>
      <w:r>
        <w:t xml:space="preserve"> </w:t>
      </w:r>
    </w:p>
    <w:p w14:paraId="0842AAC4" w14:textId="77777777" w:rsidR="003E7651" w:rsidRDefault="003E7651" w:rsidP="003E7651">
      <w:pPr>
        <w:pStyle w:val="Tekst"/>
      </w:pPr>
      <w:r>
        <w:t xml:space="preserve">In 2021, under the category “Laws,” 134 pieces of information on newly adopted laws on the level of the Brcko District of BiH, entities and Bosnia and Herzegovina were published with the accompanying legislative texts.  Compilations of opinions of consultative panels of European judges and prosecutors were published in  the “Professional Publications” section, as well as the issues 13 and 14 of the </w:t>
      </w:r>
      <w:r>
        <w:rPr>
          <w:i/>
          <w:iCs/>
        </w:rPr>
        <w:t>Legal Chronicle</w:t>
      </w:r>
      <w:r>
        <w:t xml:space="preserve"> magazine that the HJPC BiH develops and publishes together in cooperation with the AIRE Centre from London. </w:t>
      </w:r>
    </w:p>
    <w:p w14:paraId="009DE5B1" w14:textId="77777777" w:rsidR="003E7651" w:rsidRDefault="003E7651" w:rsidP="003E7651">
      <w:pPr>
        <w:pStyle w:val="Tekst"/>
      </w:pPr>
      <w:r>
        <w:t xml:space="preserve">The activity that the HJPC BiH has been carrying out to improve judicial quality has been promoted on a regular basis.  The trainings about the method of utilising the HJPC BiH Database of Court Decisions and other published contents have been carried out for the newly appointed judicial office holders on a regular basis within the entity judicial and prosecutorial training centres.  </w:t>
      </w:r>
    </w:p>
    <w:p w14:paraId="44816B87" w14:textId="0ACED8C9" w:rsidR="003E7651" w:rsidRDefault="003E7651" w:rsidP="003E7651">
      <w:pPr>
        <w:pStyle w:val="Tekst"/>
      </w:pPr>
      <w:r>
        <w:lastRenderedPageBreak/>
        <w:t xml:space="preserve">In 2021, three trainings were carried out for the students of the law faculties within the </w:t>
      </w:r>
      <w:r>
        <w:rPr>
          <w:i/>
          <w:iCs/>
        </w:rPr>
        <w:t xml:space="preserve">Building an Effective and Citizen-Friendly Judiciary Project </w:t>
      </w:r>
      <w:r>
        <w:t xml:space="preserve">(IPA 2017).  The trainings included, among other things, a presentation of the information system of the HJPC BiH Secretariat Court Documentation and Training Department, the Database of Court Decisions primarily, but other content published through this information system as well.  The trainings turned out to be very useful, because the Database of Court Decisions is a significant tool to help students in making research papers, while the web-site </w:t>
      </w:r>
      <w:hyperlink r:id="rId65" w:history="1">
        <w:r>
          <w:rPr>
            <w:rStyle w:val="Hyperlink"/>
          </w:rPr>
          <w:t>www.pravosudje.ba/csd</w:t>
        </w:r>
      </w:hyperlink>
      <w:r>
        <w:rPr>
          <w:rStyle w:val="Hyperlink"/>
        </w:rPr>
        <w:t xml:space="preserve"> </w:t>
      </w:r>
      <w:r>
        <w:t xml:space="preserve"> is a significant source of information on the newly adopted laws and other professional publications and other materials.   This web-site has been updated by other useful contents on a regular basis, while all information are official and updated and they are delivered to all users in the judiciary by an e-leaflet </w:t>
      </w:r>
      <w:r>
        <w:rPr>
          <w:i/>
          <w:iCs/>
        </w:rPr>
        <w:t>Case Law and Newly Adopted Laws</w:t>
      </w:r>
      <w:r>
        <w:t xml:space="preserve">.  In 2021, 150,843 visitors searched the database of court decisions and other published contents 214,661 times. </w:t>
      </w:r>
    </w:p>
    <w:p w14:paraId="3406E4AC" w14:textId="64EC1B26" w:rsidR="003E7651" w:rsidRDefault="003E7651" w:rsidP="003E7651">
      <w:pPr>
        <w:pStyle w:val="DRUGINASLOV"/>
      </w:pPr>
      <w:bookmarkStart w:id="156" w:name="_Toc97722088"/>
      <w:bookmarkStart w:id="157" w:name="_Toc101944254"/>
      <w:bookmarkStart w:id="158" w:name="_Toc112852460"/>
      <w:r>
        <w:t>The implementation of the Revised National War Crime Strategy and monitoring the work of courts and prosecutor’s office on war crimes cases</w:t>
      </w:r>
      <w:bookmarkEnd w:id="156"/>
      <w:bookmarkEnd w:id="157"/>
      <w:bookmarkEnd w:id="158"/>
    </w:p>
    <w:p w14:paraId="077F7C7F" w14:textId="77777777" w:rsidR="003E7651" w:rsidRPr="00C573D2" w:rsidRDefault="003E7651" w:rsidP="003E7651">
      <w:pPr>
        <w:pStyle w:val="Tekst"/>
      </w:pPr>
      <w:r>
        <w:t xml:space="preserve">Defining a set of strategic objectives structured in individual measures, the Council of Ministers of BiH adopted a Revised National War Crimes Strategy (Revised National Strategy) on 24 September 2020.  In the absence of the Supervisory Body, the HJPC BiH, meaning the Standing Committee for the Efficiency and Quality of the Prosecutor’s Offices and Courts has undertaken activities, measures and actions to improve the efficiency of processing war crime cases in the courts and prosecutor’s offices in BiH through the timely implementation of objectives and measures of the Revised National War Crimes Strategy.   Specifically, following the methodology of strategic objectives and individual measures from the Revised National War Crimes Strategy, the HJPC BiH defined the measures to improve human and material resources in the courts and prosecutor’s offices, as well as those to improve the budget capacity.   Furthermore, the areas of improvement of organisation, efficiency and quality of the prosecutor’s offices and efficiency of the court proceedings have been dealt with.  Parallel to that, the assignment of war crime cases to different levels of the judiciary as per their complexity was coordinated and the legal framework for the prioritization of work on complex cases in the Prosecutor’s Office of BiH was adopted.  Furthermore, the HJPC BiH issued an instruction for processing regional cases with persons with no access and organised regular and specialised training of judges and prosecutors, as well as for the defence attorneys in war crime cases.  Apart from the aforesaid, a mechanism for regular communication with all witness support departments was established, as well as the one for identification specific problems in work.  In the end, the HJPC focused on the issue of efficiency in the cooperation between the prosecutor’s offices and law enforcement agencies in the war crime cases.  All the measures that the HJPC BiH undertook, according to the scope of HJPC BiH competences, are of organisational and strategic character.   In relation to that, a complete and timely implementation of the Revised National Strategy depends on the efficiency of prosecutor’s offices and courts.  </w:t>
      </w:r>
    </w:p>
    <w:p w14:paraId="40D7B7BA" w14:textId="77777777" w:rsidR="003E7651" w:rsidRDefault="003E7651" w:rsidP="003E7651">
      <w:pPr>
        <w:pStyle w:val="Tekst"/>
      </w:pPr>
      <w:r>
        <w:lastRenderedPageBreak/>
        <w:t xml:space="preserve">Timely activities of the HJPC BiH in chronological implementation of objectives and measures of the Revised National War Crimes Strategy resulted in the following: </w:t>
      </w:r>
    </w:p>
    <w:p w14:paraId="2EB03F20" w14:textId="77777777" w:rsidR="003E7651" w:rsidRPr="00163275" w:rsidRDefault="003E7651" w:rsidP="00FC3123">
      <w:pPr>
        <w:pStyle w:val="Tekst"/>
        <w:numPr>
          <w:ilvl w:val="0"/>
          <w:numId w:val="19"/>
        </w:numPr>
      </w:pPr>
      <w:r>
        <w:t xml:space="preserve">The HJPC BiH and Standing Committee for Efficiency and Quality of Courts and Prosecutor’s Offices coordinated and approved the implementation of the Enhancing the Processing of War Crimes Cases in BiH - IPA 2019, that tracks the processing of war crimes cases on a regular basis.   Apart from that, the project supported 27 courts and prosecutor’s offices in the BiH judiciary by allocating significant funds and reinforced it by additional 106 posts of professional and administrative staff to work in this type of cases. Parallel to that, the needs of the courts and prosecutor’s offices for institutional capacities were fully evaluated for the purpose of a timely completion of the Revised National War Crimes Strategy. Analysing the budget proposals, the HJPC BiH called on the managers of courts and prosecutors offices to be proactive and defined the recommendations to include the highlighted needs in the budget proposals of courts and prosecutors offices for 2022 and 2023. </w:t>
      </w:r>
    </w:p>
    <w:p w14:paraId="3A727F53" w14:textId="77777777" w:rsidR="003E7651" w:rsidRPr="00163275" w:rsidRDefault="003E7651" w:rsidP="00FC3123">
      <w:pPr>
        <w:pStyle w:val="Tekst"/>
        <w:numPr>
          <w:ilvl w:val="0"/>
          <w:numId w:val="19"/>
        </w:numPr>
      </w:pPr>
      <w:r>
        <w:t xml:space="preserve">The HJPC BiH, i.e. its Standing Committee for Efficiency and Quality of Prosecutor’s Offices, urgently issued mandatory instructions to the Prosecutor’s Office of BiH to update and integrate the data on the persons of the Hague “A” category.  An order has also been sent to the Prosecutor’s Office of BiH to update its Centralised Database.  The HJPC BiH is informing on a regular basis the public about the courts and prosecutor’s office processing war crimes cases and is informing the interested parties.  </w:t>
      </w:r>
    </w:p>
    <w:p w14:paraId="558B5EAE" w14:textId="77777777" w:rsidR="003E7651" w:rsidRPr="00163275" w:rsidRDefault="003E7651" w:rsidP="00FC3123">
      <w:pPr>
        <w:pStyle w:val="Tekst"/>
        <w:numPr>
          <w:ilvl w:val="0"/>
          <w:numId w:val="19"/>
        </w:numPr>
      </w:pPr>
      <w:r>
        <w:t xml:space="preserve">The HJPC BiH adopted the Guidelines for the chief prosecutors for the Prosecutor’s Office of BiH, Prosecutor’s Office of FBiH, Prosecutor’s Office of RS and Prosecutor's Office of BD on Mandatory Compliance with the Revised National War Crimes Strategy and decisions, conclusions and recommendations. The HJPC BiH Guidelines define the Revised National War Crimes Strategy as binding, establish a comprehensive legal framework for efficient and quality work of the prosecutor’s offices that prioritise complex war crimes cases with recorded persons of the Hague “A” category and specify the disciplinary liability of the prosecutors. </w:t>
      </w:r>
    </w:p>
    <w:p w14:paraId="5EBC16A5" w14:textId="77777777" w:rsidR="003E7651" w:rsidRPr="00163275" w:rsidRDefault="003E7651" w:rsidP="00FC3123">
      <w:pPr>
        <w:pStyle w:val="Tekst"/>
        <w:numPr>
          <w:ilvl w:val="0"/>
          <w:numId w:val="19"/>
        </w:numPr>
      </w:pPr>
      <w:r>
        <w:t xml:space="preserve">The new HJPC BiH instructions on development of plans for processing war crimes cases in the prosecutor’s offices established a mandatory framework for efficient planning and organisation of work of prosecutor’s offices, equal assignment of tasks only focusing on the war crimes cases.   In addition, the same guidelines have been adopted for the courts as well.  </w:t>
      </w:r>
    </w:p>
    <w:p w14:paraId="70BDA52F" w14:textId="77777777" w:rsidR="003E7651" w:rsidRPr="00163275" w:rsidRDefault="003E7651" w:rsidP="00FC3123">
      <w:pPr>
        <w:pStyle w:val="Tekst"/>
        <w:numPr>
          <w:ilvl w:val="0"/>
          <w:numId w:val="19"/>
        </w:numPr>
      </w:pPr>
      <w:r>
        <w:t xml:space="preserve">The coordination of activities and monitoring the implementation of the plan of the Court and Prosecutor’s Office of BiH contributed to the finalisation of an intensified process of ceding less complex KTRZ war crimes cases to the entity, i.e. the judiciary of the BD.  Assignment of cases have made the preconditions for complete efficiency and the capacities of the Court of BiH and Prosecutor’s Office of BiH have been freed to process the most complex war crimes cases. </w:t>
      </w:r>
    </w:p>
    <w:p w14:paraId="3676F5D5" w14:textId="77777777" w:rsidR="003E7651" w:rsidRPr="00163275" w:rsidRDefault="003E7651" w:rsidP="00FC3123">
      <w:pPr>
        <w:pStyle w:val="Tekst"/>
        <w:numPr>
          <w:ilvl w:val="0"/>
          <w:numId w:val="19"/>
        </w:numPr>
      </w:pPr>
      <w:r>
        <w:lastRenderedPageBreak/>
        <w:t xml:space="preserve">The HJPC BiH has established a comprehensive reporting mechanism on everyday work, human and material resources, identified issues and overall functioning of the witness support department in courts and prosecutor’s offices.  The courts and prosecutor’s offices of the entities/BD BiH deliver the relevant information to the Court of BiH and the Prosecutors Office of BiH  on a regular basis, which the HJPC BiH then considers and makes relevant decisions in order to improve the procedural and financial status of the witnesses.  </w:t>
      </w:r>
    </w:p>
    <w:p w14:paraId="0CC1CCAA" w14:textId="77777777" w:rsidR="003E7651" w:rsidRPr="00163275" w:rsidRDefault="003E7651" w:rsidP="00FC3123">
      <w:pPr>
        <w:pStyle w:val="Tekst"/>
        <w:numPr>
          <w:ilvl w:val="0"/>
          <w:numId w:val="19"/>
        </w:numPr>
      </w:pPr>
      <w:r>
        <w:t xml:space="preserve">The HJPC BiH adopted the Guidelines for the chief prosecutors for the Prosecutor’s Office of BiH, Prosecutor’s Office of FBiH, Prosecutor’s Office of RS and Prosecutor's Office of BD on the adoption of general and mandatory instructions on the mandatory framework of legal and ethical standards.  In addition to specific definition of disciplinary responsibility, the guidelines enable the chief prosecutors to more efficiently monitor the legality of their work and establish a mandatory framework for responsible prosecution of the entire criminal event.  </w:t>
      </w:r>
    </w:p>
    <w:p w14:paraId="01D558E6" w14:textId="77777777" w:rsidR="003E7651" w:rsidRPr="00163275" w:rsidRDefault="003E7651" w:rsidP="00FC3123">
      <w:pPr>
        <w:pStyle w:val="Tekst"/>
        <w:numPr>
          <w:ilvl w:val="0"/>
          <w:numId w:val="19"/>
        </w:numPr>
      </w:pPr>
      <w:r>
        <w:t xml:space="preserve">In cooperation with the centres for judicial and prosecutorial training of FBiH/RS, the HJPC BiH continued holding on a regular basis multi-day general and specialised trainings for judges, prosecutors and attorneys working on the war crime cases.  In 2021, two such trainings were held where over 50 judicial office holders participated.  </w:t>
      </w:r>
    </w:p>
    <w:p w14:paraId="70C01970" w14:textId="77777777" w:rsidR="003E7651" w:rsidRPr="00163275" w:rsidRDefault="003E7651" w:rsidP="00FC3123">
      <w:pPr>
        <w:pStyle w:val="Tekst"/>
        <w:numPr>
          <w:ilvl w:val="0"/>
          <w:numId w:val="19"/>
        </w:numPr>
      </w:pPr>
      <w:r>
        <w:t xml:space="preserve">Within the regular monitoring, the HJPC BiH and the Standing Committee for the Efficiency and Quality of the Courts and Prosecutor’s Offices considered annual and semi-annual reports on the work of the BiH judiciary on war crime cases.   In addition, the HJPC BiH Standing Committee for Efficiency and Quality of the Prosecutor’s Offices monitored on a regular basis the implementation of the Instruction for Development of Plans for processing war crimes cases by prosecutor’s offices and the implementation percentage  of the plans to process this type of cases. In relation to that, a number of binding decisions were adopted that were forwarded to the courts and prosecutor’s offices for mandatory action with the aim of improving the dynamics of efficiency and quality of the war crime cases processing.  </w:t>
      </w:r>
    </w:p>
    <w:p w14:paraId="149CCC23" w14:textId="77777777" w:rsidR="003E7651" w:rsidRPr="00163275" w:rsidRDefault="003E7651" w:rsidP="00FC3123">
      <w:pPr>
        <w:pStyle w:val="Tekst"/>
        <w:numPr>
          <w:ilvl w:val="0"/>
          <w:numId w:val="19"/>
        </w:numPr>
      </w:pPr>
      <w:r>
        <w:t xml:space="preserve">Within the Strategic Forum of the chief prosecutors and heads of law enforcement agencies of BiH, RS, FBiH and BD BiH, with the support of the HJPC BiH, the issue of cooperation between the prosecutor's offices and law enforcement agencies was considered and a number of conclusions and recommendations were made regarding the key aspects of that cooperation.  </w:t>
      </w:r>
    </w:p>
    <w:p w14:paraId="48DB66E8" w14:textId="77777777" w:rsidR="003E7651" w:rsidRPr="004B3CF1" w:rsidRDefault="003E7651" w:rsidP="003E7651">
      <w:pPr>
        <w:pStyle w:val="DRUGINASLOV"/>
      </w:pPr>
      <w:bookmarkStart w:id="159" w:name="_Toc97722089"/>
      <w:bookmarkStart w:id="160" w:name="_Toc101944255"/>
      <w:bookmarkStart w:id="161" w:name="_Toc112852461"/>
      <w:r w:rsidRPr="004B3CF1">
        <w:t>Integrity</w:t>
      </w:r>
      <w:bookmarkEnd w:id="159"/>
      <w:bookmarkEnd w:id="160"/>
      <w:bookmarkEnd w:id="161"/>
      <w:r w:rsidRPr="004B3CF1">
        <w:t xml:space="preserve"> </w:t>
      </w:r>
    </w:p>
    <w:p w14:paraId="2407ABF9" w14:textId="77777777" w:rsidR="003E7651" w:rsidRPr="004B3CF1" w:rsidRDefault="003E7651" w:rsidP="003E7651">
      <w:pPr>
        <w:pStyle w:val="Tekst"/>
      </w:pPr>
      <w:r w:rsidRPr="004B3CF1">
        <w:t xml:space="preserve">With a view to strengthening judicial integrity and accountability, in the light of obligations assumed and objectives set in the context of European integration of BiH as underlined in the Peer Review and GRECO recommendations, in 2021, the HJPC continued implementing the planned priority activities aimed at building the capacity to prevent and detect conflict of interest and corrupt conduct among judicial office holders in BiH. The implementation of integrity and accountability-related activities is one of the strategic objectives of the judicial reform and these </w:t>
      </w:r>
      <w:r w:rsidRPr="004B3CF1">
        <w:lastRenderedPageBreak/>
        <w:t xml:space="preserve">activities are implemented by the HJPC working bodies with technical and professional support provided by the USAID's Judiciary Against Corruption Activity. </w:t>
      </w:r>
    </w:p>
    <w:p w14:paraId="555D3331" w14:textId="77777777" w:rsidR="003E7651" w:rsidRPr="004B3CF1" w:rsidRDefault="003E7651" w:rsidP="003E7651">
      <w:pPr>
        <w:pStyle w:val="Tekst"/>
      </w:pPr>
      <w:r w:rsidRPr="004B3CF1">
        <w:t xml:space="preserve">The Integrity Department, as a separate organisational unit, is responsible to ensure the implementation of and compliance with regulations governing asset declarations of judges and prosecutors, codes of judicial and prosecutorial ethics and conflict of interest prevention, the implementation of integrity plans in judicial institutions and in the HJPC and to provide support to the HJPC disciplinary panels. To identify and implement these activities, the HJPC has formed the Standing Committee for Ethics, Integrity and Accountability of Judges and Prosecutors, as a professional body of the HJPC responsible for consideration of all matters in this field. The recruitment process to fill the positions in the Integrity Department was carried out in 2021.   </w:t>
      </w:r>
      <w:r>
        <w:t xml:space="preserve">  </w:t>
      </w:r>
    </w:p>
    <w:p w14:paraId="7381C06E" w14:textId="77777777" w:rsidR="003E7651" w:rsidRPr="004B3CF1" w:rsidRDefault="003E7651" w:rsidP="003E7651">
      <w:pPr>
        <w:pStyle w:val="TREINASLOV"/>
      </w:pPr>
      <w:bookmarkStart w:id="162" w:name="_Toc97722090"/>
      <w:bookmarkStart w:id="163" w:name="_Toc101944256"/>
      <w:bookmarkStart w:id="164" w:name="_Toc112852462"/>
      <w:r w:rsidRPr="004B3CF1">
        <w:t>Asset declarations of judges and prosecutors</w:t>
      </w:r>
      <w:bookmarkEnd w:id="162"/>
      <w:bookmarkEnd w:id="163"/>
      <w:bookmarkEnd w:id="164"/>
    </w:p>
    <w:p w14:paraId="53C02FCD" w14:textId="77777777" w:rsidR="003E7651" w:rsidRPr="004B3CF1" w:rsidRDefault="003E7651" w:rsidP="003E7651">
      <w:pPr>
        <w:pStyle w:val="Tekst"/>
      </w:pPr>
      <w:r w:rsidRPr="004B3CF1">
        <w:t>Following the adoption of the Book of Rules on Submission, Verification and Processing of Financial Statements of Judges and Prosecutors (hereinafter: the Book of Rules) by the HJPC in September 2018, along with the accompanying form, which regulates the submission, verification, keeping, processing and access to financial statements that contain information on  assets of judges and prosecutors, their spouses and children with whom they live in the same household, in February 2019, in its decision upon the request of the Association of Judges in BiH, the Personal Data Protection Agency of BiH (hereinafter: the Agency) found that the HJPC BiH exceeded its authority under Article 86 of the Law on the HJPC BiH and prohibited the application of the Book of Rules. Acting on the basis of the Court of BiH judgement rendered in January 2020, which rejected the HJPC complaint agains</w:t>
      </w:r>
      <w:r>
        <w:t xml:space="preserve">t the Agency as ungrounded and </w:t>
      </w:r>
      <w:r w:rsidRPr="004B3CF1">
        <w:t xml:space="preserve">fully upheld the decision of the Agency, in February 2020, the HJPC rendered the Book of Rules ineffective and decided that the financial statements of judges and prosecutors for 2019 were to be submitted to the HJPC using the old form. </w:t>
      </w:r>
    </w:p>
    <w:p w14:paraId="0EF69E6C" w14:textId="77777777" w:rsidR="003E7651" w:rsidRPr="004B3CF1" w:rsidRDefault="003E7651" w:rsidP="003E7651">
      <w:pPr>
        <w:pStyle w:val="Tekst"/>
      </w:pPr>
      <w:r w:rsidRPr="004B3CF1">
        <w:t>According to the records, out of 1,431 judicia</w:t>
      </w:r>
      <w:r>
        <w:t xml:space="preserve">l office holders in BiH, seven </w:t>
      </w:r>
      <w:r w:rsidRPr="004B3CF1">
        <w:t>failed to submit their financial statement for 2020, of whom two were on long-term sick leave and five suspended. As for voluntary disclosure, 191 judicial office holders consented to disclosure of their 2020 financial statements, which have been subsequently published on the HJPC website.</w:t>
      </w:r>
    </w:p>
    <w:p w14:paraId="26284BA2" w14:textId="77777777" w:rsidR="003E7651" w:rsidRPr="004B3CF1" w:rsidRDefault="003E7651" w:rsidP="003E7651">
      <w:pPr>
        <w:pStyle w:val="Tekst"/>
      </w:pPr>
      <w:r w:rsidRPr="004B3CF1">
        <w:t>In the total number of financial statements submitted in the reporting period by judges and prosecutors, 177 of them reported 276 additional activities. When it comes to permitted activities paid in the amount of up to 40% of annual judge’s or prosecutor’s income, two judicial office holders earned an amount exceeding the one permitted, and the Office of the Disciplinary Counsel (ODC) has been notified of that. The largest number of paid additional activities refers to training services, author's honorariums, membership in the bar exam panels, etc. In 2021, the HJPC issued 53 opinions, of which 44 were on compatibility of offices, seven on incompatibility of offices, one in which the Council declared itself incompetent to decide the reque</w:t>
      </w:r>
      <w:r>
        <w:t>st and one request was ref</w:t>
      </w:r>
      <w:r w:rsidRPr="004B3CF1">
        <w:t>er</w:t>
      </w:r>
      <w:r>
        <w:t>r</w:t>
      </w:r>
      <w:r w:rsidRPr="004B3CF1">
        <w:t xml:space="preserve">ed to the ODC.  </w:t>
      </w:r>
    </w:p>
    <w:p w14:paraId="23A82383" w14:textId="77777777" w:rsidR="003E7651" w:rsidRPr="004B3CF1" w:rsidRDefault="003E7651" w:rsidP="003E7651">
      <w:pPr>
        <w:pStyle w:val="TREINASLOV"/>
        <w:rPr>
          <w:sz w:val="24"/>
          <w:szCs w:val="24"/>
        </w:rPr>
      </w:pPr>
      <w:bookmarkStart w:id="165" w:name="_Toc112852463"/>
      <w:bookmarkStart w:id="166" w:name="_Toc97722091"/>
      <w:bookmarkStart w:id="167" w:name="_Toc101944257"/>
      <w:r w:rsidRPr="004B3CF1">
        <w:lastRenderedPageBreak/>
        <w:t>Ethics, integrity and conflict of interest</w:t>
      </w:r>
      <w:bookmarkEnd w:id="165"/>
      <w:r w:rsidRPr="004B3CF1">
        <w:t xml:space="preserve"> </w:t>
      </w:r>
      <w:bookmarkEnd w:id="166"/>
      <w:bookmarkEnd w:id="167"/>
      <w:r w:rsidRPr="004B3CF1">
        <w:t xml:space="preserve"> </w:t>
      </w:r>
    </w:p>
    <w:p w14:paraId="04670F11" w14:textId="77777777" w:rsidR="003E7651" w:rsidRPr="004B3CF1" w:rsidRDefault="003E7651" w:rsidP="003E7651">
      <w:pPr>
        <w:pStyle w:val="Tekst"/>
      </w:pPr>
      <w:r w:rsidRPr="004B3CF1">
        <w:t>To further strengthen professionalism and integrity of judges and prosecutors, the HJPC has taken additional steps to improve prevention, supervision and s</w:t>
      </w:r>
      <w:r>
        <w:t>anctioning policy</w:t>
      </w:r>
      <w:r w:rsidRPr="004B3CF1">
        <w:t xml:space="preserve"> aimed at implementing the documents it has adopted in this area.</w:t>
      </w:r>
    </w:p>
    <w:p w14:paraId="00B9B4AE" w14:textId="77777777" w:rsidR="003E7651" w:rsidRPr="004B3CF1" w:rsidRDefault="003E7651" w:rsidP="003E7651">
      <w:pPr>
        <w:pStyle w:val="Tekst"/>
      </w:pPr>
      <w:r w:rsidRPr="0035090D">
        <w:t xml:space="preserve">At the same time, the monitoring of the application of and compliance with the codes of judicial and prosecutorial ethics, regulations on conflicts of interest in the judiciary, and integrity plans of the courts and prosecutor's offices with reference to the ethical conduct of judges and prosecutors and their integrity </w:t>
      </w:r>
      <w:r>
        <w:t xml:space="preserve">has </w:t>
      </w:r>
      <w:r w:rsidRPr="0035090D">
        <w:t>continued</w:t>
      </w:r>
      <w:r>
        <w:t xml:space="preserve">. </w:t>
      </w:r>
      <w:r w:rsidRPr="004B3CF1">
        <w:t xml:space="preserve">The activities involve ongoing collection and analysis of data submitted to the HJPC through the institutional mechanisms and records for implementation of the Guidelines for the Prevention of Conflict of Interest in the Judiciary that the HJPC adopted in September 2019. </w:t>
      </w:r>
    </w:p>
    <w:p w14:paraId="6F551ED8" w14:textId="77777777" w:rsidR="003E7651" w:rsidRPr="004B3CF1" w:rsidRDefault="003E7651" w:rsidP="003E7651">
      <w:pPr>
        <w:pStyle w:val="Tekst"/>
      </w:pPr>
      <w:r w:rsidRPr="004B3CF1">
        <w:t>As for the implementation of integrity plans in judicial institutions, which are preventive internal anti-corruption documents that contain an overview of identified and analysed integrity risks in the judiciary, the integrity plan implementation reports were collected from judicial institutions in 2020, and, based on them, the 202</w:t>
      </w:r>
      <w:r>
        <w:t xml:space="preserve">0 Annual Report was prepared. </w:t>
      </w:r>
      <w:r w:rsidRPr="004B3CF1">
        <w:t>The report contains the recommendations to judicial institutions for further implementation of integrity plans, and the executive and legislative bodies at all levels of BiH wer</w:t>
      </w:r>
      <w:r>
        <w:t>e called upon to demonstrate their understanding of the matter</w:t>
      </w:r>
      <w:r w:rsidRPr="004B3CF1">
        <w:t xml:space="preserve"> and willingness to cooperate with judicial institutions in implementing the measures </w:t>
      </w:r>
      <w:r>
        <w:t>from integrity plans, as</w:t>
      </w:r>
      <w:r w:rsidRPr="004B3CF1">
        <w:t xml:space="preserve"> required.</w:t>
      </w:r>
    </w:p>
    <w:p w14:paraId="2F8D480C" w14:textId="77777777" w:rsidR="003E7651" w:rsidRPr="004B3CF1" w:rsidRDefault="003E7651" w:rsidP="003E7651">
      <w:pPr>
        <w:pStyle w:val="ListParagraph"/>
        <w:spacing w:before="80"/>
        <w:ind w:left="0"/>
        <w:jc w:val="both"/>
        <w:rPr>
          <w:rFonts w:ascii="Arial" w:hAnsi="Arial" w:cs="Arial"/>
        </w:rPr>
      </w:pPr>
    </w:p>
    <w:p w14:paraId="5A11B1E0" w14:textId="77777777" w:rsidR="003E7651" w:rsidRPr="004B3CF1" w:rsidRDefault="003E7651" w:rsidP="003E7651">
      <w:pPr>
        <w:pStyle w:val="ListParagraph"/>
        <w:spacing w:before="80"/>
        <w:ind w:left="0"/>
        <w:jc w:val="both"/>
        <w:rPr>
          <w:rFonts w:ascii="Arial" w:hAnsi="Arial" w:cs="Arial"/>
          <w:highlight w:val="yellow"/>
        </w:rPr>
      </w:pPr>
    </w:p>
    <w:p w14:paraId="73E1BD15" w14:textId="77777777" w:rsidR="003E7651" w:rsidRPr="004B3CF1" w:rsidRDefault="003E7651" w:rsidP="003E7651">
      <w:pPr>
        <w:pStyle w:val="ListParagraph"/>
        <w:spacing w:before="80"/>
        <w:ind w:left="0"/>
        <w:jc w:val="both"/>
        <w:rPr>
          <w:rFonts w:ascii="Arial" w:hAnsi="Arial" w:cs="Arial"/>
        </w:rPr>
      </w:pPr>
    </w:p>
    <w:p w14:paraId="361FBF3F" w14:textId="77777777" w:rsidR="003E7651" w:rsidRPr="004B3CF1" w:rsidRDefault="003E7651" w:rsidP="003E7651">
      <w:pPr>
        <w:rPr>
          <w:rFonts w:ascii="Arial" w:hAnsi="Arial" w:cs="Arial"/>
        </w:rPr>
      </w:pPr>
    </w:p>
    <w:p w14:paraId="7AF8AE06" w14:textId="77777777" w:rsidR="003E7651" w:rsidRPr="00AF0957" w:rsidRDefault="003E7651" w:rsidP="003E7651">
      <w:pPr>
        <w:rPr>
          <w:rFonts w:ascii="Arial" w:hAnsi="Arial" w:cs="Arial"/>
          <w:b/>
          <w:sz w:val="32"/>
          <w:szCs w:val="32"/>
        </w:rPr>
      </w:pPr>
      <w:r w:rsidRPr="004B3CF1">
        <w:br w:type="page"/>
      </w:r>
    </w:p>
    <w:p w14:paraId="313909BA" w14:textId="77777777" w:rsidR="003E7651" w:rsidRPr="004B3CF1" w:rsidRDefault="003E7651" w:rsidP="003E7651">
      <w:pPr>
        <w:pStyle w:val="PRVINASLOV"/>
      </w:pPr>
      <w:bookmarkStart w:id="168" w:name="_Toc97722092"/>
      <w:bookmarkStart w:id="169" w:name="_Toc101944258"/>
      <w:bookmarkStart w:id="170" w:name="_Toc112852464"/>
      <w:r w:rsidRPr="004B3CF1">
        <w:lastRenderedPageBreak/>
        <w:t>ANNEX 1:</w:t>
      </w:r>
      <w:r w:rsidRPr="004B3CF1">
        <w:tab/>
        <w:t>RECOMMENDATIONS</w:t>
      </w:r>
      <w:bookmarkEnd w:id="168"/>
      <w:bookmarkEnd w:id="169"/>
      <w:bookmarkEnd w:id="170"/>
    </w:p>
    <w:p w14:paraId="7436ED9F" w14:textId="77777777" w:rsidR="003E7651" w:rsidRPr="004B3CF1" w:rsidRDefault="003E7651" w:rsidP="003E7651">
      <w:pPr>
        <w:pStyle w:val="DRUGINASLOV"/>
      </w:pPr>
      <w:bookmarkStart w:id="171" w:name="_Toc101944259"/>
      <w:bookmarkStart w:id="172" w:name="_Toc112852465"/>
      <w:r w:rsidRPr="004B3CF1">
        <w:t>Judicial efficiency</w:t>
      </w:r>
      <w:bookmarkEnd w:id="171"/>
      <w:bookmarkEnd w:id="172"/>
    </w:p>
    <w:p w14:paraId="7A46F0C8" w14:textId="77777777" w:rsidR="003E7651" w:rsidRPr="004B3CF1" w:rsidRDefault="003E7651" w:rsidP="003E7651">
      <w:pPr>
        <w:pStyle w:val="TREINASLOV"/>
      </w:pPr>
      <w:bookmarkStart w:id="173" w:name="_Toc101944260"/>
      <w:bookmarkStart w:id="174" w:name="_Toc112852466"/>
      <w:r w:rsidRPr="004B3CF1">
        <w:t>Recommendations pertaining to court efficiency</w:t>
      </w:r>
      <w:bookmarkEnd w:id="173"/>
      <w:bookmarkEnd w:id="174"/>
    </w:p>
    <w:p w14:paraId="0E902AF6" w14:textId="77777777" w:rsidR="003E7651" w:rsidRPr="004B3CF1" w:rsidRDefault="003E7651" w:rsidP="003E7651">
      <w:pPr>
        <w:pStyle w:val="Tackice"/>
      </w:pPr>
      <w:bookmarkStart w:id="175" w:name="_Hlk100674743"/>
      <w:r w:rsidRPr="004B3CF1">
        <w:t>The HJPC needs to exercise its regulatory role in its full capacity when it comes to policy making, coordination of judicial institutions and overseeing  their work so as to increase the efficiency of courts and prosecutor's offices, especially in prosecuting organised crime and corruption, as one of strategic objectives of the judiciary;</w:t>
      </w:r>
    </w:p>
    <w:bookmarkEnd w:id="175"/>
    <w:p w14:paraId="4BCCCE0C" w14:textId="77777777" w:rsidR="003E7651" w:rsidRPr="004B3CF1" w:rsidRDefault="003E7651" w:rsidP="003E7651">
      <w:pPr>
        <w:pStyle w:val="Tackice"/>
      </w:pPr>
      <w:r w:rsidRPr="004B3CF1">
        <w:t xml:space="preserve">It is recommended that the BiH executive and legislature, within their respective remits and in accordance with the recommendations contained in the EU strategic documents, take appropriate steps to relocate the enforcement phase from the courts and transfer it from court bailiffs to professional enforcement agents;  </w:t>
      </w:r>
    </w:p>
    <w:p w14:paraId="0B09826C" w14:textId="77777777" w:rsidR="003E7651" w:rsidRPr="004B3CF1" w:rsidRDefault="003E7651" w:rsidP="003E7651">
      <w:pPr>
        <w:pStyle w:val="Tackice"/>
        <w:rPr>
          <w:rFonts w:cs="Arial"/>
        </w:rPr>
      </w:pPr>
      <w:r w:rsidRPr="004B3CF1">
        <w:t>It is recommended that the executive branch take all necessary measures to improve the situation in enforcement departments of the courts, with a particular focus on adequate funding;</w:t>
      </w:r>
    </w:p>
    <w:p w14:paraId="06DD1778" w14:textId="77777777" w:rsidR="003E7651" w:rsidRPr="004B3CF1" w:rsidRDefault="003E7651" w:rsidP="003E7651">
      <w:pPr>
        <w:pStyle w:val="Tackice"/>
        <w:rPr>
          <w:rFonts w:cs="Arial"/>
        </w:rPr>
      </w:pPr>
      <w:r w:rsidRPr="004B3CF1">
        <w:t>It is recommended that the FBiH legislature adopt the proposed amendments to the Law on Enforcement Procedure as soon as possible, thereby contributing to greater efficiency in processing enforcement cases comprising the largest share of all cases in the BiH judiciary;</w:t>
      </w:r>
    </w:p>
    <w:p w14:paraId="6ADA0CD7" w14:textId="77777777" w:rsidR="003E7651" w:rsidRPr="004B3CF1" w:rsidRDefault="003E7651" w:rsidP="003E7651">
      <w:pPr>
        <w:pStyle w:val="Tackice"/>
      </w:pPr>
      <w:r w:rsidRPr="004B3CF1">
        <w:t>Courts should intensify the use of best practices in their mutual cooperation, thus enabling professional dialogue, harmonisation of case law and resolution of current issues that arise in the work of courts;</w:t>
      </w:r>
    </w:p>
    <w:p w14:paraId="4A2B816D" w14:textId="77777777" w:rsidR="003E7651" w:rsidRPr="004B3CF1" w:rsidRDefault="003E7651" w:rsidP="003E7651">
      <w:pPr>
        <w:pStyle w:val="Tackice"/>
      </w:pPr>
      <w:r w:rsidRPr="004B3CF1">
        <w:t>It is recommended that po</w:t>
      </w:r>
      <w:r>
        <w:t>licy makers support the HJPC</w:t>
      </w:r>
      <w:r w:rsidRPr="004B3CF1">
        <w:t xml:space="preserve"> in implementing activities aimed at improving the efficiency and quality of justice, which will ultimately prevent violations of the parties' right to a trial within a reasonable time, restore public confidence in BiH judiciary and strengthen the rule of law;</w:t>
      </w:r>
    </w:p>
    <w:p w14:paraId="02110D0A" w14:textId="77777777" w:rsidR="003E7651" w:rsidRPr="004B3CF1" w:rsidRDefault="003E7651" w:rsidP="003E7651">
      <w:pPr>
        <w:pStyle w:val="Tackice"/>
      </w:pPr>
      <w:r w:rsidRPr="004B3CF1">
        <w:t>In coordination with the competent ministries in BiH, continue working on the strategic framework for alternative dispute resolution in BiH in order to utilise its full potentials and provide citizens and business in BiH with an effecti</w:t>
      </w:r>
      <w:r>
        <w:t>ve alternative justice system;</w:t>
      </w:r>
    </w:p>
    <w:p w14:paraId="632DF553" w14:textId="77777777" w:rsidR="003E7651" w:rsidRPr="004B3CF1" w:rsidRDefault="003E7651" w:rsidP="003E7651">
      <w:pPr>
        <w:pStyle w:val="Tackice"/>
      </w:pPr>
      <w:r w:rsidRPr="004B3CF1">
        <w:t>The continuous application of the ENCJ standards and principles is recommended with a focus on strengthening the regulatory role of the HJPC BiH and its strategic policy development, with the ultimate goal of strengthening the independence and accountability of the BiH judiciary;</w:t>
      </w:r>
    </w:p>
    <w:p w14:paraId="75294FF0" w14:textId="77777777" w:rsidR="003E7651" w:rsidRPr="004B3CF1" w:rsidRDefault="003E7651" w:rsidP="003E7651">
      <w:pPr>
        <w:pStyle w:val="Tackice"/>
      </w:pPr>
      <w:r w:rsidRPr="004B3CF1">
        <w:t>Continue the implementation of the Strategy for Improving Gender Equality in the Judiciary in BiH and gender awareness raising</w:t>
      </w:r>
      <w:r>
        <w:t xml:space="preserve"> activities</w:t>
      </w:r>
      <w:r w:rsidRPr="004B3CF1">
        <w:t xml:space="preserve"> among judicial office holders including on specific needs of vulnerable groups in contact with the justice system so as </w:t>
      </w:r>
      <w:r w:rsidRPr="004B3CF1">
        <w:lastRenderedPageBreak/>
        <w:t>to ensure equal access to justice for all without discrimination, and provide vulnerable groups with the necessary support in exercising their rights;</w:t>
      </w:r>
    </w:p>
    <w:p w14:paraId="4CEC926A" w14:textId="77777777" w:rsidR="003E7651" w:rsidRPr="004B3CF1" w:rsidRDefault="003E7651" w:rsidP="003E7651">
      <w:pPr>
        <w:pStyle w:val="Tackice"/>
      </w:pPr>
      <w:r w:rsidRPr="004B3CF1">
        <w:t>The courts need to improve the quality of services they provide to citizens, which is primarily reflected in efficient court proceedings and well-reasoned, concise and reader-friendly decisions;</w:t>
      </w:r>
    </w:p>
    <w:p w14:paraId="2AB9B976" w14:textId="77777777" w:rsidR="003E7651" w:rsidRPr="004B3CF1" w:rsidRDefault="003E7651" w:rsidP="003E7651">
      <w:pPr>
        <w:pStyle w:val="Tackice"/>
      </w:pPr>
      <w:r w:rsidRPr="004B3CF1">
        <w:t>The quality of induction training for newly appointed judicial office holders needs to be improved, with a focus on the implementation of a functional mentoring system as a form of on-the-job training;</w:t>
      </w:r>
    </w:p>
    <w:p w14:paraId="320CAC40" w14:textId="77777777" w:rsidR="003E7651" w:rsidRPr="004B3CF1" w:rsidRDefault="003E7651" w:rsidP="003E7651">
      <w:pPr>
        <w:pStyle w:val="Tackice"/>
      </w:pPr>
      <w:r w:rsidRPr="004B3CF1">
        <w:t>To ensure smooth functioning of the judiciary in line with the recommendati</w:t>
      </w:r>
      <w:r>
        <w:t>ons of the HJPC</w:t>
      </w:r>
      <w:r w:rsidRPr="004B3CF1">
        <w:t xml:space="preserve"> and thus achieve judicial economy and efficiency of court proceedings, the executive and legislative authorities are recommended to make available optimal budgets;</w:t>
      </w:r>
    </w:p>
    <w:p w14:paraId="2B38D88F" w14:textId="77777777" w:rsidR="003E7651" w:rsidRPr="004B3CF1" w:rsidRDefault="003E7651" w:rsidP="003E7651">
      <w:pPr>
        <w:pStyle w:val="Tackice"/>
      </w:pPr>
      <w:r w:rsidRPr="004B3CF1">
        <w:t>Judicial institutions are recommended to plan their capital investments in a timely manner;</w:t>
      </w:r>
    </w:p>
    <w:p w14:paraId="3ED8C077" w14:textId="77777777" w:rsidR="003E7651" w:rsidRPr="004B3CF1" w:rsidRDefault="003E7651" w:rsidP="003E7651">
      <w:pPr>
        <w:pStyle w:val="Tackice"/>
      </w:pPr>
      <w:r w:rsidRPr="004B3CF1">
        <w:t xml:space="preserve">It is recommended that the legislature, </w:t>
      </w:r>
      <w:r>
        <w:t>with the support of the HJPC</w:t>
      </w:r>
      <w:r w:rsidRPr="004B3CF1">
        <w:t xml:space="preserve"> and representa</w:t>
      </w:r>
      <w:r>
        <w:t>tives of the judiciary, analyse and consider the options for</w:t>
      </w:r>
      <w:r w:rsidRPr="004B3CF1">
        <w:t xml:space="preserve"> civil procedure reform, with a focus on appeals, as well as the introduction of organisational and other measures that can contribute to more effective civil justice;</w:t>
      </w:r>
    </w:p>
    <w:p w14:paraId="1C5C58E5" w14:textId="77777777" w:rsidR="003E7651" w:rsidRPr="004B3CF1" w:rsidRDefault="003E7651" w:rsidP="003E7651">
      <w:pPr>
        <w:pStyle w:val="Tackice"/>
      </w:pPr>
      <w:r w:rsidRPr="004B3CF1">
        <w:t xml:space="preserve">Courts are advised to take all necessary actions to increase case disposition efficiency. </w:t>
      </w:r>
    </w:p>
    <w:p w14:paraId="1DCAFD7E" w14:textId="77777777" w:rsidR="003E7651" w:rsidRPr="004B3CF1" w:rsidRDefault="003E7651" w:rsidP="003E7651">
      <w:pPr>
        <w:pStyle w:val="TREINASLOV"/>
      </w:pPr>
      <w:bookmarkStart w:id="176" w:name="_Toc112852467"/>
      <w:bookmarkStart w:id="177" w:name="_Toc101944261"/>
      <w:r w:rsidRPr="004B3CF1">
        <w:t>Recommendations pertaining to efficiency of prosecutor's offices</w:t>
      </w:r>
      <w:bookmarkEnd w:id="176"/>
      <w:r w:rsidRPr="004B3CF1">
        <w:t xml:space="preserve"> </w:t>
      </w:r>
      <w:bookmarkEnd w:id="177"/>
    </w:p>
    <w:p w14:paraId="0F6B9C60" w14:textId="77777777" w:rsidR="003E7651" w:rsidRPr="004B3CF1" w:rsidRDefault="003E7651" w:rsidP="003E7651">
      <w:pPr>
        <w:pStyle w:val="Tackice"/>
      </w:pPr>
      <w:r w:rsidRPr="004B3CF1">
        <w:t>In cooperation with police agencies, the prosecutor's offices need to identify priority areas in fighting corruption and organised crime, develop</w:t>
      </w:r>
      <w:r>
        <w:t xml:space="preserve"> action plans for cooperation between</w:t>
      </w:r>
      <w:r w:rsidRPr="004B3CF1">
        <w:t xml:space="preserve"> prosecutor's offices and police agencies and ensure supervision over their implementation.</w:t>
      </w:r>
    </w:p>
    <w:p w14:paraId="2E5ABAEF" w14:textId="77777777" w:rsidR="003E7651" w:rsidRPr="004B3CF1" w:rsidRDefault="003E7651" w:rsidP="003E7651">
      <w:pPr>
        <w:pStyle w:val="Tackice"/>
      </w:pPr>
      <w:r w:rsidRPr="004B3CF1">
        <w:t xml:space="preserve">All relevant institutions need to continue their coordinated efforts to implement the recommendations from peer review reports, the Report on </w:t>
      </w:r>
      <w:r>
        <w:t xml:space="preserve">the Rule of Law Issues in BiH, </w:t>
      </w:r>
      <w:r w:rsidRPr="004B3CF1">
        <w:t>the OSCE Third Annual Report on the Judicial Response to Corruption and the USAID Judiciary Against Corruption Activity in BiH.</w:t>
      </w:r>
    </w:p>
    <w:p w14:paraId="69C2352B" w14:textId="77777777" w:rsidR="003E7651" w:rsidRPr="004B3CF1" w:rsidRDefault="003E7651" w:rsidP="003E7651">
      <w:pPr>
        <w:pStyle w:val="Tackice"/>
      </w:pPr>
      <w:r w:rsidRPr="004B3CF1">
        <w:t xml:space="preserve">The human resource capacity building of law enforcement agencies </w:t>
      </w:r>
      <w:r>
        <w:t>is required to effectively tackle</w:t>
      </w:r>
      <w:r w:rsidRPr="004B3CF1">
        <w:t xml:space="preserve"> economic crime and corruption. </w:t>
      </w:r>
    </w:p>
    <w:p w14:paraId="5A7EA45C" w14:textId="77777777" w:rsidR="003E7651" w:rsidRPr="004B3CF1" w:rsidRDefault="003E7651" w:rsidP="003E7651">
      <w:pPr>
        <w:pStyle w:val="Tackice"/>
      </w:pPr>
      <w:r w:rsidRPr="004B3CF1">
        <w:t xml:space="preserve">It is necessary to continue to actively use the established forms of cooperation between prosecutors and law enforcement officers at the strategic and operational level. </w:t>
      </w:r>
    </w:p>
    <w:p w14:paraId="47745349" w14:textId="77777777" w:rsidR="003E7651" w:rsidRPr="004B3CF1" w:rsidRDefault="003E7651" w:rsidP="003E7651">
      <w:pPr>
        <w:pStyle w:val="Tackice"/>
      </w:pPr>
      <w:r w:rsidRPr="004B3CF1">
        <w:t xml:space="preserve">It is necessary to insist on expending and improving the systematisation of posts in prosecutor's offices through the introduction of a new category of employees that would provide assistance to prosecutor's offices, such as financial advisers, in order to more effectively address corruption and commercial crime. </w:t>
      </w:r>
    </w:p>
    <w:p w14:paraId="54ABE6A5" w14:textId="77777777" w:rsidR="003E7651" w:rsidRPr="004B3CF1" w:rsidRDefault="003E7651" w:rsidP="003E7651">
      <w:pPr>
        <w:pStyle w:val="Tackice"/>
      </w:pPr>
      <w:r w:rsidRPr="004B3CF1">
        <w:lastRenderedPageBreak/>
        <w:t>Insist on capacity building of staff in prosecutor's offices to increase individual responsibility and improve internal communication within prosecutor's offices and the prosecution system, as well as to achieve self-reliance in strategic planning and preparation of annual work plans and annual reports on implementation of strategic framework of the prosecutorial system and set targets.</w:t>
      </w:r>
    </w:p>
    <w:p w14:paraId="61BC1A96" w14:textId="77777777" w:rsidR="003E7651" w:rsidRPr="004B3CF1" w:rsidRDefault="003E7651" w:rsidP="003E7651">
      <w:pPr>
        <w:pStyle w:val="TREINASLOV"/>
        <w:rPr>
          <w:rFonts w:eastAsia="Aller-Regular"/>
          <w:szCs w:val="22"/>
        </w:rPr>
      </w:pPr>
      <w:bookmarkStart w:id="178" w:name="_Toc101944262"/>
      <w:bookmarkStart w:id="179" w:name="_Toc112852468"/>
      <w:r w:rsidRPr="004B3CF1">
        <w:t>Recommendations for courts and prosecutor's offices in processing war crimes cases</w:t>
      </w:r>
      <w:bookmarkEnd w:id="178"/>
      <w:bookmarkEnd w:id="179"/>
    </w:p>
    <w:p w14:paraId="0854D3BF" w14:textId="77777777" w:rsidR="003E7651" w:rsidRPr="004B3CF1" w:rsidRDefault="003E7651" w:rsidP="003E7651">
      <w:pPr>
        <w:pStyle w:val="Tackice"/>
        <w:rPr>
          <w:rFonts w:eastAsia="Aller-Regular"/>
          <w:color w:val="auto"/>
          <w:szCs w:val="22"/>
        </w:rPr>
      </w:pPr>
      <w:r w:rsidRPr="004B3CF1">
        <w:t xml:space="preserve">Consistent application of the HJPC Guidelines for Chief Prosecutors of the Prosecutor's Office of BiH, FBiH Prosecutor's Office, RS Public Prosecutor's Office and the Prosecutor's Office of BD BiH on Mandatory Compliance with the Supervisory Body's Decisions and Conclusions. </w:t>
      </w:r>
    </w:p>
    <w:p w14:paraId="394C0567" w14:textId="77777777" w:rsidR="003E7651" w:rsidRPr="004B3CF1" w:rsidRDefault="003E7651" w:rsidP="003E7651">
      <w:pPr>
        <w:pStyle w:val="Tackice"/>
        <w:rPr>
          <w:rFonts w:eastAsia="Aller-Regular"/>
        </w:rPr>
      </w:pPr>
      <w:r w:rsidRPr="004B3CF1">
        <w:t>Consistent application of the HJPC Instruction for the preparation of war crimes backlog reduction plans in prosecutor's offices;</w:t>
      </w:r>
    </w:p>
    <w:p w14:paraId="3478110B" w14:textId="77777777" w:rsidR="003E7651" w:rsidRPr="004B3CF1" w:rsidRDefault="003E7651" w:rsidP="003E7651">
      <w:pPr>
        <w:pStyle w:val="Tackice"/>
        <w:rPr>
          <w:rFonts w:eastAsia="Aller-Regular"/>
        </w:rPr>
      </w:pPr>
      <w:r>
        <w:t>Prioritise c</w:t>
      </w:r>
      <w:r w:rsidRPr="004B3CF1">
        <w:t>ompl</w:t>
      </w:r>
      <w:r>
        <w:t>ex war crime cases and improve</w:t>
      </w:r>
      <w:r w:rsidRPr="004B3CF1">
        <w:t xml:space="preserve"> quality control of prosecutori</w:t>
      </w:r>
      <w:r>
        <w:t>al decisions</w:t>
      </w:r>
      <w:r w:rsidRPr="004B3CF1">
        <w:t>;</w:t>
      </w:r>
    </w:p>
    <w:p w14:paraId="7D32978D" w14:textId="77777777" w:rsidR="003E7651" w:rsidRPr="004B3CF1" w:rsidRDefault="003E7651" w:rsidP="003E7651">
      <w:pPr>
        <w:pStyle w:val="Tackice"/>
        <w:rPr>
          <w:rFonts w:eastAsia="Aller-Regular"/>
        </w:rPr>
      </w:pPr>
      <w:r>
        <w:t>Accelerate</w:t>
      </w:r>
      <w:r w:rsidRPr="004B3CF1">
        <w:t xml:space="preserve"> cou</w:t>
      </w:r>
      <w:r>
        <w:t>rt proceedings and strengthen</w:t>
      </w:r>
      <w:r w:rsidRPr="004B3CF1">
        <w:t xml:space="preserve"> procedural discipline; </w:t>
      </w:r>
      <w:r>
        <w:t xml:space="preserve"> </w:t>
      </w:r>
    </w:p>
    <w:p w14:paraId="18ED0425" w14:textId="77777777" w:rsidR="003E7651" w:rsidRPr="004B3CF1" w:rsidRDefault="003E7651" w:rsidP="003E7651">
      <w:pPr>
        <w:pStyle w:val="Tackice"/>
        <w:rPr>
          <w:rFonts w:eastAsia="Aller-Regular"/>
        </w:rPr>
      </w:pPr>
      <w:r>
        <w:t>Strong focus by</w:t>
      </w:r>
      <w:r w:rsidRPr="004B3CF1">
        <w:t xml:space="preserve"> prosecutor's offices on war crimes cases in which there is a procedural obstacle arising in connection with unavailability of a person; </w:t>
      </w:r>
    </w:p>
    <w:p w14:paraId="57C4C619" w14:textId="77777777" w:rsidR="003E7651" w:rsidRPr="004B3CF1" w:rsidRDefault="003E7651" w:rsidP="003E7651">
      <w:pPr>
        <w:pStyle w:val="Tackice"/>
        <w:rPr>
          <w:rFonts w:eastAsia="Aller-Regular"/>
        </w:rPr>
      </w:pPr>
      <w:r>
        <w:t>Intensify</w:t>
      </w:r>
      <w:r w:rsidRPr="004B3CF1">
        <w:t xml:space="preserve"> the practice of awarding restitution in criminal proceedings; </w:t>
      </w:r>
    </w:p>
    <w:p w14:paraId="32F091F0" w14:textId="77777777" w:rsidR="003E7651" w:rsidRPr="004B3CF1" w:rsidRDefault="003E7651" w:rsidP="003E7651">
      <w:pPr>
        <w:pStyle w:val="Tackice"/>
        <w:rPr>
          <w:rFonts w:eastAsia="Aller-Regular"/>
        </w:rPr>
      </w:pPr>
      <w:r w:rsidRPr="004B3CF1">
        <w:t xml:space="preserve">Consistent revision and timely processing of KTNRZ and KTARZ cases.  </w:t>
      </w:r>
    </w:p>
    <w:p w14:paraId="521B6A65" w14:textId="77777777" w:rsidR="003E7651" w:rsidRPr="004B3CF1" w:rsidRDefault="003E7651" w:rsidP="003E7651">
      <w:pPr>
        <w:pStyle w:val="Tackice"/>
        <w:rPr>
          <w:rFonts w:eastAsia="Aller-Regular"/>
        </w:rPr>
      </w:pPr>
      <w:r w:rsidRPr="004B3CF1">
        <w:t xml:space="preserve">Continuous control of influx of new KTRZ cases and adequate distribution of cases across different jurisdictions; </w:t>
      </w:r>
    </w:p>
    <w:p w14:paraId="00CD861A" w14:textId="77777777" w:rsidR="003E7651" w:rsidRPr="004B3CF1" w:rsidRDefault="003E7651" w:rsidP="003E7651">
      <w:pPr>
        <w:pStyle w:val="Tackice"/>
        <w:rPr>
          <w:rFonts w:eastAsia="Aller-Regular"/>
        </w:rPr>
      </w:pPr>
      <w:r>
        <w:t>Improve</w:t>
      </w:r>
      <w:r w:rsidRPr="004B3CF1">
        <w:t xml:space="preserve"> the coordination of and communication wit</w:t>
      </w:r>
      <w:r>
        <w:t>h witness support units, raise</w:t>
      </w:r>
      <w:r w:rsidRPr="004B3CF1">
        <w:t xml:space="preserve"> the standard and quality of work with victims / witnesses, and</w:t>
      </w:r>
      <w:r>
        <w:t xml:space="preserve"> ensure</w:t>
      </w:r>
      <w:r w:rsidRPr="004B3CF1">
        <w:t xml:space="preserve"> regular participation in the work of the Coordination Body for Witness Support coordinated by the OSCE Mission to BiH;</w:t>
      </w:r>
    </w:p>
    <w:p w14:paraId="679E4C04" w14:textId="77777777" w:rsidR="003E7651" w:rsidRPr="004B3CF1" w:rsidRDefault="003E7651" w:rsidP="003E7651">
      <w:pPr>
        <w:pStyle w:val="Tackice"/>
        <w:rPr>
          <w:rFonts w:eastAsia="Aller-Regular"/>
        </w:rPr>
      </w:pPr>
      <w:r>
        <w:t>Improve</w:t>
      </w:r>
      <w:r w:rsidRPr="004B3CF1">
        <w:t xml:space="preserve"> the transparency of courts and prosecutor's offices in line with the HJPC Guidelines for publishing prosecution and court decisions on official websites;</w:t>
      </w:r>
    </w:p>
    <w:p w14:paraId="3ED7149D" w14:textId="77777777" w:rsidR="003E7651" w:rsidRPr="004B3CF1" w:rsidRDefault="003E7651" w:rsidP="003E7651">
      <w:pPr>
        <w:pStyle w:val="Tackice"/>
        <w:rPr>
          <w:rFonts w:eastAsia="Aller-Regular"/>
        </w:rPr>
      </w:pPr>
      <w:r>
        <w:t>Ensure f</w:t>
      </w:r>
      <w:r w:rsidRPr="004B3CF1">
        <w:t xml:space="preserve">ull utilisation of the EU IPA 2019 support in processing war crime cases. </w:t>
      </w:r>
    </w:p>
    <w:p w14:paraId="5C3EA433" w14:textId="77777777" w:rsidR="003E7651" w:rsidRPr="004B3CF1" w:rsidRDefault="003E7651" w:rsidP="003E7651">
      <w:pPr>
        <w:pStyle w:val="TREINASLOV"/>
      </w:pPr>
      <w:bookmarkStart w:id="180" w:name="_Toc112852469"/>
      <w:bookmarkStart w:id="181" w:name="_Toc101944263"/>
      <w:r w:rsidRPr="004B3CF1">
        <w:t>Recommendations pertaining to performance evaluation</w:t>
      </w:r>
      <w:bookmarkEnd w:id="180"/>
      <w:r w:rsidRPr="004B3CF1">
        <w:t xml:space="preserve"> </w:t>
      </w:r>
      <w:bookmarkEnd w:id="181"/>
    </w:p>
    <w:p w14:paraId="6A2E1835" w14:textId="77777777" w:rsidR="003E7651" w:rsidRPr="004B3CF1" w:rsidRDefault="003E7651" w:rsidP="003E7651">
      <w:pPr>
        <w:pStyle w:val="Tackice"/>
        <w:rPr>
          <w:color w:val="auto"/>
          <w:szCs w:val="22"/>
        </w:rPr>
      </w:pPr>
      <w:r w:rsidRPr="004B3CF1">
        <w:rPr>
          <w:color w:val="auto"/>
        </w:rPr>
        <w:t>The HJPC B</w:t>
      </w:r>
      <w:r>
        <w:rPr>
          <w:color w:val="auto"/>
        </w:rPr>
        <w:t xml:space="preserve">iH will prepare an analysis of the new criteria </w:t>
      </w:r>
      <w:r w:rsidRPr="004B3CF1">
        <w:rPr>
          <w:color w:val="auto"/>
        </w:rPr>
        <w:t xml:space="preserve">based on their application in the performance evaluation process for 2021 and will consider the need for their further improvement. </w:t>
      </w:r>
    </w:p>
    <w:p w14:paraId="0563A7BD" w14:textId="77777777" w:rsidR="003E7651" w:rsidRPr="004B3CF1" w:rsidRDefault="003E7651" w:rsidP="003E7651">
      <w:pPr>
        <w:pStyle w:val="TREINASLOV"/>
      </w:pPr>
      <w:bookmarkStart w:id="182" w:name="_Toc101944264"/>
      <w:bookmarkStart w:id="183" w:name="_Toc112852470"/>
      <w:r w:rsidRPr="004B3CF1">
        <w:lastRenderedPageBreak/>
        <w:t>Recommendations pertaining to training and case law</w:t>
      </w:r>
      <w:bookmarkEnd w:id="182"/>
      <w:bookmarkEnd w:id="183"/>
    </w:p>
    <w:p w14:paraId="5B26A226" w14:textId="77777777" w:rsidR="003E7651" w:rsidRPr="004B3CF1" w:rsidRDefault="003E7651" w:rsidP="003E7651">
      <w:pPr>
        <w:pStyle w:val="Tackice"/>
      </w:pPr>
      <w:r w:rsidRPr="004B3CF1">
        <w:t xml:space="preserve">The JPTCs and the JCBD to consistently implement the decisions of the HJPC BiH made at the December session regarding the implementation and compulsory attendance of certain training events; </w:t>
      </w:r>
    </w:p>
    <w:p w14:paraId="74277740" w14:textId="77777777" w:rsidR="003E7651" w:rsidRPr="004B3CF1" w:rsidRDefault="003E7651" w:rsidP="003E7651">
      <w:pPr>
        <w:pStyle w:val="Tackice"/>
      </w:pPr>
      <w:r w:rsidRPr="004B3CF1">
        <w:t>All open issues should be discussed within the framework of cooperation of the Standing Committee for Training and Judicial Documentation of the HJPC BiH with the Steering Board of the JPTC FBiH, the Steering Board of the JPTC RS and the Judicial Commission of Brcko District BiH;</w:t>
      </w:r>
    </w:p>
    <w:p w14:paraId="2916BE39" w14:textId="77777777" w:rsidR="003E7651" w:rsidRPr="004B3CF1" w:rsidRDefault="003E7651" w:rsidP="003E7651">
      <w:pPr>
        <w:pStyle w:val="Tackice"/>
      </w:pPr>
      <w:r w:rsidRPr="004B3CF1">
        <w:t xml:space="preserve">The highest instance courts to actively cooperate with the HJPC BiH in exchanging judicial decisions and case law, and improving and formalising the work of the Panel for Harmonisation of Case Law under the project </w:t>
      </w:r>
      <w:r w:rsidRPr="004B3CF1">
        <w:rPr>
          <w:i/>
          <w:iCs/>
        </w:rPr>
        <w:t>EU Support for Judicial Reforms in Bosnia and Herzegovina - IPA 2019</w:t>
      </w:r>
      <w:r w:rsidRPr="004B3CF1">
        <w:t xml:space="preserve">; </w:t>
      </w:r>
    </w:p>
    <w:p w14:paraId="688C60CE" w14:textId="77777777" w:rsidR="003E7651" w:rsidRPr="004B3CF1" w:rsidRDefault="003E7651" w:rsidP="003E7651">
      <w:pPr>
        <w:pStyle w:val="Tackice"/>
      </w:pPr>
      <w:r w:rsidRPr="004B3CF1">
        <w:t>Intensify activities to improve the e-training system for newly appointed judicial office holders, as well as for all judges and prosecutors;</w:t>
      </w:r>
    </w:p>
    <w:p w14:paraId="6C6A9F57" w14:textId="77777777" w:rsidR="003E7651" w:rsidRPr="004B3CF1" w:rsidRDefault="003E7651" w:rsidP="003E7651">
      <w:pPr>
        <w:pStyle w:val="Tackice"/>
      </w:pPr>
      <w:r w:rsidRPr="004B3CF1">
        <w:t>Continue with joint trainings for judges, prosecutors and law enforcement officers.</w:t>
      </w:r>
    </w:p>
    <w:p w14:paraId="516FCB02" w14:textId="77777777" w:rsidR="003E7651" w:rsidRPr="004B3CF1" w:rsidRDefault="003E7651" w:rsidP="003E7651">
      <w:pPr>
        <w:pStyle w:val="DRUGINASLOV"/>
      </w:pPr>
      <w:bookmarkStart w:id="184" w:name="_Toc101944265"/>
      <w:bookmarkStart w:id="185" w:name="_Toc112852471"/>
      <w:r w:rsidRPr="004B3CF1">
        <w:t>Integrity and accountability</w:t>
      </w:r>
      <w:bookmarkEnd w:id="184"/>
      <w:bookmarkEnd w:id="185"/>
    </w:p>
    <w:p w14:paraId="48CBF60D" w14:textId="77777777" w:rsidR="003E7651" w:rsidRPr="004B3CF1" w:rsidRDefault="003E7651" w:rsidP="003E7651">
      <w:pPr>
        <w:pStyle w:val="Tackice"/>
        <w:rPr>
          <w:szCs w:val="22"/>
        </w:rPr>
      </w:pPr>
      <w:r w:rsidRPr="004B3CF1">
        <w:t>Cons</w:t>
      </w:r>
      <w:r>
        <w:t>istently implement all pending peer e</w:t>
      </w:r>
      <w:r w:rsidRPr="004B3CF1">
        <w:t xml:space="preserve">eview recommendations on disciplinary proceedings in the judiciary of Bosnia and Herzegovina, in particular those concerning an increase in the number of ODC staff. </w:t>
      </w:r>
    </w:p>
    <w:p w14:paraId="53AB20E5" w14:textId="77777777" w:rsidR="003E7651" w:rsidRPr="004B3CF1" w:rsidRDefault="003E7651" w:rsidP="003E7651">
      <w:pPr>
        <w:pStyle w:val="Tackice"/>
        <w:rPr>
          <w:rFonts w:ascii="Tahoma" w:hAnsi="Tahoma"/>
        </w:rPr>
      </w:pPr>
      <w:r w:rsidRPr="004B3CF1">
        <w:t xml:space="preserve">The BiH Parliamentary Assembly is recommended </w:t>
      </w:r>
      <w:r>
        <w:t>to urgently adopt the proposed a</w:t>
      </w:r>
      <w:r w:rsidRPr="004B3CF1">
        <w:t>mendments to the Law on the High Judicial and Prosecutorial Council of BiH concerning disciplinary liability, conflict of interest and integrity of judicial office holders;</w:t>
      </w:r>
    </w:p>
    <w:p w14:paraId="6719D8AA" w14:textId="77777777" w:rsidR="003E7651" w:rsidRPr="004B3CF1" w:rsidRDefault="003E7651" w:rsidP="003E7651">
      <w:pPr>
        <w:pStyle w:val="Tackice"/>
        <w:rPr>
          <w:rFonts w:ascii="Times New Roman" w:hAnsi="Times New Roman" w:cs="Times New Roman"/>
          <w:sz w:val="24"/>
        </w:rPr>
      </w:pPr>
      <w:r w:rsidRPr="004B3CF1">
        <w:t>Judicial institutions in BiH are recommended to continuously undertake activities to implement, monitor and improve the application of ethics rules and prevent conflict of interest in the judiciary, as well as of the integrity plans of courts and prosecutor's offices in terms of ethical conduct of their respective managers, judges, prosecutors and employees.</w:t>
      </w:r>
    </w:p>
    <w:p w14:paraId="6599EC0A" w14:textId="77777777" w:rsidR="003E7651" w:rsidRPr="004B3CF1" w:rsidRDefault="003E7651" w:rsidP="003E7651">
      <w:pPr>
        <w:rPr>
          <w:rFonts w:ascii="Arial" w:hAnsi="Arial" w:cs="Arial"/>
          <w:b/>
          <w:bCs/>
          <w:kern w:val="32"/>
          <w:sz w:val="32"/>
          <w:szCs w:val="32"/>
        </w:rPr>
      </w:pPr>
      <w:bookmarkStart w:id="186" w:name="_Toc97722093"/>
      <w:r w:rsidRPr="004B3CF1">
        <w:br w:type="page"/>
      </w:r>
    </w:p>
    <w:p w14:paraId="5D012641" w14:textId="77777777" w:rsidR="003E7651" w:rsidRPr="004B3CF1" w:rsidRDefault="003E7651" w:rsidP="003E7651">
      <w:pPr>
        <w:pStyle w:val="PRVINASLOV"/>
      </w:pPr>
      <w:bookmarkStart w:id="187" w:name="_Toc112852472"/>
      <w:bookmarkStart w:id="188" w:name="_Toc101944266"/>
      <w:r w:rsidRPr="004B3CF1">
        <w:lastRenderedPageBreak/>
        <w:t>ANNEX 2:</w:t>
      </w:r>
      <w:r w:rsidRPr="004B3CF1">
        <w:tab/>
        <w:t>COURT PERFORMANCE STATISTICS</w:t>
      </w:r>
      <w:bookmarkEnd w:id="187"/>
      <w:r w:rsidRPr="004B3CF1">
        <w:t xml:space="preserve"> </w:t>
      </w:r>
      <w:bookmarkEnd w:id="186"/>
      <w:bookmarkEnd w:id="188"/>
    </w:p>
    <w:p w14:paraId="102577AA" w14:textId="77777777" w:rsidR="003E7651" w:rsidRPr="004B3CF1" w:rsidRDefault="003E7651" w:rsidP="003E7651">
      <w:pPr>
        <w:pStyle w:val="DRUGINASLOV"/>
      </w:pPr>
      <w:bookmarkStart w:id="189" w:name="_Toc97722094"/>
      <w:bookmarkStart w:id="190" w:name="_Toc101944267"/>
      <w:bookmarkStart w:id="191" w:name="_Toc112852473"/>
      <w:r w:rsidRPr="004B3CF1">
        <w:t>Analysis of court performance</w:t>
      </w:r>
      <w:bookmarkEnd w:id="189"/>
      <w:bookmarkEnd w:id="190"/>
      <w:bookmarkEnd w:id="191"/>
    </w:p>
    <w:p w14:paraId="086C6564" w14:textId="77777777" w:rsidR="003E7651" w:rsidRPr="004B3CF1" w:rsidRDefault="003E7651" w:rsidP="003E7651">
      <w:pPr>
        <w:pStyle w:val="Tekst"/>
      </w:pPr>
      <w:r w:rsidRPr="004B3CF1">
        <w:t>This section of the report presents the w</w:t>
      </w:r>
      <w:r>
        <w:t xml:space="preserve">ork of regular courts in 2021 through the analysis of </w:t>
      </w:r>
      <w:r w:rsidRPr="004B3CF1">
        <w:t xml:space="preserve"> aggregated statistical data on the performance of regular courts in terms of: case flow, quantity and quality of court performance, statute of limitations in criminal and minor offence cases, as well as in enf</w:t>
      </w:r>
      <w:r>
        <w:t xml:space="preserve">orcement of criminal sanctions. </w:t>
      </w:r>
      <w:r w:rsidRPr="004B3CF1">
        <w:t>The 2021 data were compared with the 2020 data. Performance data for indivi</w:t>
      </w:r>
      <w:r>
        <w:t>dual courts are available at vsts.pravosudje.ba</w:t>
      </w:r>
      <w:r w:rsidRPr="004B3CF1">
        <w:t>.</w:t>
      </w:r>
    </w:p>
    <w:p w14:paraId="417A5C62" w14:textId="77777777" w:rsidR="003E7651" w:rsidRPr="004B3CF1" w:rsidRDefault="003E7651" w:rsidP="003E7651">
      <w:pPr>
        <w:pStyle w:val="Tekst"/>
      </w:pPr>
      <w:r w:rsidRPr="004B3CF1">
        <w:t>Please note that statistics do not show data for the so-called "utility“ cases  – debt collection for provided utility services and collection of subscription fees where the claimants are the public service broadcasters</w:t>
      </w:r>
      <w:r w:rsidRPr="004B3CF1">
        <w:rPr>
          <w:rStyle w:val="FootnoteReference"/>
          <w:rFonts w:cs="Arial"/>
        </w:rPr>
        <w:footnoteReference w:id="21"/>
      </w:r>
      <w:r w:rsidRPr="004B3CF1">
        <w:t xml:space="preserve"> </w:t>
      </w:r>
    </w:p>
    <w:p w14:paraId="0E36F824" w14:textId="77777777" w:rsidR="003E7651" w:rsidRPr="004B3CF1" w:rsidRDefault="003E7651" w:rsidP="003E7651">
      <w:pPr>
        <w:pStyle w:val="Tekst"/>
      </w:pPr>
      <w:r w:rsidRPr="004B3CF1">
        <w:t xml:space="preserve">Also, for complete information about the flow of cases in courts, please see the following statistical tables: pending cases, case influx and the number of completed cases. </w:t>
      </w:r>
    </w:p>
    <w:p w14:paraId="6DDA3D10" w14:textId="77777777" w:rsidR="003E7651" w:rsidRPr="004B3CF1" w:rsidRDefault="003E7651" w:rsidP="003E7651">
      <w:pPr>
        <w:pStyle w:val="DRUGINASLOV"/>
      </w:pPr>
      <w:bookmarkStart w:id="192" w:name="_Toc97722095"/>
      <w:bookmarkStart w:id="193" w:name="_Toc101944268"/>
      <w:bookmarkStart w:id="194" w:name="_Toc112852474"/>
      <w:r w:rsidRPr="004B3CF1">
        <w:t>Case flow – per court instance</w:t>
      </w:r>
      <w:bookmarkEnd w:id="192"/>
      <w:bookmarkEnd w:id="193"/>
      <w:bookmarkEnd w:id="194"/>
    </w:p>
    <w:p w14:paraId="686593A9" w14:textId="77777777" w:rsidR="003E7651" w:rsidRPr="004B3CF1" w:rsidRDefault="003E7651" w:rsidP="003E7651">
      <w:pPr>
        <w:pStyle w:val="etvrtinaslov0"/>
        <w:rPr>
          <w:szCs w:val="24"/>
        </w:rPr>
      </w:pPr>
      <w:bookmarkStart w:id="195" w:name="_Toc101944269"/>
      <w:bookmarkStart w:id="196" w:name="_Toc112852475"/>
      <w:r w:rsidRPr="004B3CF1">
        <w:t>Pending court cases</w:t>
      </w:r>
      <w:bookmarkEnd w:id="195"/>
      <w:bookmarkEnd w:id="196"/>
    </w:p>
    <w:p w14:paraId="2B7F8C0E" w14:textId="77777777" w:rsidR="007D2964" w:rsidRDefault="003E7651" w:rsidP="007D2964">
      <w:pPr>
        <w:pStyle w:val="Tekst"/>
      </w:pPr>
      <w:r w:rsidRPr="007D2964">
        <w:t>The total number of pending cases in 2021 increased by 3,805 cases or 1.3%, which is opposite to a declining trend in the number of pending cases in the courts between 2011-2019, but, still, the increase in the number of pending cases in 2021 was significantly less compared to 2020, when the number of pending cases incre</w:t>
      </w:r>
      <w:r w:rsidR="007D2964">
        <w:t>ased by 14,942 cases or 5.2%.</w:t>
      </w:r>
    </w:p>
    <w:p w14:paraId="1BDE962F" w14:textId="5BF65A7A" w:rsidR="003E7651" w:rsidRPr="007D2964" w:rsidRDefault="003E7651" w:rsidP="007D2964">
      <w:pPr>
        <w:pStyle w:val="Tekst"/>
      </w:pPr>
      <w:r w:rsidRPr="007D2964">
        <w:t xml:space="preserve">An increase in the number of pending cases was observed in the RS Supreme Court, the High Commercial Court in Banja Luka, as well as in municipal and basic courts, and in the Basic Court of Brcko District of BiH. The largest absolute increase in the number of pending cases was observed in basic courts by 6,991 cases or 12.3% and in municipal courts by 3,793 cases or 2.1%, while the largest percentage increase of 117.9% was observed in the Appellate Court of Brcko District of BiH.  </w:t>
      </w:r>
    </w:p>
    <w:p w14:paraId="4534501B" w14:textId="77777777" w:rsidR="003E7651" w:rsidRPr="007D2964" w:rsidRDefault="003E7651" w:rsidP="007D2964">
      <w:pPr>
        <w:pStyle w:val="Tekst"/>
      </w:pPr>
      <w:r w:rsidRPr="007D2964">
        <w:t xml:space="preserve">A decrease in the number of pending cases ranging from 2% to 31% was observed at other court instances. The largest absolute decrease in the number of pending cases of 4,475 cases or 11.9% was observed at the cantonal courts, while the largest percentage decrease in the number of pending cases was observed in the FBiH Supreme Court (31.4%). </w:t>
      </w:r>
    </w:p>
    <w:p w14:paraId="02F1FD25" w14:textId="77777777" w:rsidR="003E7651" w:rsidRPr="004B3CF1" w:rsidRDefault="003E7651" w:rsidP="003E7651">
      <w:pPr>
        <w:pStyle w:val="ListParagraph"/>
        <w:spacing w:before="80"/>
        <w:ind w:left="0"/>
        <w:jc w:val="both"/>
        <w:rPr>
          <w:rFonts w:ascii="Arial" w:hAnsi="Arial" w:cs="Arial"/>
          <w:b/>
          <w:bCs/>
          <w:color w:val="000000"/>
          <w:lang w:eastAsia="bs-Latn-BA"/>
        </w:rPr>
      </w:pPr>
    </w:p>
    <w:p w14:paraId="1889260C" w14:textId="77777777" w:rsidR="003E7651" w:rsidRPr="004B3CF1" w:rsidRDefault="003E7651" w:rsidP="003E7651">
      <w:pPr>
        <w:pStyle w:val="Caption"/>
      </w:pPr>
      <w:r w:rsidRPr="004B3CF1">
        <w:lastRenderedPageBreak/>
        <w:t xml:space="preserve">Table </w:t>
      </w:r>
      <w:r w:rsidR="006D1459">
        <w:fldChar w:fldCharType="begin"/>
      </w:r>
      <w:r w:rsidR="006D1459">
        <w:instrText xml:space="preserve"> SEQ Tablica \* ARABIC </w:instrText>
      </w:r>
      <w:r w:rsidR="006D1459">
        <w:fldChar w:fldCharType="separate"/>
      </w:r>
      <w:r w:rsidRPr="004B3CF1">
        <w:t>5</w:t>
      </w:r>
      <w:r w:rsidR="006D1459">
        <w:fldChar w:fldCharType="end"/>
      </w:r>
      <w:r w:rsidRPr="004B3CF1">
        <w:t>: Pending cases</w:t>
      </w:r>
    </w:p>
    <w:tbl>
      <w:tblPr>
        <w:tblW w:w="9063" w:type="dxa"/>
        <w:tblInd w:w="118" w:type="dxa"/>
        <w:tblLook w:val="04A0" w:firstRow="1" w:lastRow="0" w:firstColumn="1" w:lastColumn="0" w:noHBand="0" w:noVBand="1"/>
      </w:tblPr>
      <w:tblGrid>
        <w:gridCol w:w="3818"/>
        <w:gridCol w:w="1275"/>
        <w:gridCol w:w="1277"/>
        <w:gridCol w:w="1276"/>
        <w:gridCol w:w="1417"/>
      </w:tblGrid>
      <w:tr w:rsidR="003E7651" w:rsidRPr="004B3CF1" w14:paraId="7CEDE2E4" w14:textId="77777777" w:rsidTr="003E7651">
        <w:trPr>
          <w:trHeight w:val="799"/>
        </w:trPr>
        <w:tc>
          <w:tcPr>
            <w:tcW w:w="3818"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60855747"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COURTS</w:t>
            </w:r>
          </w:p>
        </w:tc>
        <w:tc>
          <w:tcPr>
            <w:tcW w:w="2552" w:type="dxa"/>
            <w:gridSpan w:val="2"/>
            <w:tcBorders>
              <w:top w:val="single" w:sz="8" w:space="0" w:color="A6A6A6"/>
              <w:left w:val="nil"/>
              <w:bottom w:val="single" w:sz="8" w:space="0" w:color="A6A6A6"/>
              <w:right w:val="single" w:sz="8" w:space="0" w:color="A6A6A6"/>
            </w:tcBorders>
            <w:shd w:val="clear" w:color="auto" w:fill="auto"/>
            <w:tcMar>
              <w:left w:w="57" w:type="dxa"/>
              <w:right w:w="57" w:type="dxa"/>
            </w:tcMar>
            <w:vAlign w:val="center"/>
            <w:hideMark/>
          </w:tcPr>
          <w:p w14:paraId="7672231E"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Number of pending cases</w:t>
            </w:r>
          </w:p>
        </w:tc>
        <w:tc>
          <w:tcPr>
            <w:tcW w:w="1276" w:type="dxa"/>
            <w:vMerge w:val="restart"/>
            <w:tcBorders>
              <w:top w:val="single" w:sz="8" w:space="0" w:color="A6A6A6"/>
              <w:left w:val="single" w:sz="8" w:space="0" w:color="A6A6A6"/>
              <w:bottom w:val="single" w:sz="8" w:space="0" w:color="A6A6A6"/>
              <w:right w:val="single" w:sz="8" w:space="0" w:color="A6A6A6"/>
            </w:tcBorders>
            <w:shd w:val="clear" w:color="auto" w:fill="auto"/>
            <w:tcMar>
              <w:left w:w="57" w:type="dxa"/>
              <w:right w:w="57" w:type="dxa"/>
            </w:tcMar>
            <w:vAlign w:val="center"/>
            <w:hideMark/>
          </w:tcPr>
          <w:p w14:paraId="13BA3E6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number of pending cases</w:t>
            </w:r>
          </w:p>
        </w:tc>
        <w:tc>
          <w:tcPr>
            <w:tcW w:w="1417" w:type="dxa"/>
            <w:vMerge w:val="restart"/>
            <w:tcBorders>
              <w:top w:val="single" w:sz="8" w:space="0" w:color="A6A6A6"/>
              <w:left w:val="single" w:sz="8" w:space="0" w:color="A6A6A6"/>
              <w:bottom w:val="single" w:sz="8" w:space="0" w:color="A6A6A6"/>
              <w:right w:val="single" w:sz="8" w:space="0" w:color="A6A6A6"/>
            </w:tcBorders>
            <w:shd w:val="clear" w:color="auto" w:fill="auto"/>
            <w:tcMar>
              <w:left w:w="57" w:type="dxa"/>
              <w:right w:w="57" w:type="dxa"/>
            </w:tcMar>
            <w:vAlign w:val="center"/>
            <w:hideMark/>
          </w:tcPr>
          <w:p w14:paraId="6AF966E9"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number of pending cases in percentages</w:t>
            </w:r>
          </w:p>
        </w:tc>
      </w:tr>
      <w:tr w:rsidR="003E7651" w:rsidRPr="004B3CF1" w14:paraId="26AB155D" w14:textId="77777777" w:rsidTr="003E7651">
        <w:trPr>
          <w:trHeight w:val="537"/>
        </w:trPr>
        <w:tc>
          <w:tcPr>
            <w:tcW w:w="3818" w:type="dxa"/>
            <w:vMerge/>
            <w:tcBorders>
              <w:top w:val="single" w:sz="8" w:space="0" w:color="A6A6A6"/>
              <w:left w:val="single" w:sz="8" w:space="0" w:color="A6A6A6"/>
              <w:bottom w:val="single" w:sz="8" w:space="0" w:color="A6A6A6"/>
              <w:right w:val="single" w:sz="8" w:space="0" w:color="A6A6A6"/>
            </w:tcBorders>
            <w:vAlign w:val="center"/>
            <w:hideMark/>
          </w:tcPr>
          <w:p w14:paraId="4D26348C"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noWrap/>
            <w:tcMar>
              <w:left w:w="57" w:type="dxa"/>
              <w:right w:w="57" w:type="dxa"/>
            </w:tcMar>
            <w:vAlign w:val="center"/>
            <w:hideMark/>
          </w:tcPr>
          <w:p w14:paraId="4DBAB21B"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01/01/2021</w:t>
            </w:r>
          </w:p>
        </w:tc>
        <w:tc>
          <w:tcPr>
            <w:tcW w:w="1277" w:type="dxa"/>
            <w:tcBorders>
              <w:top w:val="nil"/>
              <w:left w:val="nil"/>
              <w:bottom w:val="single" w:sz="8" w:space="0" w:color="A6A6A6"/>
              <w:right w:val="single" w:sz="8" w:space="0" w:color="A6A6A6"/>
            </w:tcBorders>
            <w:shd w:val="clear" w:color="auto" w:fill="auto"/>
            <w:noWrap/>
            <w:tcMar>
              <w:left w:w="57" w:type="dxa"/>
              <w:right w:w="57" w:type="dxa"/>
            </w:tcMar>
            <w:vAlign w:val="center"/>
            <w:hideMark/>
          </w:tcPr>
          <w:p w14:paraId="0E4F8815"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31/12/2021</w:t>
            </w:r>
          </w:p>
        </w:tc>
        <w:tc>
          <w:tcPr>
            <w:tcW w:w="1276" w:type="dxa"/>
            <w:vMerge/>
            <w:tcBorders>
              <w:top w:val="single" w:sz="8" w:space="0" w:color="A6A6A6"/>
              <w:left w:val="single" w:sz="8" w:space="0" w:color="A6A6A6"/>
              <w:bottom w:val="single" w:sz="8" w:space="0" w:color="A6A6A6"/>
              <w:right w:val="single" w:sz="8" w:space="0" w:color="A6A6A6"/>
            </w:tcBorders>
            <w:vAlign w:val="center"/>
            <w:hideMark/>
          </w:tcPr>
          <w:p w14:paraId="1C24520A" w14:textId="77777777" w:rsidR="003E7651" w:rsidRPr="004B3CF1" w:rsidRDefault="003E7651" w:rsidP="003E7651">
            <w:pPr>
              <w:rPr>
                <w:rFonts w:ascii="Arial" w:hAnsi="Arial" w:cs="Arial"/>
                <w:color w:val="000000"/>
                <w:sz w:val="22"/>
                <w:szCs w:val="22"/>
              </w:rPr>
            </w:pPr>
          </w:p>
        </w:tc>
        <w:tc>
          <w:tcPr>
            <w:tcW w:w="1417" w:type="dxa"/>
            <w:vMerge/>
            <w:tcBorders>
              <w:top w:val="single" w:sz="8" w:space="0" w:color="A6A6A6"/>
              <w:left w:val="single" w:sz="8" w:space="0" w:color="A6A6A6"/>
              <w:bottom w:val="single" w:sz="8" w:space="0" w:color="A6A6A6"/>
              <w:right w:val="single" w:sz="8" w:space="0" w:color="A6A6A6"/>
            </w:tcBorders>
            <w:vAlign w:val="center"/>
            <w:hideMark/>
          </w:tcPr>
          <w:p w14:paraId="386C1D41" w14:textId="77777777" w:rsidR="003E7651" w:rsidRPr="004B3CF1" w:rsidRDefault="003E7651" w:rsidP="003E7651">
            <w:pPr>
              <w:rPr>
                <w:rFonts w:ascii="Arial" w:hAnsi="Arial" w:cs="Arial"/>
                <w:color w:val="000000"/>
                <w:sz w:val="22"/>
                <w:szCs w:val="22"/>
              </w:rPr>
            </w:pPr>
          </w:p>
        </w:tc>
      </w:tr>
      <w:tr w:rsidR="003E7651" w:rsidRPr="004B3CF1" w14:paraId="212C5CB7" w14:textId="77777777" w:rsidTr="003E7651">
        <w:trPr>
          <w:trHeight w:val="315"/>
        </w:trPr>
        <w:tc>
          <w:tcPr>
            <w:tcW w:w="3818" w:type="dxa"/>
            <w:vMerge/>
            <w:tcBorders>
              <w:top w:val="single" w:sz="8" w:space="0" w:color="A6A6A6"/>
              <w:left w:val="single" w:sz="8" w:space="0" w:color="A6A6A6"/>
              <w:bottom w:val="single" w:sz="8" w:space="0" w:color="A6A6A6"/>
              <w:right w:val="single" w:sz="8" w:space="0" w:color="A6A6A6"/>
            </w:tcBorders>
            <w:vAlign w:val="center"/>
            <w:hideMark/>
          </w:tcPr>
          <w:p w14:paraId="0C5F66F5"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noWrap/>
            <w:vAlign w:val="center"/>
            <w:hideMark/>
          </w:tcPr>
          <w:p w14:paraId="42FD7422"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w:t>
            </w:r>
          </w:p>
        </w:tc>
        <w:tc>
          <w:tcPr>
            <w:tcW w:w="1277" w:type="dxa"/>
            <w:tcBorders>
              <w:top w:val="nil"/>
              <w:left w:val="nil"/>
              <w:bottom w:val="single" w:sz="8" w:space="0" w:color="A6A6A6"/>
              <w:right w:val="single" w:sz="8" w:space="0" w:color="A6A6A6"/>
            </w:tcBorders>
            <w:shd w:val="clear" w:color="auto" w:fill="auto"/>
            <w:noWrap/>
            <w:vAlign w:val="center"/>
            <w:hideMark/>
          </w:tcPr>
          <w:p w14:paraId="105D1FD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276" w:type="dxa"/>
            <w:tcBorders>
              <w:top w:val="nil"/>
              <w:left w:val="nil"/>
              <w:bottom w:val="single" w:sz="8" w:space="0" w:color="A6A6A6"/>
              <w:right w:val="single" w:sz="8" w:space="0" w:color="A6A6A6"/>
            </w:tcBorders>
            <w:shd w:val="clear" w:color="auto" w:fill="auto"/>
            <w:noWrap/>
            <w:vAlign w:val="center"/>
            <w:hideMark/>
          </w:tcPr>
          <w:p w14:paraId="5F9BF6CA"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III = II - I</w:t>
            </w:r>
          </w:p>
        </w:tc>
        <w:tc>
          <w:tcPr>
            <w:tcW w:w="1417" w:type="dxa"/>
            <w:tcBorders>
              <w:top w:val="nil"/>
              <w:left w:val="nil"/>
              <w:bottom w:val="single" w:sz="8" w:space="0" w:color="A6A6A6"/>
              <w:right w:val="single" w:sz="8" w:space="0" w:color="A6A6A6"/>
            </w:tcBorders>
            <w:shd w:val="clear" w:color="auto" w:fill="auto"/>
            <w:noWrap/>
            <w:vAlign w:val="center"/>
            <w:hideMark/>
          </w:tcPr>
          <w:p w14:paraId="7D57823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IV = II / I</w:t>
            </w:r>
          </w:p>
        </w:tc>
      </w:tr>
      <w:tr w:rsidR="003E7651" w:rsidRPr="004B3CF1" w14:paraId="4CC84E94"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DEDAA6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Court of Bosnia and Herzegovina</w:t>
            </w:r>
          </w:p>
        </w:tc>
        <w:tc>
          <w:tcPr>
            <w:tcW w:w="1275" w:type="dxa"/>
            <w:tcBorders>
              <w:top w:val="nil"/>
              <w:left w:val="nil"/>
              <w:bottom w:val="single" w:sz="8" w:space="0" w:color="A6A6A6"/>
              <w:right w:val="single" w:sz="8" w:space="0" w:color="A6A6A6"/>
            </w:tcBorders>
            <w:shd w:val="clear" w:color="auto" w:fill="auto"/>
            <w:noWrap/>
            <w:vAlign w:val="center"/>
            <w:hideMark/>
          </w:tcPr>
          <w:p w14:paraId="61AE132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3,307</w:t>
            </w:r>
          </w:p>
        </w:tc>
        <w:tc>
          <w:tcPr>
            <w:tcW w:w="1277" w:type="dxa"/>
            <w:tcBorders>
              <w:top w:val="nil"/>
              <w:left w:val="nil"/>
              <w:bottom w:val="single" w:sz="8" w:space="0" w:color="A6A6A6"/>
              <w:right w:val="single" w:sz="8" w:space="0" w:color="A6A6A6"/>
            </w:tcBorders>
            <w:shd w:val="clear" w:color="auto" w:fill="auto"/>
            <w:noWrap/>
            <w:vAlign w:val="center"/>
            <w:hideMark/>
          </w:tcPr>
          <w:p w14:paraId="6E2240D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2,723</w:t>
            </w:r>
          </w:p>
        </w:tc>
        <w:tc>
          <w:tcPr>
            <w:tcW w:w="1276" w:type="dxa"/>
            <w:tcBorders>
              <w:top w:val="nil"/>
              <w:left w:val="nil"/>
              <w:bottom w:val="single" w:sz="8" w:space="0" w:color="A6A6A6"/>
              <w:right w:val="single" w:sz="8" w:space="0" w:color="A6A6A6"/>
            </w:tcBorders>
            <w:shd w:val="clear" w:color="auto" w:fill="auto"/>
            <w:noWrap/>
            <w:vAlign w:val="center"/>
            <w:hideMark/>
          </w:tcPr>
          <w:p w14:paraId="331E91B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-584</w:t>
            </w:r>
          </w:p>
        </w:tc>
        <w:tc>
          <w:tcPr>
            <w:tcW w:w="1417" w:type="dxa"/>
            <w:tcBorders>
              <w:top w:val="nil"/>
              <w:left w:val="nil"/>
              <w:bottom w:val="single" w:sz="8" w:space="0" w:color="A6A6A6"/>
              <w:right w:val="single" w:sz="8" w:space="0" w:color="A6A6A6"/>
            </w:tcBorders>
            <w:shd w:val="clear" w:color="auto" w:fill="auto"/>
            <w:noWrap/>
            <w:vAlign w:val="center"/>
            <w:hideMark/>
          </w:tcPr>
          <w:p w14:paraId="36C8B4A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-17.7%</w:t>
            </w:r>
          </w:p>
        </w:tc>
      </w:tr>
      <w:tr w:rsidR="003E7651" w:rsidRPr="004B3CF1" w14:paraId="0751BD7F"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B7B55A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Supreme Court of the Federation of BiH</w:t>
            </w:r>
          </w:p>
        </w:tc>
        <w:tc>
          <w:tcPr>
            <w:tcW w:w="1275" w:type="dxa"/>
            <w:tcBorders>
              <w:top w:val="nil"/>
              <w:left w:val="nil"/>
              <w:bottom w:val="single" w:sz="8" w:space="0" w:color="A6A6A6"/>
              <w:right w:val="single" w:sz="8" w:space="0" w:color="A6A6A6"/>
            </w:tcBorders>
            <w:shd w:val="clear" w:color="auto" w:fill="auto"/>
            <w:noWrap/>
            <w:vAlign w:val="center"/>
            <w:hideMark/>
          </w:tcPr>
          <w:p w14:paraId="059222B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4,839</w:t>
            </w:r>
          </w:p>
        </w:tc>
        <w:tc>
          <w:tcPr>
            <w:tcW w:w="1277" w:type="dxa"/>
            <w:tcBorders>
              <w:top w:val="nil"/>
              <w:left w:val="nil"/>
              <w:bottom w:val="single" w:sz="8" w:space="0" w:color="A6A6A6"/>
              <w:right w:val="single" w:sz="8" w:space="0" w:color="A6A6A6"/>
            </w:tcBorders>
            <w:shd w:val="clear" w:color="auto" w:fill="auto"/>
            <w:noWrap/>
            <w:vAlign w:val="center"/>
            <w:hideMark/>
          </w:tcPr>
          <w:p w14:paraId="5249A22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3,320</w:t>
            </w:r>
          </w:p>
        </w:tc>
        <w:tc>
          <w:tcPr>
            <w:tcW w:w="1276" w:type="dxa"/>
            <w:tcBorders>
              <w:top w:val="nil"/>
              <w:left w:val="nil"/>
              <w:bottom w:val="single" w:sz="8" w:space="0" w:color="A6A6A6"/>
              <w:right w:val="single" w:sz="8" w:space="0" w:color="A6A6A6"/>
            </w:tcBorders>
            <w:shd w:val="clear" w:color="auto" w:fill="auto"/>
            <w:noWrap/>
            <w:vAlign w:val="center"/>
            <w:hideMark/>
          </w:tcPr>
          <w:p w14:paraId="6DDEF22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-1,519</w:t>
            </w:r>
          </w:p>
        </w:tc>
        <w:tc>
          <w:tcPr>
            <w:tcW w:w="1417" w:type="dxa"/>
            <w:tcBorders>
              <w:top w:val="nil"/>
              <w:left w:val="nil"/>
              <w:bottom w:val="single" w:sz="8" w:space="0" w:color="A6A6A6"/>
              <w:right w:val="single" w:sz="8" w:space="0" w:color="A6A6A6"/>
            </w:tcBorders>
            <w:shd w:val="clear" w:color="auto" w:fill="auto"/>
            <w:noWrap/>
            <w:vAlign w:val="center"/>
            <w:hideMark/>
          </w:tcPr>
          <w:p w14:paraId="1CFBEA2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-31.4%</w:t>
            </w:r>
          </w:p>
        </w:tc>
      </w:tr>
      <w:tr w:rsidR="003E7651" w:rsidRPr="004B3CF1" w14:paraId="6984C046"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65DF6BE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Supreme Court of Republika Srpska</w:t>
            </w:r>
          </w:p>
        </w:tc>
        <w:tc>
          <w:tcPr>
            <w:tcW w:w="1275" w:type="dxa"/>
            <w:tcBorders>
              <w:top w:val="nil"/>
              <w:left w:val="nil"/>
              <w:bottom w:val="single" w:sz="8" w:space="0" w:color="A6A6A6"/>
              <w:right w:val="single" w:sz="8" w:space="0" w:color="A6A6A6"/>
            </w:tcBorders>
            <w:shd w:val="clear" w:color="auto" w:fill="auto"/>
            <w:noWrap/>
            <w:vAlign w:val="center"/>
            <w:hideMark/>
          </w:tcPr>
          <w:p w14:paraId="473A802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1,918</w:t>
            </w:r>
          </w:p>
        </w:tc>
        <w:tc>
          <w:tcPr>
            <w:tcW w:w="1277" w:type="dxa"/>
            <w:tcBorders>
              <w:top w:val="nil"/>
              <w:left w:val="nil"/>
              <w:bottom w:val="single" w:sz="8" w:space="0" w:color="A6A6A6"/>
              <w:right w:val="single" w:sz="8" w:space="0" w:color="A6A6A6"/>
            </w:tcBorders>
            <w:shd w:val="clear" w:color="auto" w:fill="auto"/>
            <w:noWrap/>
            <w:vAlign w:val="center"/>
            <w:hideMark/>
          </w:tcPr>
          <w:p w14:paraId="2A53948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1,997</w:t>
            </w:r>
          </w:p>
        </w:tc>
        <w:tc>
          <w:tcPr>
            <w:tcW w:w="1276" w:type="dxa"/>
            <w:tcBorders>
              <w:top w:val="nil"/>
              <w:left w:val="nil"/>
              <w:bottom w:val="single" w:sz="8" w:space="0" w:color="A6A6A6"/>
              <w:right w:val="single" w:sz="8" w:space="0" w:color="A6A6A6"/>
            </w:tcBorders>
            <w:shd w:val="clear" w:color="auto" w:fill="auto"/>
            <w:noWrap/>
            <w:vAlign w:val="center"/>
            <w:hideMark/>
          </w:tcPr>
          <w:p w14:paraId="63763E5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79</w:t>
            </w:r>
          </w:p>
        </w:tc>
        <w:tc>
          <w:tcPr>
            <w:tcW w:w="1417" w:type="dxa"/>
            <w:tcBorders>
              <w:top w:val="nil"/>
              <w:left w:val="nil"/>
              <w:bottom w:val="single" w:sz="8" w:space="0" w:color="A6A6A6"/>
              <w:right w:val="single" w:sz="8" w:space="0" w:color="A6A6A6"/>
            </w:tcBorders>
            <w:shd w:val="clear" w:color="auto" w:fill="auto"/>
            <w:noWrap/>
            <w:vAlign w:val="center"/>
            <w:hideMark/>
          </w:tcPr>
          <w:p w14:paraId="4A4238A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4.1%</w:t>
            </w:r>
          </w:p>
        </w:tc>
      </w:tr>
      <w:tr w:rsidR="003E7651" w:rsidRPr="004B3CF1" w14:paraId="0A1044D2"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24D13A90"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The Appellate Court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09C066D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39</w:t>
            </w:r>
          </w:p>
        </w:tc>
        <w:tc>
          <w:tcPr>
            <w:tcW w:w="1277" w:type="dxa"/>
            <w:tcBorders>
              <w:top w:val="nil"/>
              <w:left w:val="nil"/>
              <w:bottom w:val="single" w:sz="8" w:space="0" w:color="A6A6A6"/>
              <w:right w:val="single" w:sz="8" w:space="0" w:color="A6A6A6"/>
            </w:tcBorders>
            <w:shd w:val="clear" w:color="auto" w:fill="auto"/>
            <w:noWrap/>
            <w:vAlign w:val="center"/>
            <w:hideMark/>
          </w:tcPr>
          <w:p w14:paraId="3535958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85</w:t>
            </w:r>
          </w:p>
        </w:tc>
        <w:tc>
          <w:tcPr>
            <w:tcW w:w="1276" w:type="dxa"/>
            <w:tcBorders>
              <w:top w:val="nil"/>
              <w:left w:val="nil"/>
              <w:bottom w:val="single" w:sz="8" w:space="0" w:color="A6A6A6"/>
              <w:right w:val="single" w:sz="8" w:space="0" w:color="A6A6A6"/>
            </w:tcBorders>
            <w:shd w:val="clear" w:color="auto" w:fill="auto"/>
            <w:noWrap/>
            <w:vAlign w:val="center"/>
            <w:hideMark/>
          </w:tcPr>
          <w:p w14:paraId="63B7277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46</w:t>
            </w:r>
          </w:p>
        </w:tc>
        <w:tc>
          <w:tcPr>
            <w:tcW w:w="1417" w:type="dxa"/>
            <w:tcBorders>
              <w:top w:val="nil"/>
              <w:left w:val="nil"/>
              <w:bottom w:val="single" w:sz="8" w:space="0" w:color="A6A6A6"/>
              <w:right w:val="single" w:sz="8" w:space="0" w:color="A6A6A6"/>
            </w:tcBorders>
            <w:shd w:val="clear" w:color="auto" w:fill="auto"/>
            <w:noWrap/>
            <w:vAlign w:val="center"/>
            <w:hideMark/>
          </w:tcPr>
          <w:p w14:paraId="04714FD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117.9%</w:t>
            </w:r>
          </w:p>
        </w:tc>
      </w:tr>
      <w:tr w:rsidR="003E7651" w:rsidRPr="004B3CF1" w14:paraId="4C995BC2"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2D2CE6BC"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Banja Luka High Commercial Court</w:t>
            </w:r>
          </w:p>
        </w:tc>
        <w:tc>
          <w:tcPr>
            <w:tcW w:w="1275" w:type="dxa"/>
            <w:tcBorders>
              <w:top w:val="nil"/>
              <w:left w:val="nil"/>
              <w:bottom w:val="single" w:sz="8" w:space="0" w:color="A6A6A6"/>
              <w:right w:val="single" w:sz="8" w:space="0" w:color="A6A6A6"/>
            </w:tcBorders>
            <w:shd w:val="clear" w:color="auto" w:fill="auto"/>
            <w:noWrap/>
            <w:vAlign w:val="center"/>
            <w:hideMark/>
          </w:tcPr>
          <w:p w14:paraId="2E9C87D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375</w:t>
            </w:r>
          </w:p>
        </w:tc>
        <w:tc>
          <w:tcPr>
            <w:tcW w:w="1277" w:type="dxa"/>
            <w:tcBorders>
              <w:top w:val="nil"/>
              <w:left w:val="nil"/>
              <w:bottom w:val="single" w:sz="8" w:space="0" w:color="A6A6A6"/>
              <w:right w:val="single" w:sz="8" w:space="0" w:color="A6A6A6"/>
            </w:tcBorders>
            <w:shd w:val="clear" w:color="auto" w:fill="auto"/>
            <w:noWrap/>
            <w:vAlign w:val="center"/>
            <w:hideMark/>
          </w:tcPr>
          <w:p w14:paraId="4614699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481</w:t>
            </w:r>
          </w:p>
        </w:tc>
        <w:tc>
          <w:tcPr>
            <w:tcW w:w="1276" w:type="dxa"/>
            <w:tcBorders>
              <w:top w:val="nil"/>
              <w:left w:val="nil"/>
              <w:bottom w:val="single" w:sz="8" w:space="0" w:color="A6A6A6"/>
              <w:right w:val="single" w:sz="8" w:space="0" w:color="A6A6A6"/>
            </w:tcBorders>
            <w:shd w:val="clear" w:color="auto" w:fill="auto"/>
            <w:noWrap/>
            <w:vAlign w:val="center"/>
            <w:hideMark/>
          </w:tcPr>
          <w:p w14:paraId="1823DD4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106</w:t>
            </w:r>
          </w:p>
        </w:tc>
        <w:tc>
          <w:tcPr>
            <w:tcW w:w="1417" w:type="dxa"/>
            <w:tcBorders>
              <w:top w:val="nil"/>
              <w:left w:val="nil"/>
              <w:bottom w:val="single" w:sz="8" w:space="0" w:color="A6A6A6"/>
              <w:right w:val="single" w:sz="8" w:space="0" w:color="A6A6A6"/>
            </w:tcBorders>
            <w:shd w:val="clear" w:color="auto" w:fill="auto"/>
            <w:noWrap/>
            <w:vAlign w:val="center"/>
            <w:hideMark/>
          </w:tcPr>
          <w:p w14:paraId="32ED170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28.3%</w:t>
            </w:r>
          </w:p>
        </w:tc>
      </w:tr>
      <w:tr w:rsidR="003E7651" w:rsidRPr="004B3CF1" w14:paraId="785C4155"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261F0C0"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Cantonal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725DD65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37,620</w:t>
            </w:r>
          </w:p>
        </w:tc>
        <w:tc>
          <w:tcPr>
            <w:tcW w:w="1277" w:type="dxa"/>
            <w:tcBorders>
              <w:top w:val="nil"/>
              <w:left w:val="nil"/>
              <w:bottom w:val="single" w:sz="8" w:space="0" w:color="A6A6A6"/>
              <w:right w:val="single" w:sz="8" w:space="0" w:color="A6A6A6"/>
            </w:tcBorders>
            <w:shd w:val="clear" w:color="auto" w:fill="auto"/>
            <w:noWrap/>
            <w:vAlign w:val="center"/>
            <w:hideMark/>
          </w:tcPr>
          <w:p w14:paraId="14F459E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33,145</w:t>
            </w:r>
          </w:p>
        </w:tc>
        <w:tc>
          <w:tcPr>
            <w:tcW w:w="1276" w:type="dxa"/>
            <w:tcBorders>
              <w:top w:val="nil"/>
              <w:left w:val="nil"/>
              <w:bottom w:val="single" w:sz="8" w:space="0" w:color="A6A6A6"/>
              <w:right w:val="single" w:sz="8" w:space="0" w:color="A6A6A6"/>
            </w:tcBorders>
            <w:shd w:val="clear" w:color="auto" w:fill="auto"/>
            <w:noWrap/>
            <w:vAlign w:val="center"/>
            <w:hideMark/>
          </w:tcPr>
          <w:p w14:paraId="7D293F9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-4,475</w:t>
            </w:r>
          </w:p>
        </w:tc>
        <w:tc>
          <w:tcPr>
            <w:tcW w:w="1417" w:type="dxa"/>
            <w:tcBorders>
              <w:top w:val="nil"/>
              <w:left w:val="nil"/>
              <w:bottom w:val="single" w:sz="8" w:space="0" w:color="A6A6A6"/>
              <w:right w:val="single" w:sz="8" w:space="0" w:color="A6A6A6"/>
            </w:tcBorders>
            <w:shd w:val="clear" w:color="auto" w:fill="auto"/>
            <w:noWrap/>
            <w:vAlign w:val="center"/>
            <w:hideMark/>
          </w:tcPr>
          <w:p w14:paraId="327973C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-11.9%</w:t>
            </w:r>
          </w:p>
        </w:tc>
      </w:tr>
      <w:tr w:rsidR="003E7651" w:rsidRPr="004B3CF1" w14:paraId="4F4A3E5F"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6434D1F"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District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5EF25FD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5,304</w:t>
            </w:r>
          </w:p>
        </w:tc>
        <w:tc>
          <w:tcPr>
            <w:tcW w:w="1277" w:type="dxa"/>
            <w:tcBorders>
              <w:top w:val="nil"/>
              <w:left w:val="nil"/>
              <w:bottom w:val="single" w:sz="8" w:space="0" w:color="A6A6A6"/>
              <w:right w:val="single" w:sz="8" w:space="0" w:color="A6A6A6"/>
            </w:tcBorders>
            <w:shd w:val="clear" w:color="auto" w:fill="auto"/>
            <w:noWrap/>
            <w:vAlign w:val="center"/>
            <w:hideMark/>
          </w:tcPr>
          <w:p w14:paraId="1352F906"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5,173</w:t>
            </w:r>
          </w:p>
        </w:tc>
        <w:tc>
          <w:tcPr>
            <w:tcW w:w="1276" w:type="dxa"/>
            <w:tcBorders>
              <w:top w:val="nil"/>
              <w:left w:val="nil"/>
              <w:bottom w:val="single" w:sz="8" w:space="0" w:color="A6A6A6"/>
              <w:right w:val="single" w:sz="8" w:space="0" w:color="A6A6A6"/>
            </w:tcBorders>
            <w:shd w:val="clear" w:color="auto" w:fill="auto"/>
            <w:noWrap/>
            <w:vAlign w:val="center"/>
            <w:hideMark/>
          </w:tcPr>
          <w:p w14:paraId="712806B6"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-131</w:t>
            </w:r>
          </w:p>
        </w:tc>
        <w:tc>
          <w:tcPr>
            <w:tcW w:w="1417" w:type="dxa"/>
            <w:tcBorders>
              <w:top w:val="nil"/>
              <w:left w:val="nil"/>
              <w:bottom w:val="single" w:sz="8" w:space="0" w:color="A6A6A6"/>
              <w:right w:val="single" w:sz="8" w:space="0" w:color="A6A6A6"/>
            </w:tcBorders>
            <w:shd w:val="clear" w:color="auto" w:fill="auto"/>
            <w:noWrap/>
            <w:vAlign w:val="center"/>
            <w:hideMark/>
          </w:tcPr>
          <w:p w14:paraId="2796626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-2.5%</w:t>
            </w:r>
          </w:p>
        </w:tc>
      </w:tr>
      <w:tr w:rsidR="003E7651" w:rsidRPr="004B3CF1" w14:paraId="41D6E5B7"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6E478F63"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District commercial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4A54B0B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4,283</w:t>
            </w:r>
          </w:p>
        </w:tc>
        <w:tc>
          <w:tcPr>
            <w:tcW w:w="1277" w:type="dxa"/>
            <w:tcBorders>
              <w:top w:val="nil"/>
              <w:left w:val="nil"/>
              <w:bottom w:val="single" w:sz="8" w:space="0" w:color="A6A6A6"/>
              <w:right w:val="single" w:sz="8" w:space="0" w:color="A6A6A6"/>
            </w:tcBorders>
            <w:shd w:val="clear" w:color="auto" w:fill="auto"/>
            <w:noWrap/>
            <w:vAlign w:val="center"/>
            <w:hideMark/>
          </w:tcPr>
          <w:p w14:paraId="2E0D328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3,480</w:t>
            </w:r>
          </w:p>
        </w:tc>
        <w:tc>
          <w:tcPr>
            <w:tcW w:w="1276" w:type="dxa"/>
            <w:tcBorders>
              <w:top w:val="nil"/>
              <w:left w:val="nil"/>
              <w:bottom w:val="single" w:sz="8" w:space="0" w:color="A6A6A6"/>
              <w:right w:val="single" w:sz="8" w:space="0" w:color="A6A6A6"/>
            </w:tcBorders>
            <w:shd w:val="clear" w:color="auto" w:fill="auto"/>
            <w:noWrap/>
            <w:vAlign w:val="center"/>
            <w:hideMark/>
          </w:tcPr>
          <w:p w14:paraId="4B584626"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-803</w:t>
            </w:r>
          </w:p>
        </w:tc>
        <w:tc>
          <w:tcPr>
            <w:tcW w:w="1417" w:type="dxa"/>
            <w:tcBorders>
              <w:top w:val="nil"/>
              <w:left w:val="nil"/>
              <w:bottom w:val="single" w:sz="8" w:space="0" w:color="A6A6A6"/>
              <w:right w:val="single" w:sz="8" w:space="0" w:color="A6A6A6"/>
            </w:tcBorders>
            <w:shd w:val="clear" w:color="auto" w:fill="auto"/>
            <w:noWrap/>
            <w:vAlign w:val="center"/>
            <w:hideMark/>
          </w:tcPr>
          <w:p w14:paraId="1488093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-18.7%</w:t>
            </w:r>
          </w:p>
        </w:tc>
      </w:tr>
      <w:tr w:rsidR="003E7651" w:rsidRPr="004B3CF1" w14:paraId="3B63D2B0"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6C3769AE"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Municipal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24DE2E0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183,625</w:t>
            </w:r>
          </w:p>
        </w:tc>
        <w:tc>
          <w:tcPr>
            <w:tcW w:w="1277" w:type="dxa"/>
            <w:tcBorders>
              <w:top w:val="nil"/>
              <w:left w:val="nil"/>
              <w:bottom w:val="single" w:sz="8" w:space="0" w:color="A6A6A6"/>
              <w:right w:val="single" w:sz="8" w:space="0" w:color="A6A6A6"/>
            </w:tcBorders>
            <w:shd w:val="clear" w:color="auto" w:fill="auto"/>
            <w:noWrap/>
            <w:vAlign w:val="center"/>
            <w:hideMark/>
          </w:tcPr>
          <w:p w14:paraId="7A977E2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187,418</w:t>
            </w:r>
          </w:p>
        </w:tc>
        <w:tc>
          <w:tcPr>
            <w:tcW w:w="1276" w:type="dxa"/>
            <w:tcBorders>
              <w:top w:val="nil"/>
              <w:left w:val="nil"/>
              <w:bottom w:val="single" w:sz="8" w:space="0" w:color="A6A6A6"/>
              <w:right w:val="single" w:sz="8" w:space="0" w:color="A6A6A6"/>
            </w:tcBorders>
            <w:shd w:val="clear" w:color="auto" w:fill="auto"/>
            <w:noWrap/>
            <w:vAlign w:val="center"/>
            <w:hideMark/>
          </w:tcPr>
          <w:p w14:paraId="20CF9B4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3,793</w:t>
            </w:r>
          </w:p>
        </w:tc>
        <w:tc>
          <w:tcPr>
            <w:tcW w:w="1417" w:type="dxa"/>
            <w:tcBorders>
              <w:top w:val="nil"/>
              <w:left w:val="nil"/>
              <w:bottom w:val="single" w:sz="8" w:space="0" w:color="A6A6A6"/>
              <w:right w:val="single" w:sz="8" w:space="0" w:color="A6A6A6"/>
            </w:tcBorders>
            <w:shd w:val="clear" w:color="auto" w:fill="auto"/>
            <w:noWrap/>
            <w:vAlign w:val="center"/>
            <w:hideMark/>
          </w:tcPr>
          <w:p w14:paraId="578599A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w:t>
            </w:r>
          </w:p>
        </w:tc>
      </w:tr>
      <w:tr w:rsidR="003E7651" w:rsidRPr="004B3CF1" w14:paraId="7D88D20B"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7F9686EC"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Basic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4CC2F58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57,016</w:t>
            </w:r>
          </w:p>
        </w:tc>
        <w:tc>
          <w:tcPr>
            <w:tcW w:w="1277" w:type="dxa"/>
            <w:tcBorders>
              <w:top w:val="nil"/>
              <w:left w:val="nil"/>
              <w:bottom w:val="single" w:sz="8" w:space="0" w:color="A6A6A6"/>
              <w:right w:val="single" w:sz="8" w:space="0" w:color="A6A6A6"/>
            </w:tcBorders>
            <w:shd w:val="clear" w:color="auto" w:fill="auto"/>
            <w:noWrap/>
            <w:vAlign w:val="center"/>
            <w:hideMark/>
          </w:tcPr>
          <w:p w14:paraId="6E524E86"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64,007</w:t>
            </w:r>
          </w:p>
        </w:tc>
        <w:tc>
          <w:tcPr>
            <w:tcW w:w="1276" w:type="dxa"/>
            <w:tcBorders>
              <w:top w:val="nil"/>
              <w:left w:val="nil"/>
              <w:bottom w:val="single" w:sz="8" w:space="0" w:color="A6A6A6"/>
              <w:right w:val="single" w:sz="8" w:space="0" w:color="A6A6A6"/>
            </w:tcBorders>
            <w:shd w:val="clear" w:color="auto" w:fill="auto"/>
            <w:noWrap/>
            <w:vAlign w:val="center"/>
            <w:hideMark/>
          </w:tcPr>
          <w:p w14:paraId="669B6F0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6,991</w:t>
            </w:r>
          </w:p>
        </w:tc>
        <w:tc>
          <w:tcPr>
            <w:tcW w:w="1417" w:type="dxa"/>
            <w:tcBorders>
              <w:top w:val="nil"/>
              <w:left w:val="nil"/>
              <w:bottom w:val="single" w:sz="8" w:space="0" w:color="A6A6A6"/>
              <w:right w:val="single" w:sz="8" w:space="0" w:color="A6A6A6"/>
            </w:tcBorders>
            <w:shd w:val="clear" w:color="auto" w:fill="auto"/>
            <w:noWrap/>
            <w:vAlign w:val="center"/>
            <w:hideMark/>
          </w:tcPr>
          <w:p w14:paraId="73FE4ACF"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12.3%</w:t>
            </w:r>
          </w:p>
        </w:tc>
      </w:tr>
      <w:tr w:rsidR="003E7651" w:rsidRPr="004B3CF1" w14:paraId="080EA257"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4EEF11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The Basic Court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5DA424B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4,730</w:t>
            </w:r>
          </w:p>
        </w:tc>
        <w:tc>
          <w:tcPr>
            <w:tcW w:w="1277" w:type="dxa"/>
            <w:tcBorders>
              <w:top w:val="nil"/>
              <w:left w:val="nil"/>
              <w:bottom w:val="single" w:sz="8" w:space="0" w:color="A6A6A6"/>
              <w:right w:val="single" w:sz="8" w:space="0" w:color="A6A6A6"/>
            </w:tcBorders>
            <w:shd w:val="clear" w:color="auto" w:fill="auto"/>
            <w:noWrap/>
            <w:vAlign w:val="center"/>
            <w:hideMark/>
          </w:tcPr>
          <w:p w14:paraId="7D21A27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5,032</w:t>
            </w:r>
          </w:p>
        </w:tc>
        <w:tc>
          <w:tcPr>
            <w:tcW w:w="1276" w:type="dxa"/>
            <w:tcBorders>
              <w:top w:val="nil"/>
              <w:left w:val="nil"/>
              <w:bottom w:val="single" w:sz="8" w:space="0" w:color="A6A6A6"/>
              <w:right w:val="single" w:sz="8" w:space="0" w:color="A6A6A6"/>
            </w:tcBorders>
            <w:shd w:val="clear" w:color="auto" w:fill="auto"/>
            <w:noWrap/>
            <w:vAlign w:val="center"/>
            <w:hideMark/>
          </w:tcPr>
          <w:p w14:paraId="0E62F0E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302</w:t>
            </w:r>
          </w:p>
        </w:tc>
        <w:tc>
          <w:tcPr>
            <w:tcW w:w="1417" w:type="dxa"/>
            <w:tcBorders>
              <w:top w:val="nil"/>
              <w:left w:val="nil"/>
              <w:bottom w:val="single" w:sz="8" w:space="0" w:color="A6A6A6"/>
              <w:right w:val="single" w:sz="8" w:space="0" w:color="A6A6A6"/>
            </w:tcBorders>
            <w:shd w:val="clear" w:color="auto" w:fill="auto"/>
            <w:noWrap/>
            <w:vAlign w:val="center"/>
            <w:hideMark/>
          </w:tcPr>
          <w:p w14:paraId="04C1560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6.4%</w:t>
            </w:r>
          </w:p>
        </w:tc>
      </w:tr>
      <w:tr w:rsidR="003E7651" w:rsidRPr="004B3CF1" w14:paraId="24EFF976"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4769BE1"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275" w:type="dxa"/>
            <w:tcBorders>
              <w:top w:val="nil"/>
              <w:left w:val="nil"/>
              <w:bottom w:val="single" w:sz="8" w:space="0" w:color="A6A6A6"/>
              <w:right w:val="single" w:sz="8" w:space="0" w:color="A6A6A6"/>
            </w:tcBorders>
            <w:shd w:val="clear" w:color="auto" w:fill="auto"/>
            <w:noWrap/>
            <w:vAlign w:val="center"/>
            <w:hideMark/>
          </w:tcPr>
          <w:p w14:paraId="4546CA06"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303,056</w:t>
            </w:r>
          </w:p>
        </w:tc>
        <w:tc>
          <w:tcPr>
            <w:tcW w:w="1277" w:type="dxa"/>
            <w:tcBorders>
              <w:top w:val="nil"/>
              <w:left w:val="nil"/>
              <w:bottom w:val="single" w:sz="8" w:space="0" w:color="A6A6A6"/>
              <w:right w:val="single" w:sz="8" w:space="0" w:color="A6A6A6"/>
            </w:tcBorders>
            <w:shd w:val="clear" w:color="auto" w:fill="auto"/>
            <w:noWrap/>
            <w:vAlign w:val="center"/>
            <w:hideMark/>
          </w:tcPr>
          <w:p w14:paraId="47C1265D"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306,861</w:t>
            </w:r>
          </w:p>
        </w:tc>
        <w:tc>
          <w:tcPr>
            <w:tcW w:w="1276" w:type="dxa"/>
            <w:tcBorders>
              <w:top w:val="nil"/>
              <w:left w:val="nil"/>
              <w:bottom w:val="single" w:sz="8" w:space="0" w:color="A6A6A6"/>
              <w:right w:val="single" w:sz="8" w:space="0" w:color="A6A6A6"/>
            </w:tcBorders>
            <w:shd w:val="clear" w:color="auto" w:fill="auto"/>
            <w:noWrap/>
            <w:vAlign w:val="center"/>
            <w:hideMark/>
          </w:tcPr>
          <w:p w14:paraId="57E9A3F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3,805</w:t>
            </w:r>
          </w:p>
        </w:tc>
        <w:tc>
          <w:tcPr>
            <w:tcW w:w="1417" w:type="dxa"/>
            <w:tcBorders>
              <w:top w:val="nil"/>
              <w:left w:val="nil"/>
              <w:bottom w:val="single" w:sz="8" w:space="0" w:color="A6A6A6"/>
              <w:right w:val="single" w:sz="8" w:space="0" w:color="A6A6A6"/>
            </w:tcBorders>
            <w:shd w:val="clear" w:color="auto" w:fill="auto"/>
            <w:noWrap/>
            <w:vAlign w:val="center"/>
            <w:hideMark/>
          </w:tcPr>
          <w:p w14:paraId="3944F17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1.3%</w:t>
            </w:r>
          </w:p>
        </w:tc>
      </w:tr>
    </w:tbl>
    <w:p w14:paraId="2541E32F" w14:textId="77777777" w:rsidR="003E7651" w:rsidRPr="004B3CF1" w:rsidRDefault="003E7651" w:rsidP="003E7651">
      <w:pPr>
        <w:pStyle w:val="ListParagraph"/>
        <w:spacing w:before="80"/>
        <w:ind w:left="0"/>
        <w:jc w:val="both"/>
        <w:rPr>
          <w:rFonts w:ascii="Arial" w:hAnsi="Arial" w:cs="Arial"/>
        </w:rPr>
      </w:pPr>
    </w:p>
    <w:p w14:paraId="6BB54834" w14:textId="77777777" w:rsidR="003E7651" w:rsidRPr="004B3CF1" w:rsidRDefault="003E7651" w:rsidP="003E7651">
      <w:pPr>
        <w:pStyle w:val="etvrtinaslov0"/>
      </w:pPr>
      <w:bookmarkStart w:id="197" w:name="_Toc101944270"/>
      <w:bookmarkStart w:id="198" w:name="_Toc112852476"/>
      <w:r w:rsidRPr="004B3CF1">
        <w:t>Courts' influx</w:t>
      </w:r>
      <w:bookmarkEnd w:id="197"/>
      <w:bookmarkEnd w:id="198"/>
    </w:p>
    <w:p w14:paraId="249FF3B2" w14:textId="77777777" w:rsidR="003E7651" w:rsidRPr="004B3CF1" w:rsidRDefault="003E7651" w:rsidP="003E7651">
      <w:pPr>
        <w:pStyle w:val="Tekst"/>
      </w:pPr>
      <w:r w:rsidRPr="004B3CF1">
        <w:t>Compared to 2020, the total influx in 2021 was increased by 48,005 cases or 14.2%. Such a large increase in influx was expected given that in 2020 the courts worked with reduced capacities (due to Covid-19 pandemic), and consequently the number of cases received was the lowest since 2005, which was the first</w:t>
      </w:r>
      <w:r>
        <w:t xml:space="preserve"> reporting year for the HJPC. </w:t>
      </w:r>
      <w:r w:rsidRPr="004B3CF1">
        <w:t>If we compare the 2021 influx with that in 2019 (before the pandemic-related restrictions in the courts), the number of cases received was also higher by 15,196 or 4%.</w:t>
      </w:r>
    </w:p>
    <w:p w14:paraId="2754B06F" w14:textId="77777777" w:rsidR="003E7651" w:rsidRPr="004B3CF1" w:rsidRDefault="003E7651" w:rsidP="003E7651">
      <w:pPr>
        <w:pStyle w:val="Tekst"/>
      </w:pPr>
      <w:r w:rsidRPr="004B3CF1">
        <w:t>The increase in the number of received cases was recorded at all court instances, except in the Court of BiH and the</w:t>
      </w:r>
      <w:r>
        <w:t xml:space="preserve"> FBiH Supreme Court. </w:t>
      </w:r>
      <w:r w:rsidRPr="004B3CF1">
        <w:t>The increase of inf</w:t>
      </w:r>
      <w:r>
        <w:t xml:space="preserve">lux ranged from 5.7% to 28.0%. </w:t>
      </w:r>
      <w:r w:rsidRPr="004B3CF1">
        <w:t xml:space="preserve">The largest absolute reduction in the number of pending cases was recorded in municipal courts by 28,274 or 15.0% and in basic courts by 17,342 cases or 21.3%, while the largest percentage increase of 28.0% was recorded in the High Commercial Court in Banja Luka. </w:t>
      </w:r>
    </w:p>
    <w:p w14:paraId="770151B6" w14:textId="77777777" w:rsidR="003E7651" w:rsidRPr="004B3CF1" w:rsidRDefault="003E7651" w:rsidP="003E7651">
      <w:pPr>
        <w:pStyle w:val="ListParagraph"/>
        <w:spacing w:before="80"/>
        <w:ind w:left="0"/>
        <w:jc w:val="both"/>
        <w:rPr>
          <w:rFonts w:ascii="Arial" w:hAnsi="Arial" w:cs="Arial"/>
        </w:rPr>
      </w:pPr>
    </w:p>
    <w:p w14:paraId="08A8A696"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6</w:t>
      </w:r>
      <w:r w:rsidR="006D1459">
        <w:fldChar w:fldCharType="end"/>
      </w:r>
      <w:r w:rsidRPr="004B3CF1">
        <w:t>: Courts' influx</w:t>
      </w:r>
    </w:p>
    <w:tbl>
      <w:tblPr>
        <w:tblW w:w="9158" w:type="dxa"/>
        <w:tblInd w:w="118" w:type="dxa"/>
        <w:tblLook w:val="04A0" w:firstRow="1" w:lastRow="0" w:firstColumn="1" w:lastColumn="0" w:noHBand="0" w:noVBand="1"/>
      </w:tblPr>
      <w:tblGrid>
        <w:gridCol w:w="3818"/>
        <w:gridCol w:w="1275"/>
        <w:gridCol w:w="1276"/>
        <w:gridCol w:w="1276"/>
        <w:gridCol w:w="1513"/>
      </w:tblGrid>
      <w:tr w:rsidR="003E7651" w:rsidRPr="004B3CF1" w14:paraId="6BAE9931" w14:textId="77777777" w:rsidTr="003E7651">
        <w:trPr>
          <w:trHeight w:val="703"/>
        </w:trPr>
        <w:tc>
          <w:tcPr>
            <w:tcW w:w="3818"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490B7885"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COURTS</w:t>
            </w:r>
          </w:p>
        </w:tc>
        <w:tc>
          <w:tcPr>
            <w:tcW w:w="2551" w:type="dxa"/>
            <w:gridSpan w:val="2"/>
            <w:tcBorders>
              <w:top w:val="single" w:sz="8" w:space="0" w:color="A6A6A6"/>
              <w:left w:val="nil"/>
              <w:bottom w:val="single" w:sz="8" w:space="0" w:color="A6A6A6"/>
              <w:right w:val="single" w:sz="8" w:space="0" w:color="A6A6A6"/>
            </w:tcBorders>
            <w:shd w:val="clear" w:color="auto" w:fill="auto"/>
            <w:vAlign w:val="center"/>
            <w:hideMark/>
          </w:tcPr>
          <w:p w14:paraId="581B70B7"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Number of received cases</w:t>
            </w:r>
          </w:p>
        </w:tc>
        <w:tc>
          <w:tcPr>
            <w:tcW w:w="1276"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2FBFF3A0"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the number of received cases</w:t>
            </w:r>
          </w:p>
        </w:tc>
        <w:tc>
          <w:tcPr>
            <w:tcW w:w="1513"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71F1FE1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number of received cases in percentages</w:t>
            </w:r>
          </w:p>
        </w:tc>
      </w:tr>
      <w:tr w:rsidR="003E7651" w:rsidRPr="004B3CF1" w14:paraId="6012A78C" w14:textId="77777777" w:rsidTr="003E7651">
        <w:trPr>
          <w:trHeight w:val="543"/>
        </w:trPr>
        <w:tc>
          <w:tcPr>
            <w:tcW w:w="3818" w:type="dxa"/>
            <w:vMerge/>
            <w:tcBorders>
              <w:top w:val="single" w:sz="8" w:space="0" w:color="A6A6A6"/>
              <w:left w:val="single" w:sz="8" w:space="0" w:color="A6A6A6"/>
              <w:bottom w:val="single" w:sz="8" w:space="0" w:color="A6A6A6"/>
              <w:right w:val="single" w:sz="8" w:space="0" w:color="A6A6A6"/>
            </w:tcBorders>
            <w:vAlign w:val="center"/>
            <w:hideMark/>
          </w:tcPr>
          <w:p w14:paraId="2437D3FB"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vAlign w:val="center"/>
            <w:hideMark/>
          </w:tcPr>
          <w:p w14:paraId="0CCBFC4F"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2020</w:t>
            </w:r>
          </w:p>
        </w:tc>
        <w:tc>
          <w:tcPr>
            <w:tcW w:w="1276" w:type="dxa"/>
            <w:tcBorders>
              <w:top w:val="nil"/>
              <w:left w:val="nil"/>
              <w:bottom w:val="single" w:sz="8" w:space="0" w:color="A6A6A6"/>
              <w:right w:val="single" w:sz="8" w:space="0" w:color="A6A6A6"/>
            </w:tcBorders>
            <w:shd w:val="clear" w:color="auto" w:fill="auto"/>
            <w:vAlign w:val="center"/>
            <w:hideMark/>
          </w:tcPr>
          <w:p w14:paraId="089B180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2021</w:t>
            </w:r>
          </w:p>
        </w:tc>
        <w:tc>
          <w:tcPr>
            <w:tcW w:w="1276" w:type="dxa"/>
            <w:vMerge/>
            <w:tcBorders>
              <w:top w:val="single" w:sz="8" w:space="0" w:color="A6A6A6"/>
              <w:left w:val="single" w:sz="8" w:space="0" w:color="A6A6A6"/>
              <w:bottom w:val="single" w:sz="8" w:space="0" w:color="A6A6A6"/>
              <w:right w:val="single" w:sz="8" w:space="0" w:color="A6A6A6"/>
            </w:tcBorders>
            <w:vAlign w:val="center"/>
            <w:hideMark/>
          </w:tcPr>
          <w:p w14:paraId="40F66AC9" w14:textId="77777777" w:rsidR="003E7651" w:rsidRPr="004B3CF1" w:rsidRDefault="003E7651" w:rsidP="003E7651">
            <w:pPr>
              <w:rPr>
                <w:rFonts w:ascii="Arial" w:hAnsi="Arial" w:cs="Arial"/>
                <w:color w:val="000000"/>
                <w:sz w:val="22"/>
                <w:szCs w:val="22"/>
              </w:rPr>
            </w:pPr>
          </w:p>
        </w:tc>
        <w:tc>
          <w:tcPr>
            <w:tcW w:w="1513" w:type="dxa"/>
            <w:vMerge/>
            <w:tcBorders>
              <w:top w:val="single" w:sz="8" w:space="0" w:color="A6A6A6"/>
              <w:left w:val="single" w:sz="8" w:space="0" w:color="A6A6A6"/>
              <w:bottom w:val="single" w:sz="8" w:space="0" w:color="A6A6A6"/>
              <w:right w:val="single" w:sz="8" w:space="0" w:color="A6A6A6"/>
            </w:tcBorders>
            <w:vAlign w:val="center"/>
            <w:hideMark/>
          </w:tcPr>
          <w:p w14:paraId="486B8679" w14:textId="77777777" w:rsidR="003E7651" w:rsidRPr="004B3CF1" w:rsidRDefault="003E7651" w:rsidP="003E7651">
            <w:pPr>
              <w:rPr>
                <w:rFonts w:ascii="Arial" w:hAnsi="Arial" w:cs="Arial"/>
                <w:color w:val="000000"/>
                <w:sz w:val="22"/>
                <w:szCs w:val="22"/>
              </w:rPr>
            </w:pPr>
          </w:p>
        </w:tc>
      </w:tr>
      <w:tr w:rsidR="003E7651" w:rsidRPr="004B3CF1" w14:paraId="122BB868" w14:textId="77777777" w:rsidTr="003E7651">
        <w:trPr>
          <w:trHeight w:val="315"/>
        </w:trPr>
        <w:tc>
          <w:tcPr>
            <w:tcW w:w="3818" w:type="dxa"/>
            <w:vMerge/>
            <w:tcBorders>
              <w:top w:val="single" w:sz="8" w:space="0" w:color="A6A6A6"/>
              <w:left w:val="single" w:sz="8" w:space="0" w:color="A6A6A6"/>
              <w:bottom w:val="single" w:sz="8" w:space="0" w:color="A6A6A6"/>
              <w:right w:val="single" w:sz="8" w:space="0" w:color="A6A6A6"/>
            </w:tcBorders>
            <w:vAlign w:val="center"/>
            <w:hideMark/>
          </w:tcPr>
          <w:p w14:paraId="46B28CA9"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noWrap/>
            <w:vAlign w:val="center"/>
            <w:hideMark/>
          </w:tcPr>
          <w:p w14:paraId="4ACB1153"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w:t>
            </w:r>
          </w:p>
        </w:tc>
        <w:tc>
          <w:tcPr>
            <w:tcW w:w="1276" w:type="dxa"/>
            <w:tcBorders>
              <w:top w:val="nil"/>
              <w:left w:val="nil"/>
              <w:bottom w:val="single" w:sz="8" w:space="0" w:color="A6A6A6"/>
              <w:right w:val="single" w:sz="8" w:space="0" w:color="A6A6A6"/>
            </w:tcBorders>
            <w:shd w:val="clear" w:color="auto" w:fill="auto"/>
            <w:noWrap/>
            <w:vAlign w:val="center"/>
            <w:hideMark/>
          </w:tcPr>
          <w:p w14:paraId="6B648680"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276" w:type="dxa"/>
            <w:tcBorders>
              <w:top w:val="nil"/>
              <w:left w:val="nil"/>
              <w:bottom w:val="single" w:sz="8" w:space="0" w:color="A6A6A6"/>
              <w:right w:val="single" w:sz="8" w:space="0" w:color="A6A6A6"/>
            </w:tcBorders>
            <w:shd w:val="clear" w:color="auto" w:fill="auto"/>
            <w:noWrap/>
            <w:vAlign w:val="center"/>
            <w:hideMark/>
          </w:tcPr>
          <w:p w14:paraId="0A88C52E"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III = II - I</w:t>
            </w:r>
          </w:p>
        </w:tc>
        <w:tc>
          <w:tcPr>
            <w:tcW w:w="1513" w:type="dxa"/>
            <w:tcBorders>
              <w:top w:val="nil"/>
              <w:left w:val="nil"/>
              <w:bottom w:val="single" w:sz="8" w:space="0" w:color="A6A6A6"/>
              <w:right w:val="single" w:sz="8" w:space="0" w:color="A6A6A6"/>
            </w:tcBorders>
            <w:shd w:val="clear" w:color="auto" w:fill="auto"/>
            <w:noWrap/>
            <w:vAlign w:val="center"/>
            <w:hideMark/>
          </w:tcPr>
          <w:p w14:paraId="3C011FBF"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IV = II / I</w:t>
            </w:r>
          </w:p>
        </w:tc>
      </w:tr>
      <w:tr w:rsidR="003E7651" w:rsidRPr="004B3CF1" w14:paraId="664DABEC"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24E3557"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lastRenderedPageBreak/>
              <w:t>Court of Bosnia and Herzegovina</w:t>
            </w:r>
          </w:p>
        </w:tc>
        <w:tc>
          <w:tcPr>
            <w:tcW w:w="1275" w:type="dxa"/>
            <w:tcBorders>
              <w:top w:val="nil"/>
              <w:left w:val="nil"/>
              <w:bottom w:val="single" w:sz="8" w:space="0" w:color="A6A6A6"/>
              <w:right w:val="single" w:sz="8" w:space="0" w:color="A6A6A6"/>
            </w:tcBorders>
            <w:shd w:val="clear" w:color="auto" w:fill="auto"/>
            <w:noWrap/>
            <w:vAlign w:val="center"/>
            <w:hideMark/>
          </w:tcPr>
          <w:p w14:paraId="7D610FF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7,631</w:t>
            </w:r>
          </w:p>
        </w:tc>
        <w:tc>
          <w:tcPr>
            <w:tcW w:w="1276" w:type="dxa"/>
            <w:tcBorders>
              <w:top w:val="nil"/>
              <w:left w:val="nil"/>
              <w:bottom w:val="single" w:sz="8" w:space="0" w:color="A6A6A6"/>
              <w:right w:val="single" w:sz="8" w:space="0" w:color="A6A6A6"/>
            </w:tcBorders>
            <w:shd w:val="clear" w:color="auto" w:fill="auto"/>
            <w:noWrap/>
            <w:vAlign w:val="center"/>
            <w:hideMark/>
          </w:tcPr>
          <w:p w14:paraId="0FAF3E6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5,143</w:t>
            </w:r>
          </w:p>
        </w:tc>
        <w:tc>
          <w:tcPr>
            <w:tcW w:w="1276" w:type="dxa"/>
            <w:tcBorders>
              <w:top w:val="nil"/>
              <w:left w:val="nil"/>
              <w:bottom w:val="single" w:sz="8" w:space="0" w:color="A6A6A6"/>
              <w:right w:val="single" w:sz="8" w:space="0" w:color="A6A6A6"/>
            </w:tcBorders>
            <w:shd w:val="clear" w:color="auto" w:fill="auto"/>
            <w:noWrap/>
            <w:vAlign w:val="center"/>
            <w:hideMark/>
          </w:tcPr>
          <w:p w14:paraId="50F9684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-2,488</w:t>
            </w:r>
          </w:p>
        </w:tc>
        <w:tc>
          <w:tcPr>
            <w:tcW w:w="1513" w:type="dxa"/>
            <w:tcBorders>
              <w:top w:val="nil"/>
              <w:left w:val="nil"/>
              <w:bottom w:val="single" w:sz="8" w:space="0" w:color="A6A6A6"/>
              <w:right w:val="single" w:sz="8" w:space="0" w:color="A6A6A6"/>
            </w:tcBorders>
            <w:shd w:val="clear" w:color="auto" w:fill="auto"/>
            <w:noWrap/>
            <w:vAlign w:val="center"/>
            <w:hideMark/>
          </w:tcPr>
          <w:p w14:paraId="0B235A5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-32.6%</w:t>
            </w:r>
          </w:p>
        </w:tc>
      </w:tr>
      <w:tr w:rsidR="003E7651" w:rsidRPr="004B3CF1" w14:paraId="6B5E6EB7"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4CC9614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Supreme Court of the Federation of BiH</w:t>
            </w:r>
          </w:p>
        </w:tc>
        <w:tc>
          <w:tcPr>
            <w:tcW w:w="1275" w:type="dxa"/>
            <w:tcBorders>
              <w:top w:val="nil"/>
              <w:left w:val="nil"/>
              <w:bottom w:val="single" w:sz="8" w:space="0" w:color="A6A6A6"/>
              <w:right w:val="single" w:sz="8" w:space="0" w:color="A6A6A6"/>
            </w:tcBorders>
            <w:shd w:val="clear" w:color="auto" w:fill="auto"/>
            <w:noWrap/>
            <w:vAlign w:val="center"/>
            <w:hideMark/>
          </w:tcPr>
          <w:p w14:paraId="64A6249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4,963</w:t>
            </w:r>
          </w:p>
        </w:tc>
        <w:tc>
          <w:tcPr>
            <w:tcW w:w="1276" w:type="dxa"/>
            <w:tcBorders>
              <w:top w:val="nil"/>
              <w:left w:val="nil"/>
              <w:bottom w:val="single" w:sz="8" w:space="0" w:color="A6A6A6"/>
              <w:right w:val="single" w:sz="8" w:space="0" w:color="A6A6A6"/>
            </w:tcBorders>
            <w:shd w:val="clear" w:color="auto" w:fill="auto"/>
            <w:noWrap/>
            <w:vAlign w:val="center"/>
            <w:hideMark/>
          </w:tcPr>
          <w:p w14:paraId="54D633A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4,396</w:t>
            </w:r>
          </w:p>
        </w:tc>
        <w:tc>
          <w:tcPr>
            <w:tcW w:w="1276" w:type="dxa"/>
            <w:tcBorders>
              <w:top w:val="nil"/>
              <w:left w:val="nil"/>
              <w:bottom w:val="single" w:sz="8" w:space="0" w:color="A6A6A6"/>
              <w:right w:val="single" w:sz="8" w:space="0" w:color="A6A6A6"/>
            </w:tcBorders>
            <w:shd w:val="clear" w:color="auto" w:fill="auto"/>
            <w:noWrap/>
            <w:vAlign w:val="center"/>
            <w:hideMark/>
          </w:tcPr>
          <w:p w14:paraId="3888917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-567</w:t>
            </w:r>
          </w:p>
        </w:tc>
        <w:tc>
          <w:tcPr>
            <w:tcW w:w="1513" w:type="dxa"/>
            <w:tcBorders>
              <w:top w:val="nil"/>
              <w:left w:val="nil"/>
              <w:bottom w:val="single" w:sz="8" w:space="0" w:color="A6A6A6"/>
              <w:right w:val="single" w:sz="8" w:space="0" w:color="A6A6A6"/>
            </w:tcBorders>
            <w:shd w:val="clear" w:color="auto" w:fill="auto"/>
            <w:noWrap/>
            <w:vAlign w:val="center"/>
            <w:hideMark/>
          </w:tcPr>
          <w:p w14:paraId="6A416F7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-11.4%</w:t>
            </w:r>
          </w:p>
        </w:tc>
      </w:tr>
      <w:tr w:rsidR="003E7651" w:rsidRPr="004B3CF1" w14:paraId="18923BF8"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20CA42B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Supreme Court of Republika Srpska</w:t>
            </w:r>
          </w:p>
        </w:tc>
        <w:tc>
          <w:tcPr>
            <w:tcW w:w="1275" w:type="dxa"/>
            <w:tcBorders>
              <w:top w:val="nil"/>
              <w:left w:val="nil"/>
              <w:bottom w:val="single" w:sz="8" w:space="0" w:color="A6A6A6"/>
              <w:right w:val="single" w:sz="8" w:space="0" w:color="A6A6A6"/>
            </w:tcBorders>
            <w:shd w:val="clear" w:color="auto" w:fill="auto"/>
            <w:noWrap/>
            <w:vAlign w:val="center"/>
            <w:hideMark/>
          </w:tcPr>
          <w:p w14:paraId="0A6D3C7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2,170</w:t>
            </w:r>
          </w:p>
        </w:tc>
        <w:tc>
          <w:tcPr>
            <w:tcW w:w="1276" w:type="dxa"/>
            <w:tcBorders>
              <w:top w:val="nil"/>
              <w:left w:val="nil"/>
              <w:bottom w:val="single" w:sz="8" w:space="0" w:color="A6A6A6"/>
              <w:right w:val="single" w:sz="8" w:space="0" w:color="A6A6A6"/>
            </w:tcBorders>
            <w:shd w:val="clear" w:color="auto" w:fill="auto"/>
            <w:noWrap/>
            <w:vAlign w:val="center"/>
            <w:hideMark/>
          </w:tcPr>
          <w:p w14:paraId="1BB59BF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2,386</w:t>
            </w:r>
          </w:p>
        </w:tc>
        <w:tc>
          <w:tcPr>
            <w:tcW w:w="1276" w:type="dxa"/>
            <w:tcBorders>
              <w:top w:val="nil"/>
              <w:left w:val="nil"/>
              <w:bottom w:val="single" w:sz="8" w:space="0" w:color="A6A6A6"/>
              <w:right w:val="single" w:sz="8" w:space="0" w:color="A6A6A6"/>
            </w:tcBorders>
            <w:shd w:val="clear" w:color="auto" w:fill="auto"/>
            <w:noWrap/>
            <w:vAlign w:val="center"/>
            <w:hideMark/>
          </w:tcPr>
          <w:p w14:paraId="212D1A7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216</w:t>
            </w:r>
          </w:p>
        </w:tc>
        <w:tc>
          <w:tcPr>
            <w:tcW w:w="1513" w:type="dxa"/>
            <w:tcBorders>
              <w:top w:val="nil"/>
              <w:left w:val="nil"/>
              <w:bottom w:val="single" w:sz="8" w:space="0" w:color="A6A6A6"/>
              <w:right w:val="single" w:sz="8" w:space="0" w:color="A6A6A6"/>
            </w:tcBorders>
            <w:shd w:val="clear" w:color="auto" w:fill="auto"/>
            <w:noWrap/>
            <w:vAlign w:val="center"/>
            <w:hideMark/>
          </w:tcPr>
          <w:p w14:paraId="5A5C0E0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10.0%</w:t>
            </w:r>
          </w:p>
        </w:tc>
      </w:tr>
      <w:tr w:rsidR="003E7651" w:rsidRPr="004B3CF1" w14:paraId="0DFFC12C"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D135962"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The Appellate Court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2A58D89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761</w:t>
            </w:r>
          </w:p>
        </w:tc>
        <w:tc>
          <w:tcPr>
            <w:tcW w:w="1276" w:type="dxa"/>
            <w:tcBorders>
              <w:top w:val="nil"/>
              <w:left w:val="nil"/>
              <w:bottom w:val="single" w:sz="8" w:space="0" w:color="A6A6A6"/>
              <w:right w:val="single" w:sz="8" w:space="0" w:color="A6A6A6"/>
            </w:tcBorders>
            <w:shd w:val="clear" w:color="auto" w:fill="auto"/>
            <w:noWrap/>
            <w:vAlign w:val="center"/>
            <w:hideMark/>
          </w:tcPr>
          <w:p w14:paraId="2D7A30D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804</w:t>
            </w:r>
          </w:p>
        </w:tc>
        <w:tc>
          <w:tcPr>
            <w:tcW w:w="1276" w:type="dxa"/>
            <w:tcBorders>
              <w:top w:val="nil"/>
              <w:left w:val="nil"/>
              <w:bottom w:val="single" w:sz="8" w:space="0" w:color="A6A6A6"/>
              <w:right w:val="single" w:sz="8" w:space="0" w:color="A6A6A6"/>
            </w:tcBorders>
            <w:shd w:val="clear" w:color="auto" w:fill="auto"/>
            <w:noWrap/>
            <w:vAlign w:val="center"/>
            <w:hideMark/>
          </w:tcPr>
          <w:p w14:paraId="43AF5D2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43</w:t>
            </w:r>
          </w:p>
        </w:tc>
        <w:tc>
          <w:tcPr>
            <w:tcW w:w="1513" w:type="dxa"/>
            <w:tcBorders>
              <w:top w:val="nil"/>
              <w:left w:val="nil"/>
              <w:bottom w:val="single" w:sz="8" w:space="0" w:color="A6A6A6"/>
              <w:right w:val="single" w:sz="8" w:space="0" w:color="A6A6A6"/>
            </w:tcBorders>
            <w:shd w:val="clear" w:color="auto" w:fill="auto"/>
            <w:noWrap/>
            <w:vAlign w:val="center"/>
            <w:hideMark/>
          </w:tcPr>
          <w:p w14:paraId="39946BF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5.7%</w:t>
            </w:r>
          </w:p>
        </w:tc>
      </w:tr>
      <w:tr w:rsidR="003E7651" w:rsidRPr="004B3CF1" w14:paraId="7EAEABB4"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27A27CEB"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Banja Luka High Commercial Court</w:t>
            </w:r>
          </w:p>
        </w:tc>
        <w:tc>
          <w:tcPr>
            <w:tcW w:w="1275" w:type="dxa"/>
            <w:tcBorders>
              <w:top w:val="nil"/>
              <w:left w:val="nil"/>
              <w:bottom w:val="single" w:sz="8" w:space="0" w:color="A6A6A6"/>
              <w:right w:val="single" w:sz="8" w:space="0" w:color="A6A6A6"/>
            </w:tcBorders>
            <w:shd w:val="clear" w:color="auto" w:fill="auto"/>
            <w:noWrap/>
            <w:vAlign w:val="center"/>
            <w:hideMark/>
          </w:tcPr>
          <w:p w14:paraId="1F9F053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943</w:t>
            </w:r>
          </w:p>
        </w:tc>
        <w:tc>
          <w:tcPr>
            <w:tcW w:w="1276" w:type="dxa"/>
            <w:tcBorders>
              <w:top w:val="nil"/>
              <w:left w:val="nil"/>
              <w:bottom w:val="single" w:sz="8" w:space="0" w:color="A6A6A6"/>
              <w:right w:val="single" w:sz="8" w:space="0" w:color="A6A6A6"/>
            </w:tcBorders>
            <w:shd w:val="clear" w:color="auto" w:fill="auto"/>
            <w:noWrap/>
            <w:vAlign w:val="center"/>
            <w:hideMark/>
          </w:tcPr>
          <w:p w14:paraId="32989BA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1,207</w:t>
            </w:r>
          </w:p>
        </w:tc>
        <w:tc>
          <w:tcPr>
            <w:tcW w:w="1276" w:type="dxa"/>
            <w:tcBorders>
              <w:top w:val="nil"/>
              <w:left w:val="nil"/>
              <w:bottom w:val="single" w:sz="8" w:space="0" w:color="A6A6A6"/>
              <w:right w:val="single" w:sz="8" w:space="0" w:color="A6A6A6"/>
            </w:tcBorders>
            <w:shd w:val="clear" w:color="auto" w:fill="auto"/>
            <w:noWrap/>
            <w:vAlign w:val="center"/>
            <w:hideMark/>
          </w:tcPr>
          <w:p w14:paraId="2398FD4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264</w:t>
            </w:r>
          </w:p>
        </w:tc>
        <w:tc>
          <w:tcPr>
            <w:tcW w:w="1513" w:type="dxa"/>
            <w:tcBorders>
              <w:top w:val="nil"/>
              <w:left w:val="nil"/>
              <w:bottom w:val="single" w:sz="8" w:space="0" w:color="A6A6A6"/>
              <w:right w:val="single" w:sz="8" w:space="0" w:color="A6A6A6"/>
            </w:tcBorders>
            <w:shd w:val="clear" w:color="auto" w:fill="auto"/>
            <w:noWrap/>
            <w:vAlign w:val="center"/>
            <w:hideMark/>
          </w:tcPr>
          <w:p w14:paraId="3F38BCC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28.0%</w:t>
            </w:r>
          </w:p>
        </w:tc>
      </w:tr>
      <w:tr w:rsidR="003E7651" w:rsidRPr="004B3CF1" w14:paraId="5CC5D4A0"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DFE05F0"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Cantonal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6536913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27,034</w:t>
            </w:r>
          </w:p>
        </w:tc>
        <w:tc>
          <w:tcPr>
            <w:tcW w:w="1276" w:type="dxa"/>
            <w:tcBorders>
              <w:top w:val="nil"/>
              <w:left w:val="nil"/>
              <w:bottom w:val="single" w:sz="8" w:space="0" w:color="A6A6A6"/>
              <w:right w:val="single" w:sz="8" w:space="0" w:color="A6A6A6"/>
            </w:tcBorders>
            <w:shd w:val="clear" w:color="auto" w:fill="auto"/>
            <w:noWrap/>
            <w:vAlign w:val="center"/>
            <w:hideMark/>
          </w:tcPr>
          <w:p w14:paraId="796ED52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29,163</w:t>
            </w:r>
          </w:p>
        </w:tc>
        <w:tc>
          <w:tcPr>
            <w:tcW w:w="1276" w:type="dxa"/>
            <w:tcBorders>
              <w:top w:val="nil"/>
              <w:left w:val="nil"/>
              <w:bottom w:val="single" w:sz="8" w:space="0" w:color="A6A6A6"/>
              <w:right w:val="single" w:sz="8" w:space="0" w:color="A6A6A6"/>
            </w:tcBorders>
            <w:shd w:val="clear" w:color="auto" w:fill="auto"/>
            <w:noWrap/>
            <w:vAlign w:val="center"/>
            <w:hideMark/>
          </w:tcPr>
          <w:p w14:paraId="2BF547D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2,129</w:t>
            </w:r>
          </w:p>
        </w:tc>
        <w:tc>
          <w:tcPr>
            <w:tcW w:w="1513" w:type="dxa"/>
            <w:tcBorders>
              <w:top w:val="nil"/>
              <w:left w:val="nil"/>
              <w:bottom w:val="single" w:sz="8" w:space="0" w:color="A6A6A6"/>
              <w:right w:val="single" w:sz="8" w:space="0" w:color="A6A6A6"/>
            </w:tcBorders>
            <w:shd w:val="clear" w:color="auto" w:fill="auto"/>
            <w:noWrap/>
            <w:vAlign w:val="center"/>
            <w:hideMark/>
          </w:tcPr>
          <w:p w14:paraId="7BD2B06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7.9%</w:t>
            </w:r>
          </w:p>
        </w:tc>
      </w:tr>
      <w:tr w:rsidR="003E7651" w:rsidRPr="004B3CF1" w14:paraId="6F223041"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2C7AF856"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District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0495B88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13,045</w:t>
            </w:r>
          </w:p>
        </w:tc>
        <w:tc>
          <w:tcPr>
            <w:tcW w:w="1276" w:type="dxa"/>
            <w:tcBorders>
              <w:top w:val="nil"/>
              <w:left w:val="nil"/>
              <w:bottom w:val="single" w:sz="8" w:space="0" w:color="A6A6A6"/>
              <w:right w:val="single" w:sz="8" w:space="0" w:color="A6A6A6"/>
            </w:tcBorders>
            <w:shd w:val="clear" w:color="auto" w:fill="auto"/>
            <w:noWrap/>
            <w:vAlign w:val="center"/>
            <w:hideMark/>
          </w:tcPr>
          <w:p w14:paraId="7ED5299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14,570</w:t>
            </w:r>
          </w:p>
        </w:tc>
        <w:tc>
          <w:tcPr>
            <w:tcW w:w="1276" w:type="dxa"/>
            <w:tcBorders>
              <w:top w:val="nil"/>
              <w:left w:val="nil"/>
              <w:bottom w:val="single" w:sz="8" w:space="0" w:color="A6A6A6"/>
              <w:right w:val="single" w:sz="8" w:space="0" w:color="A6A6A6"/>
            </w:tcBorders>
            <w:shd w:val="clear" w:color="auto" w:fill="auto"/>
            <w:noWrap/>
            <w:vAlign w:val="center"/>
            <w:hideMark/>
          </w:tcPr>
          <w:p w14:paraId="52A8C30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1,525</w:t>
            </w:r>
          </w:p>
        </w:tc>
        <w:tc>
          <w:tcPr>
            <w:tcW w:w="1513" w:type="dxa"/>
            <w:tcBorders>
              <w:top w:val="nil"/>
              <w:left w:val="nil"/>
              <w:bottom w:val="single" w:sz="8" w:space="0" w:color="A6A6A6"/>
              <w:right w:val="single" w:sz="8" w:space="0" w:color="A6A6A6"/>
            </w:tcBorders>
            <w:shd w:val="clear" w:color="auto" w:fill="auto"/>
            <w:noWrap/>
            <w:vAlign w:val="center"/>
            <w:hideMark/>
          </w:tcPr>
          <w:p w14:paraId="2F4E6FC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11.7%</w:t>
            </w:r>
          </w:p>
        </w:tc>
      </w:tr>
      <w:tr w:rsidR="003E7651" w:rsidRPr="004B3CF1" w14:paraId="2E07FF7B"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DA21218"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District commercial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1D9CEC8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6,118</w:t>
            </w:r>
          </w:p>
        </w:tc>
        <w:tc>
          <w:tcPr>
            <w:tcW w:w="1276" w:type="dxa"/>
            <w:tcBorders>
              <w:top w:val="nil"/>
              <w:left w:val="nil"/>
              <w:bottom w:val="single" w:sz="8" w:space="0" w:color="A6A6A6"/>
              <w:right w:val="single" w:sz="8" w:space="0" w:color="A6A6A6"/>
            </w:tcBorders>
            <w:shd w:val="clear" w:color="auto" w:fill="auto"/>
            <w:noWrap/>
            <w:vAlign w:val="center"/>
            <w:hideMark/>
          </w:tcPr>
          <w:p w14:paraId="282AA74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6,501</w:t>
            </w:r>
          </w:p>
        </w:tc>
        <w:tc>
          <w:tcPr>
            <w:tcW w:w="1276" w:type="dxa"/>
            <w:tcBorders>
              <w:top w:val="nil"/>
              <w:left w:val="nil"/>
              <w:bottom w:val="single" w:sz="8" w:space="0" w:color="A6A6A6"/>
              <w:right w:val="single" w:sz="8" w:space="0" w:color="A6A6A6"/>
            </w:tcBorders>
            <w:shd w:val="clear" w:color="auto" w:fill="auto"/>
            <w:noWrap/>
            <w:vAlign w:val="center"/>
            <w:hideMark/>
          </w:tcPr>
          <w:p w14:paraId="0760E78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383</w:t>
            </w:r>
          </w:p>
        </w:tc>
        <w:tc>
          <w:tcPr>
            <w:tcW w:w="1513" w:type="dxa"/>
            <w:tcBorders>
              <w:top w:val="nil"/>
              <w:left w:val="nil"/>
              <w:bottom w:val="single" w:sz="8" w:space="0" w:color="A6A6A6"/>
              <w:right w:val="single" w:sz="8" w:space="0" w:color="A6A6A6"/>
            </w:tcBorders>
            <w:shd w:val="clear" w:color="auto" w:fill="auto"/>
            <w:noWrap/>
            <w:vAlign w:val="center"/>
            <w:hideMark/>
          </w:tcPr>
          <w:p w14:paraId="2B9FD701"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6.3%</w:t>
            </w:r>
          </w:p>
        </w:tc>
      </w:tr>
      <w:tr w:rsidR="003E7651" w:rsidRPr="004B3CF1" w14:paraId="6EBE372C"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3E0DB6B"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Municipal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644E412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188,142</w:t>
            </w:r>
          </w:p>
        </w:tc>
        <w:tc>
          <w:tcPr>
            <w:tcW w:w="1276" w:type="dxa"/>
            <w:tcBorders>
              <w:top w:val="nil"/>
              <w:left w:val="nil"/>
              <w:bottom w:val="single" w:sz="8" w:space="0" w:color="A6A6A6"/>
              <w:right w:val="single" w:sz="8" w:space="0" w:color="A6A6A6"/>
            </w:tcBorders>
            <w:shd w:val="clear" w:color="auto" w:fill="auto"/>
            <w:noWrap/>
            <w:vAlign w:val="center"/>
            <w:hideMark/>
          </w:tcPr>
          <w:p w14:paraId="2926789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216,416</w:t>
            </w:r>
          </w:p>
        </w:tc>
        <w:tc>
          <w:tcPr>
            <w:tcW w:w="1276" w:type="dxa"/>
            <w:tcBorders>
              <w:top w:val="nil"/>
              <w:left w:val="nil"/>
              <w:bottom w:val="single" w:sz="8" w:space="0" w:color="A6A6A6"/>
              <w:right w:val="single" w:sz="8" w:space="0" w:color="A6A6A6"/>
            </w:tcBorders>
            <w:shd w:val="clear" w:color="auto" w:fill="auto"/>
            <w:noWrap/>
            <w:vAlign w:val="center"/>
            <w:hideMark/>
          </w:tcPr>
          <w:p w14:paraId="43ED299F"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28,274</w:t>
            </w:r>
          </w:p>
        </w:tc>
        <w:tc>
          <w:tcPr>
            <w:tcW w:w="1513" w:type="dxa"/>
            <w:tcBorders>
              <w:top w:val="nil"/>
              <w:left w:val="nil"/>
              <w:bottom w:val="single" w:sz="8" w:space="0" w:color="A6A6A6"/>
              <w:right w:val="single" w:sz="8" w:space="0" w:color="A6A6A6"/>
            </w:tcBorders>
            <w:shd w:val="clear" w:color="auto" w:fill="auto"/>
            <w:noWrap/>
            <w:vAlign w:val="center"/>
            <w:hideMark/>
          </w:tcPr>
          <w:p w14:paraId="7C62A0C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15.0%</w:t>
            </w:r>
          </w:p>
        </w:tc>
      </w:tr>
      <w:tr w:rsidR="003E7651" w:rsidRPr="004B3CF1" w14:paraId="29DD7EC8"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12578734"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Basic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42EA7EE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81,577</w:t>
            </w:r>
          </w:p>
        </w:tc>
        <w:tc>
          <w:tcPr>
            <w:tcW w:w="1276" w:type="dxa"/>
            <w:tcBorders>
              <w:top w:val="nil"/>
              <w:left w:val="nil"/>
              <w:bottom w:val="single" w:sz="8" w:space="0" w:color="A6A6A6"/>
              <w:right w:val="single" w:sz="8" w:space="0" w:color="A6A6A6"/>
            </w:tcBorders>
            <w:shd w:val="clear" w:color="auto" w:fill="auto"/>
            <w:noWrap/>
            <w:vAlign w:val="center"/>
            <w:hideMark/>
          </w:tcPr>
          <w:p w14:paraId="39123EE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98,919</w:t>
            </w:r>
          </w:p>
        </w:tc>
        <w:tc>
          <w:tcPr>
            <w:tcW w:w="1276" w:type="dxa"/>
            <w:tcBorders>
              <w:top w:val="nil"/>
              <w:left w:val="nil"/>
              <w:bottom w:val="single" w:sz="8" w:space="0" w:color="A6A6A6"/>
              <w:right w:val="single" w:sz="8" w:space="0" w:color="A6A6A6"/>
            </w:tcBorders>
            <w:shd w:val="clear" w:color="auto" w:fill="auto"/>
            <w:noWrap/>
            <w:vAlign w:val="center"/>
            <w:hideMark/>
          </w:tcPr>
          <w:p w14:paraId="0C04E4F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17,342</w:t>
            </w:r>
          </w:p>
        </w:tc>
        <w:tc>
          <w:tcPr>
            <w:tcW w:w="1513" w:type="dxa"/>
            <w:tcBorders>
              <w:top w:val="nil"/>
              <w:left w:val="nil"/>
              <w:bottom w:val="single" w:sz="8" w:space="0" w:color="A6A6A6"/>
              <w:right w:val="single" w:sz="8" w:space="0" w:color="A6A6A6"/>
            </w:tcBorders>
            <w:shd w:val="clear" w:color="auto" w:fill="auto"/>
            <w:noWrap/>
            <w:vAlign w:val="center"/>
            <w:hideMark/>
          </w:tcPr>
          <w:p w14:paraId="32D17E0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21.3%</w:t>
            </w:r>
          </w:p>
        </w:tc>
      </w:tr>
      <w:tr w:rsidR="003E7651" w:rsidRPr="004B3CF1" w14:paraId="40F52F88"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155922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The Basic Court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3AD3BCC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6,287</w:t>
            </w:r>
          </w:p>
        </w:tc>
        <w:tc>
          <w:tcPr>
            <w:tcW w:w="1276" w:type="dxa"/>
            <w:tcBorders>
              <w:top w:val="nil"/>
              <w:left w:val="nil"/>
              <w:bottom w:val="single" w:sz="8" w:space="0" w:color="A6A6A6"/>
              <w:right w:val="single" w:sz="8" w:space="0" w:color="A6A6A6"/>
            </w:tcBorders>
            <w:shd w:val="clear" w:color="auto" w:fill="auto"/>
            <w:noWrap/>
            <w:vAlign w:val="center"/>
            <w:hideMark/>
          </w:tcPr>
          <w:p w14:paraId="67FEE2E1"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7,171</w:t>
            </w:r>
          </w:p>
        </w:tc>
        <w:tc>
          <w:tcPr>
            <w:tcW w:w="1276" w:type="dxa"/>
            <w:tcBorders>
              <w:top w:val="nil"/>
              <w:left w:val="nil"/>
              <w:bottom w:val="single" w:sz="8" w:space="0" w:color="A6A6A6"/>
              <w:right w:val="single" w:sz="8" w:space="0" w:color="A6A6A6"/>
            </w:tcBorders>
            <w:shd w:val="clear" w:color="auto" w:fill="auto"/>
            <w:noWrap/>
            <w:vAlign w:val="center"/>
            <w:hideMark/>
          </w:tcPr>
          <w:p w14:paraId="3852CCD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884</w:t>
            </w:r>
          </w:p>
        </w:tc>
        <w:tc>
          <w:tcPr>
            <w:tcW w:w="1513" w:type="dxa"/>
            <w:tcBorders>
              <w:top w:val="nil"/>
              <w:left w:val="nil"/>
              <w:bottom w:val="single" w:sz="8" w:space="0" w:color="A6A6A6"/>
              <w:right w:val="single" w:sz="8" w:space="0" w:color="A6A6A6"/>
            </w:tcBorders>
            <w:shd w:val="clear" w:color="auto" w:fill="auto"/>
            <w:noWrap/>
            <w:vAlign w:val="center"/>
            <w:hideMark/>
          </w:tcPr>
          <w:p w14:paraId="5B89650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14.1%</w:t>
            </w:r>
          </w:p>
        </w:tc>
      </w:tr>
      <w:tr w:rsidR="003E7651" w:rsidRPr="004B3CF1" w14:paraId="4AEFCE64"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192D4F86"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275" w:type="dxa"/>
            <w:tcBorders>
              <w:top w:val="nil"/>
              <w:left w:val="nil"/>
              <w:bottom w:val="single" w:sz="8" w:space="0" w:color="A6A6A6"/>
              <w:right w:val="single" w:sz="8" w:space="0" w:color="A6A6A6"/>
            </w:tcBorders>
            <w:shd w:val="clear" w:color="auto" w:fill="auto"/>
            <w:noWrap/>
            <w:vAlign w:val="center"/>
            <w:hideMark/>
          </w:tcPr>
          <w:p w14:paraId="7A50765B"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338,671</w:t>
            </w:r>
          </w:p>
        </w:tc>
        <w:tc>
          <w:tcPr>
            <w:tcW w:w="1276" w:type="dxa"/>
            <w:tcBorders>
              <w:top w:val="nil"/>
              <w:left w:val="nil"/>
              <w:bottom w:val="single" w:sz="8" w:space="0" w:color="A6A6A6"/>
              <w:right w:val="single" w:sz="8" w:space="0" w:color="A6A6A6"/>
            </w:tcBorders>
            <w:shd w:val="clear" w:color="auto" w:fill="auto"/>
            <w:noWrap/>
            <w:vAlign w:val="center"/>
            <w:hideMark/>
          </w:tcPr>
          <w:p w14:paraId="7BD9877A"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386,676</w:t>
            </w:r>
          </w:p>
        </w:tc>
        <w:tc>
          <w:tcPr>
            <w:tcW w:w="1276" w:type="dxa"/>
            <w:tcBorders>
              <w:top w:val="nil"/>
              <w:left w:val="nil"/>
              <w:bottom w:val="single" w:sz="8" w:space="0" w:color="A6A6A6"/>
              <w:right w:val="single" w:sz="8" w:space="0" w:color="A6A6A6"/>
            </w:tcBorders>
            <w:shd w:val="clear" w:color="auto" w:fill="auto"/>
            <w:noWrap/>
            <w:vAlign w:val="center"/>
            <w:hideMark/>
          </w:tcPr>
          <w:p w14:paraId="632F4E6D"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48,005</w:t>
            </w:r>
          </w:p>
        </w:tc>
        <w:tc>
          <w:tcPr>
            <w:tcW w:w="1513" w:type="dxa"/>
            <w:tcBorders>
              <w:top w:val="nil"/>
              <w:left w:val="nil"/>
              <w:bottom w:val="single" w:sz="8" w:space="0" w:color="A6A6A6"/>
              <w:right w:val="single" w:sz="8" w:space="0" w:color="A6A6A6"/>
            </w:tcBorders>
            <w:shd w:val="clear" w:color="auto" w:fill="auto"/>
            <w:noWrap/>
            <w:vAlign w:val="center"/>
            <w:hideMark/>
          </w:tcPr>
          <w:p w14:paraId="28E09639"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14.2%</w:t>
            </w:r>
          </w:p>
        </w:tc>
      </w:tr>
    </w:tbl>
    <w:p w14:paraId="6CCDA951" w14:textId="77777777" w:rsidR="003E7651" w:rsidRPr="004B3CF1" w:rsidRDefault="003E7651" w:rsidP="003E7651">
      <w:pPr>
        <w:pStyle w:val="ListParagraph"/>
        <w:tabs>
          <w:tab w:val="left" w:pos="993"/>
        </w:tabs>
        <w:spacing w:before="80"/>
        <w:ind w:left="0"/>
        <w:jc w:val="both"/>
        <w:rPr>
          <w:rFonts w:ascii="Arial" w:hAnsi="Arial" w:cs="Arial"/>
          <w:b/>
          <w:bCs/>
          <w:color w:val="000000"/>
          <w:lang w:eastAsia="bs-Latn-BA"/>
        </w:rPr>
      </w:pPr>
    </w:p>
    <w:p w14:paraId="080DC1CB" w14:textId="77777777" w:rsidR="003E7651" w:rsidRPr="004B3CF1" w:rsidRDefault="003E7651" w:rsidP="003E7651">
      <w:pPr>
        <w:pStyle w:val="etvrtinaslov0"/>
      </w:pPr>
      <w:bookmarkStart w:id="199" w:name="_Toc101944271"/>
      <w:bookmarkStart w:id="200" w:name="_Toc112852477"/>
      <w:r w:rsidRPr="004B3CF1">
        <w:t>Change in the number of pending cases and change in influx</w:t>
      </w:r>
      <w:bookmarkEnd w:id="199"/>
      <w:bookmarkEnd w:id="200"/>
    </w:p>
    <w:p w14:paraId="12D048BD" w14:textId="77777777" w:rsidR="003E7651" w:rsidRPr="004B3CF1" w:rsidRDefault="003E7651" w:rsidP="003E7651">
      <w:pPr>
        <w:pStyle w:val="Tekst"/>
      </w:pPr>
      <w:r w:rsidRPr="004B3CF1">
        <w:t>By comparing the changes in the number of pending cases (Table 1) and changes in the case influx (Table 2), it is possible to determine whether the change in the number of pending cases is resul</w:t>
      </w:r>
      <w:r>
        <w:t>ting from a change in influx</w:t>
      </w:r>
      <w:r w:rsidRPr="004B3CF1">
        <w:t xml:space="preserve"> or from the activities of the courts</w:t>
      </w:r>
      <w:r w:rsidRPr="004B3CF1">
        <w:rPr>
          <w:rStyle w:val="FootnoteReference"/>
          <w:rFonts w:cs="Arial"/>
        </w:rPr>
        <w:footnoteReference w:id="22"/>
      </w:r>
      <w:r w:rsidRPr="004B3CF1">
        <w:t>. This comparison leads to the following conclusions:</w:t>
      </w:r>
    </w:p>
    <w:p w14:paraId="5B8332C8" w14:textId="77777777" w:rsidR="003E7651" w:rsidRPr="004B3CF1" w:rsidRDefault="003E7651" w:rsidP="003E7651">
      <w:pPr>
        <w:pStyle w:val="Tackice"/>
      </w:pPr>
      <w:r>
        <w:t>a</w:t>
      </w:r>
      <w:r w:rsidRPr="004B3CF1">
        <w:t>n extremely positive trend, a decrease in the number of pending cases, despite increase in in</w:t>
      </w:r>
      <w:r>
        <w:t>flux, was observed</w:t>
      </w:r>
      <w:r w:rsidRPr="004B3CF1">
        <w:t xml:space="preserve"> in the cantonal and district courts, as well as in commercial courts.  </w:t>
      </w:r>
    </w:p>
    <w:p w14:paraId="533FFE5E" w14:textId="77777777" w:rsidR="003E7651" w:rsidRPr="004B3CF1" w:rsidRDefault="003E7651" w:rsidP="003E7651">
      <w:pPr>
        <w:pStyle w:val="Tackice"/>
      </w:pPr>
      <w:r>
        <w:t>a</w:t>
      </w:r>
      <w:r w:rsidRPr="004B3CF1">
        <w:t xml:space="preserve"> positive trend, a decrease in the number of pending cases significantly higher than a </w:t>
      </w:r>
      <w:r>
        <w:t>decrease in influx, was observed</w:t>
      </w:r>
      <w:r w:rsidRPr="004B3CF1">
        <w:t xml:space="preserve"> in the Supreme Court of the Federation of BiH. </w:t>
      </w:r>
    </w:p>
    <w:p w14:paraId="590E4293" w14:textId="77777777" w:rsidR="003E7651" w:rsidRPr="004B3CF1" w:rsidRDefault="003E7651" w:rsidP="003E7651">
      <w:pPr>
        <w:pStyle w:val="Tackice"/>
      </w:pPr>
      <w:r w:rsidRPr="004B3CF1">
        <w:t>A negative trend, a decrease in the number of pending cases, but still significantly less tha</w:t>
      </w:r>
      <w:r>
        <w:t>n the decrease in influx, was observed</w:t>
      </w:r>
      <w:r w:rsidRPr="004B3CF1">
        <w:t xml:space="preserve"> in the Court of Bosnia and Herzegovina, as well as in municipal and basic courts, the Basic Court of Brcko District of BiH and the RS Supreme Court, where the increase in the number of pending cases was significantly less than increase in influx. </w:t>
      </w:r>
    </w:p>
    <w:p w14:paraId="131CE6DC" w14:textId="77777777" w:rsidR="003E7651" w:rsidRPr="004B3CF1" w:rsidRDefault="003E7651" w:rsidP="003E7651">
      <w:pPr>
        <w:pStyle w:val="Tackice"/>
      </w:pPr>
      <w:r w:rsidRPr="004B3CF1">
        <w:lastRenderedPageBreak/>
        <w:t xml:space="preserve">A positive trend, the increase in the number of pending cases significantly higher than a </w:t>
      </w:r>
      <w:r>
        <w:t>decrease in influx, was observed</w:t>
      </w:r>
      <w:r w:rsidRPr="004B3CF1">
        <w:t xml:space="preserve"> in the Appellate Court of the Brcko District of BiH. </w:t>
      </w:r>
    </w:p>
    <w:p w14:paraId="56D13726" w14:textId="77777777" w:rsidR="003E7651" w:rsidRPr="004B3CF1" w:rsidRDefault="003E7651" w:rsidP="003E7651">
      <w:pPr>
        <w:pStyle w:val="Tackice"/>
      </w:pPr>
      <w:r w:rsidRPr="004B3CF1">
        <w:t>A change in the number of pending cases proport</w:t>
      </w:r>
      <w:r>
        <w:t xml:space="preserve">ional to the change in influx, </w:t>
      </w:r>
      <w:r w:rsidRPr="004B3CF1">
        <w:t>a rise in the number of pending cases proportional to a r</w:t>
      </w:r>
      <w:r>
        <w:t>ise in influx, was observed</w:t>
      </w:r>
      <w:r w:rsidRPr="004B3CF1">
        <w:t xml:space="preserve"> in the High Commercial Court in Banja Luka. </w:t>
      </w:r>
    </w:p>
    <w:p w14:paraId="333D939B" w14:textId="77777777" w:rsidR="003E7651" w:rsidRPr="004B3CF1" w:rsidRDefault="003E7651" w:rsidP="003E7651">
      <w:pPr>
        <w:pStyle w:val="etvrtinaslov0"/>
      </w:pPr>
      <w:bookmarkStart w:id="201" w:name="_Toc101944272"/>
      <w:bookmarkStart w:id="202" w:name="_Toc112852478"/>
      <w:r w:rsidRPr="004B3CF1">
        <w:t>Completed cases in courts</w:t>
      </w:r>
      <w:bookmarkEnd w:id="201"/>
      <w:bookmarkEnd w:id="202"/>
    </w:p>
    <w:p w14:paraId="5C54833D" w14:textId="77777777" w:rsidR="003E7651" w:rsidRPr="004B3CF1" w:rsidRDefault="003E7651" w:rsidP="003E7651">
      <w:pPr>
        <w:pStyle w:val="Tekst"/>
      </w:pPr>
      <w:r w:rsidRPr="004B3CF1">
        <w:t>Compared to 2020, the total number of cases completed in 2021 was significantly higher, i.e. the courts completed 59,142 or 18.3% more cases. Given that the work of the courts during 2020 was limited (due to Covid-19), such a large increase in the number of complet</w:t>
      </w:r>
      <w:r>
        <w:t xml:space="preserve">ed cases in 2021 was expected. </w:t>
      </w:r>
      <w:r w:rsidRPr="004B3CF1">
        <w:t>When comparing the number of cases completed in 2021 wi</w:t>
      </w:r>
      <w:r>
        <w:t>th the number of</w:t>
      </w:r>
      <w:r w:rsidRPr="004B3CF1">
        <w:t xml:space="preserve"> cases completed in the pre-pandemic year of 2019, it remained almost the same, with 600 or 0.2% more cases completed in 2021 than in 2019.  </w:t>
      </w:r>
    </w:p>
    <w:p w14:paraId="313BA483" w14:textId="77777777" w:rsidR="003E7651" w:rsidRPr="004B3CF1" w:rsidRDefault="003E7651" w:rsidP="003E7651">
      <w:pPr>
        <w:pStyle w:val="Tekst"/>
      </w:pPr>
      <w:r w:rsidRPr="004B3CF1">
        <w:t>An increase in the number</w:t>
      </w:r>
      <w:r>
        <w:t xml:space="preserve"> of completed cases was observed</w:t>
      </w:r>
      <w:r w:rsidRPr="004B3CF1">
        <w:t xml:space="preserve"> in the supreme courts, district and district commercial courts, as well as in municipal and basic courts, and the Basic Court of the Brcko District of BiH. The largest absolute increase in the number of completed cases by</w:t>
      </w:r>
      <w:r>
        <w:t xml:space="preserve"> 41,315 and 14,578 was observed </w:t>
      </w:r>
      <w:r w:rsidRPr="004B3CF1">
        <w:t>in municipal and basic courts respectively. At the same time, the munic</w:t>
      </w:r>
      <w:r>
        <w:t>ipal and the basic courts</w:t>
      </w:r>
      <w:r w:rsidRPr="004B3CF1">
        <w:t xml:space="preserve"> had a significant percentage increase in the number of completed cases by 24.1% and 18.8% respectively. The largest percentage increase of 26.3% in the number of completed cases was observed in the Basic Court of the Brcko District of BiH.  </w:t>
      </w:r>
    </w:p>
    <w:p w14:paraId="5822F7E6" w14:textId="77777777" w:rsidR="003E7651" w:rsidRPr="004B3CF1" w:rsidRDefault="003E7651" w:rsidP="003E7651">
      <w:pPr>
        <w:pStyle w:val="Tekst"/>
      </w:pPr>
      <w:r w:rsidRPr="004B3CF1">
        <w:t>A decline in the number of completed cases by 1,099 or 16.1% was observed in the Court of Bosnia and Herzegovina, while in the High Commercial Court in Banja Luka, cantonal courts and the Appellate Court of the Brcko District of BiH there was a sligh</w:t>
      </w:r>
      <w:r>
        <w:t xml:space="preserve">t decrease (from 0.7% to 2.4%) </w:t>
      </w:r>
      <w:r w:rsidRPr="004B3CF1">
        <w:t xml:space="preserve">in the number of completed cases. </w:t>
      </w:r>
    </w:p>
    <w:p w14:paraId="508D293E" w14:textId="77777777" w:rsidR="003E7651" w:rsidRPr="004B3CF1" w:rsidRDefault="003E7651" w:rsidP="003E7651">
      <w:pPr>
        <w:pStyle w:val="ListParagraph"/>
        <w:spacing w:before="80"/>
        <w:ind w:left="0"/>
        <w:jc w:val="both"/>
        <w:rPr>
          <w:rFonts w:ascii="Arial" w:hAnsi="Arial" w:cs="Arial"/>
        </w:rPr>
      </w:pPr>
    </w:p>
    <w:p w14:paraId="5273FE92" w14:textId="77777777" w:rsidR="003E7651" w:rsidRPr="004B3CF1" w:rsidRDefault="003E7651" w:rsidP="003E7651">
      <w:pPr>
        <w:pStyle w:val="Caption"/>
      </w:pPr>
    </w:p>
    <w:p w14:paraId="46FA1914"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7</w:t>
      </w:r>
      <w:r w:rsidR="006D1459">
        <w:fldChar w:fldCharType="end"/>
      </w:r>
      <w:r w:rsidRPr="004B3CF1">
        <w:t>: The number of cases completed by the courts</w:t>
      </w:r>
    </w:p>
    <w:tbl>
      <w:tblPr>
        <w:tblW w:w="9158" w:type="dxa"/>
        <w:tblInd w:w="118" w:type="dxa"/>
        <w:tblLook w:val="04A0" w:firstRow="1" w:lastRow="0" w:firstColumn="1" w:lastColumn="0" w:noHBand="0" w:noVBand="1"/>
      </w:tblPr>
      <w:tblGrid>
        <w:gridCol w:w="3818"/>
        <w:gridCol w:w="1275"/>
        <w:gridCol w:w="1276"/>
        <w:gridCol w:w="1276"/>
        <w:gridCol w:w="1513"/>
      </w:tblGrid>
      <w:tr w:rsidR="003E7651" w:rsidRPr="004B3CF1" w14:paraId="3E686C3C" w14:textId="77777777" w:rsidTr="003E7651">
        <w:trPr>
          <w:trHeight w:val="714"/>
        </w:trPr>
        <w:tc>
          <w:tcPr>
            <w:tcW w:w="3818"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03A0FFA4"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COURTS</w:t>
            </w:r>
          </w:p>
        </w:tc>
        <w:tc>
          <w:tcPr>
            <w:tcW w:w="2551" w:type="dxa"/>
            <w:gridSpan w:val="2"/>
            <w:tcBorders>
              <w:top w:val="single" w:sz="8" w:space="0" w:color="A6A6A6"/>
              <w:left w:val="nil"/>
              <w:bottom w:val="single" w:sz="8" w:space="0" w:color="A6A6A6"/>
              <w:right w:val="single" w:sz="8" w:space="0" w:color="A6A6A6"/>
            </w:tcBorders>
            <w:shd w:val="clear" w:color="auto" w:fill="auto"/>
            <w:vAlign w:val="center"/>
            <w:hideMark/>
          </w:tcPr>
          <w:p w14:paraId="527BF538"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Number of completed cases</w:t>
            </w:r>
          </w:p>
        </w:tc>
        <w:tc>
          <w:tcPr>
            <w:tcW w:w="1276"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787B397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the number of completed cases</w:t>
            </w:r>
          </w:p>
        </w:tc>
        <w:tc>
          <w:tcPr>
            <w:tcW w:w="1513"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2A594994"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the number of completed cases in percentages</w:t>
            </w:r>
          </w:p>
        </w:tc>
      </w:tr>
      <w:tr w:rsidR="003E7651" w:rsidRPr="004B3CF1" w14:paraId="13C970A9" w14:textId="77777777" w:rsidTr="003E7651">
        <w:trPr>
          <w:trHeight w:val="541"/>
        </w:trPr>
        <w:tc>
          <w:tcPr>
            <w:tcW w:w="3818" w:type="dxa"/>
            <w:vMerge/>
            <w:tcBorders>
              <w:top w:val="single" w:sz="8" w:space="0" w:color="A6A6A6"/>
              <w:left w:val="single" w:sz="8" w:space="0" w:color="A6A6A6"/>
              <w:bottom w:val="single" w:sz="8" w:space="0" w:color="A6A6A6"/>
              <w:right w:val="single" w:sz="8" w:space="0" w:color="A6A6A6"/>
            </w:tcBorders>
            <w:vAlign w:val="center"/>
            <w:hideMark/>
          </w:tcPr>
          <w:p w14:paraId="470D1FD9"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vAlign w:val="center"/>
            <w:hideMark/>
          </w:tcPr>
          <w:p w14:paraId="5D8BB0CE"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2020</w:t>
            </w:r>
          </w:p>
        </w:tc>
        <w:tc>
          <w:tcPr>
            <w:tcW w:w="1276" w:type="dxa"/>
            <w:tcBorders>
              <w:top w:val="nil"/>
              <w:left w:val="nil"/>
              <w:bottom w:val="single" w:sz="8" w:space="0" w:color="A6A6A6"/>
              <w:right w:val="single" w:sz="8" w:space="0" w:color="A6A6A6"/>
            </w:tcBorders>
            <w:shd w:val="clear" w:color="auto" w:fill="auto"/>
            <w:vAlign w:val="center"/>
            <w:hideMark/>
          </w:tcPr>
          <w:p w14:paraId="530ABB08"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2021</w:t>
            </w:r>
          </w:p>
        </w:tc>
        <w:tc>
          <w:tcPr>
            <w:tcW w:w="1276" w:type="dxa"/>
            <w:vMerge/>
            <w:tcBorders>
              <w:top w:val="single" w:sz="8" w:space="0" w:color="A6A6A6"/>
              <w:left w:val="single" w:sz="8" w:space="0" w:color="A6A6A6"/>
              <w:bottom w:val="single" w:sz="8" w:space="0" w:color="A6A6A6"/>
              <w:right w:val="single" w:sz="8" w:space="0" w:color="A6A6A6"/>
            </w:tcBorders>
            <w:vAlign w:val="center"/>
            <w:hideMark/>
          </w:tcPr>
          <w:p w14:paraId="5DB606D5" w14:textId="77777777" w:rsidR="003E7651" w:rsidRPr="004B3CF1" w:rsidRDefault="003E7651" w:rsidP="003E7651">
            <w:pPr>
              <w:rPr>
                <w:rFonts w:ascii="Arial" w:hAnsi="Arial" w:cs="Arial"/>
                <w:color w:val="000000"/>
                <w:sz w:val="22"/>
                <w:szCs w:val="22"/>
              </w:rPr>
            </w:pPr>
          </w:p>
        </w:tc>
        <w:tc>
          <w:tcPr>
            <w:tcW w:w="1513" w:type="dxa"/>
            <w:vMerge/>
            <w:tcBorders>
              <w:top w:val="single" w:sz="8" w:space="0" w:color="A6A6A6"/>
              <w:left w:val="single" w:sz="8" w:space="0" w:color="A6A6A6"/>
              <w:bottom w:val="single" w:sz="8" w:space="0" w:color="A6A6A6"/>
              <w:right w:val="single" w:sz="8" w:space="0" w:color="A6A6A6"/>
            </w:tcBorders>
            <w:vAlign w:val="center"/>
            <w:hideMark/>
          </w:tcPr>
          <w:p w14:paraId="2B310CEC" w14:textId="77777777" w:rsidR="003E7651" w:rsidRPr="004B3CF1" w:rsidRDefault="003E7651" w:rsidP="003E7651">
            <w:pPr>
              <w:rPr>
                <w:rFonts w:ascii="Arial" w:hAnsi="Arial" w:cs="Arial"/>
                <w:color w:val="000000"/>
                <w:sz w:val="22"/>
                <w:szCs w:val="22"/>
              </w:rPr>
            </w:pPr>
          </w:p>
        </w:tc>
      </w:tr>
      <w:tr w:rsidR="003E7651" w:rsidRPr="004B3CF1" w14:paraId="028FED69" w14:textId="77777777" w:rsidTr="003E7651">
        <w:trPr>
          <w:trHeight w:val="315"/>
        </w:trPr>
        <w:tc>
          <w:tcPr>
            <w:tcW w:w="3818" w:type="dxa"/>
            <w:vMerge/>
            <w:tcBorders>
              <w:top w:val="single" w:sz="8" w:space="0" w:color="A6A6A6"/>
              <w:left w:val="single" w:sz="8" w:space="0" w:color="A6A6A6"/>
              <w:bottom w:val="single" w:sz="8" w:space="0" w:color="A6A6A6"/>
              <w:right w:val="single" w:sz="8" w:space="0" w:color="A6A6A6"/>
            </w:tcBorders>
            <w:vAlign w:val="center"/>
            <w:hideMark/>
          </w:tcPr>
          <w:p w14:paraId="31F3BC57"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noWrap/>
            <w:vAlign w:val="center"/>
            <w:hideMark/>
          </w:tcPr>
          <w:p w14:paraId="6E8D313E"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w:t>
            </w:r>
          </w:p>
        </w:tc>
        <w:tc>
          <w:tcPr>
            <w:tcW w:w="1276" w:type="dxa"/>
            <w:tcBorders>
              <w:top w:val="nil"/>
              <w:left w:val="nil"/>
              <w:bottom w:val="single" w:sz="8" w:space="0" w:color="A6A6A6"/>
              <w:right w:val="single" w:sz="8" w:space="0" w:color="A6A6A6"/>
            </w:tcBorders>
            <w:shd w:val="clear" w:color="auto" w:fill="auto"/>
            <w:noWrap/>
            <w:vAlign w:val="center"/>
            <w:hideMark/>
          </w:tcPr>
          <w:p w14:paraId="39A6F6F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276" w:type="dxa"/>
            <w:tcBorders>
              <w:top w:val="nil"/>
              <w:left w:val="nil"/>
              <w:bottom w:val="single" w:sz="8" w:space="0" w:color="A6A6A6"/>
              <w:right w:val="single" w:sz="8" w:space="0" w:color="A6A6A6"/>
            </w:tcBorders>
            <w:shd w:val="clear" w:color="auto" w:fill="auto"/>
            <w:noWrap/>
            <w:vAlign w:val="center"/>
            <w:hideMark/>
          </w:tcPr>
          <w:p w14:paraId="555DE4E8"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III = II - I</w:t>
            </w:r>
          </w:p>
        </w:tc>
        <w:tc>
          <w:tcPr>
            <w:tcW w:w="1513" w:type="dxa"/>
            <w:tcBorders>
              <w:top w:val="nil"/>
              <w:left w:val="nil"/>
              <w:bottom w:val="single" w:sz="8" w:space="0" w:color="A6A6A6"/>
              <w:right w:val="single" w:sz="8" w:space="0" w:color="A6A6A6"/>
            </w:tcBorders>
            <w:shd w:val="clear" w:color="auto" w:fill="auto"/>
            <w:noWrap/>
            <w:vAlign w:val="center"/>
            <w:hideMark/>
          </w:tcPr>
          <w:p w14:paraId="0E237D70"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IV = II / I</w:t>
            </w:r>
          </w:p>
        </w:tc>
      </w:tr>
      <w:tr w:rsidR="003E7651" w:rsidRPr="004B3CF1" w14:paraId="34534896"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66937FB4"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Court of Bosnia and Herzegovina</w:t>
            </w:r>
          </w:p>
        </w:tc>
        <w:tc>
          <w:tcPr>
            <w:tcW w:w="1275" w:type="dxa"/>
            <w:tcBorders>
              <w:top w:val="nil"/>
              <w:left w:val="nil"/>
              <w:bottom w:val="single" w:sz="8" w:space="0" w:color="A6A6A6"/>
              <w:right w:val="single" w:sz="8" w:space="0" w:color="A6A6A6"/>
            </w:tcBorders>
            <w:shd w:val="clear" w:color="auto" w:fill="auto"/>
            <w:noWrap/>
            <w:vAlign w:val="center"/>
            <w:hideMark/>
          </w:tcPr>
          <w:p w14:paraId="4396FCD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6,826</w:t>
            </w:r>
          </w:p>
        </w:tc>
        <w:tc>
          <w:tcPr>
            <w:tcW w:w="1276" w:type="dxa"/>
            <w:tcBorders>
              <w:top w:val="nil"/>
              <w:left w:val="nil"/>
              <w:bottom w:val="single" w:sz="8" w:space="0" w:color="A6A6A6"/>
              <w:right w:val="single" w:sz="8" w:space="0" w:color="A6A6A6"/>
            </w:tcBorders>
            <w:shd w:val="clear" w:color="auto" w:fill="auto"/>
            <w:noWrap/>
            <w:vAlign w:val="center"/>
            <w:hideMark/>
          </w:tcPr>
          <w:p w14:paraId="126E12B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5,727</w:t>
            </w:r>
          </w:p>
        </w:tc>
        <w:tc>
          <w:tcPr>
            <w:tcW w:w="1276" w:type="dxa"/>
            <w:tcBorders>
              <w:top w:val="nil"/>
              <w:left w:val="nil"/>
              <w:bottom w:val="single" w:sz="8" w:space="0" w:color="A6A6A6"/>
              <w:right w:val="single" w:sz="8" w:space="0" w:color="A6A6A6"/>
            </w:tcBorders>
            <w:shd w:val="clear" w:color="auto" w:fill="auto"/>
            <w:noWrap/>
            <w:vAlign w:val="center"/>
            <w:hideMark/>
          </w:tcPr>
          <w:p w14:paraId="23D14EE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-1,099</w:t>
            </w:r>
          </w:p>
        </w:tc>
        <w:tc>
          <w:tcPr>
            <w:tcW w:w="1513" w:type="dxa"/>
            <w:tcBorders>
              <w:top w:val="nil"/>
              <w:left w:val="nil"/>
              <w:bottom w:val="single" w:sz="8" w:space="0" w:color="A6A6A6"/>
              <w:right w:val="single" w:sz="8" w:space="0" w:color="A6A6A6"/>
            </w:tcBorders>
            <w:shd w:val="clear" w:color="auto" w:fill="auto"/>
            <w:noWrap/>
            <w:vAlign w:val="center"/>
            <w:hideMark/>
          </w:tcPr>
          <w:p w14:paraId="2FCBB10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-16.1%</w:t>
            </w:r>
          </w:p>
        </w:tc>
      </w:tr>
      <w:tr w:rsidR="003E7651" w:rsidRPr="004B3CF1" w14:paraId="3D9E00CF"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7A1483AC"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Supreme Court of the Federation of BiH</w:t>
            </w:r>
          </w:p>
        </w:tc>
        <w:tc>
          <w:tcPr>
            <w:tcW w:w="1275" w:type="dxa"/>
            <w:tcBorders>
              <w:top w:val="nil"/>
              <w:left w:val="nil"/>
              <w:bottom w:val="single" w:sz="8" w:space="0" w:color="A6A6A6"/>
              <w:right w:val="single" w:sz="8" w:space="0" w:color="A6A6A6"/>
            </w:tcBorders>
            <w:shd w:val="clear" w:color="auto" w:fill="auto"/>
            <w:noWrap/>
            <w:vAlign w:val="center"/>
            <w:hideMark/>
          </w:tcPr>
          <w:p w14:paraId="000C4DE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5,606</w:t>
            </w:r>
          </w:p>
        </w:tc>
        <w:tc>
          <w:tcPr>
            <w:tcW w:w="1276" w:type="dxa"/>
            <w:tcBorders>
              <w:top w:val="nil"/>
              <w:left w:val="nil"/>
              <w:bottom w:val="single" w:sz="8" w:space="0" w:color="A6A6A6"/>
              <w:right w:val="single" w:sz="8" w:space="0" w:color="A6A6A6"/>
            </w:tcBorders>
            <w:shd w:val="clear" w:color="auto" w:fill="auto"/>
            <w:noWrap/>
            <w:vAlign w:val="center"/>
            <w:hideMark/>
          </w:tcPr>
          <w:p w14:paraId="731475E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5,915</w:t>
            </w:r>
          </w:p>
        </w:tc>
        <w:tc>
          <w:tcPr>
            <w:tcW w:w="1276" w:type="dxa"/>
            <w:tcBorders>
              <w:top w:val="nil"/>
              <w:left w:val="nil"/>
              <w:bottom w:val="single" w:sz="8" w:space="0" w:color="A6A6A6"/>
              <w:right w:val="single" w:sz="8" w:space="0" w:color="A6A6A6"/>
            </w:tcBorders>
            <w:shd w:val="clear" w:color="auto" w:fill="auto"/>
            <w:noWrap/>
            <w:vAlign w:val="center"/>
            <w:hideMark/>
          </w:tcPr>
          <w:p w14:paraId="72FBC52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309</w:t>
            </w:r>
          </w:p>
        </w:tc>
        <w:tc>
          <w:tcPr>
            <w:tcW w:w="1513" w:type="dxa"/>
            <w:tcBorders>
              <w:top w:val="nil"/>
              <w:left w:val="nil"/>
              <w:bottom w:val="single" w:sz="8" w:space="0" w:color="A6A6A6"/>
              <w:right w:val="single" w:sz="8" w:space="0" w:color="A6A6A6"/>
            </w:tcBorders>
            <w:shd w:val="clear" w:color="auto" w:fill="auto"/>
            <w:noWrap/>
            <w:vAlign w:val="center"/>
            <w:hideMark/>
          </w:tcPr>
          <w:p w14:paraId="3FC6830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5.5%</w:t>
            </w:r>
          </w:p>
        </w:tc>
      </w:tr>
      <w:tr w:rsidR="003E7651" w:rsidRPr="004B3CF1" w14:paraId="33300220"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7191C76F"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Supreme Court of Republika Srpska</w:t>
            </w:r>
          </w:p>
        </w:tc>
        <w:tc>
          <w:tcPr>
            <w:tcW w:w="1275" w:type="dxa"/>
            <w:tcBorders>
              <w:top w:val="nil"/>
              <w:left w:val="nil"/>
              <w:bottom w:val="single" w:sz="8" w:space="0" w:color="A6A6A6"/>
              <w:right w:val="single" w:sz="8" w:space="0" w:color="A6A6A6"/>
            </w:tcBorders>
            <w:shd w:val="clear" w:color="auto" w:fill="auto"/>
            <w:noWrap/>
            <w:vAlign w:val="center"/>
            <w:hideMark/>
          </w:tcPr>
          <w:p w14:paraId="009CDD0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2,062</w:t>
            </w:r>
          </w:p>
        </w:tc>
        <w:tc>
          <w:tcPr>
            <w:tcW w:w="1276" w:type="dxa"/>
            <w:tcBorders>
              <w:top w:val="nil"/>
              <w:left w:val="nil"/>
              <w:bottom w:val="single" w:sz="8" w:space="0" w:color="A6A6A6"/>
              <w:right w:val="single" w:sz="8" w:space="0" w:color="A6A6A6"/>
            </w:tcBorders>
            <w:shd w:val="clear" w:color="auto" w:fill="auto"/>
            <w:noWrap/>
            <w:vAlign w:val="center"/>
            <w:hideMark/>
          </w:tcPr>
          <w:p w14:paraId="1CD8C23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2,307</w:t>
            </w:r>
          </w:p>
        </w:tc>
        <w:tc>
          <w:tcPr>
            <w:tcW w:w="1276" w:type="dxa"/>
            <w:tcBorders>
              <w:top w:val="nil"/>
              <w:left w:val="nil"/>
              <w:bottom w:val="single" w:sz="8" w:space="0" w:color="A6A6A6"/>
              <w:right w:val="single" w:sz="8" w:space="0" w:color="A6A6A6"/>
            </w:tcBorders>
            <w:shd w:val="clear" w:color="auto" w:fill="auto"/>
            <w:noWrap/>
            <w:vAlign w:val="center"/>
            <w:hideMark/>
          </w:tcPr>
          <w:p w14:paraId="42A096C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245</w:t>
            </w:r>
          </w:p>
        </w:tc>
        <w:tc>
          <w:tcPr>
            <w:tcW w:w="1513" w:type="dxa"/>
            <w:tcBorders>
              <w:top w:val="nil"/>
              <w:left w:val="nil"/>
              <w:bottom w:val="single" w:sz="8" w:space="0" w:color="A6A6A6"/>
              <w:right w:val="single" w:sz="8" w:space="0" w:color="A6A6A6"/>
            </w:tcBorders>
            <w:shd w:val="clear" w:color="auto" w:fill="auto"/>
            <w:noWrap/>
            <w:vAlign w:val="center"/>
            <w:hideMark/>
          </w:tcPr>
          <w:p w14:paraId="25C5E006"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11.9%</w:t>
            </w:r>
          </w:p>
        </w:tc>
      </w:tr>
      <w:tr w:rsidR="003E7651" w:rsidRPr="004B3CF1" w14:paraId="0ECBBB2F"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53CE4517"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The Appellate Court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2B3D576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777</w:t>
            </w:r>
          </w:p>
        </w:tc>
        <w:tc>
          <w:tcPr>
            <w:tcW w:w="1276" w:type="dxa"/>
            <w:tcBorders>
              <w:top w:val="nil"/>
              <w:left w:val="nil"/>
              <w:bottom w:val="single" w:sz="8" w:space="0" w:color="A6A6A6"/>
              <w:right w:val="single" w:sz="8" w:space="0" w:color="A6A6A6"/>
            </w:tcBorders>
            <w:shd w:val="clear" w:color="auto" w:fill="auto"/>
            <w:noWrap/>
            <w:vAlign w:val="center"/>
            <w:hideMark/>
          </w:tcPr>
          <w:p w14:paraId="6B4FC2C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758</w:t>
            </w:r>
          </w:p>
        </w:tc>
        <w:tc>
          <w:tcPr>
            <w:tcW w:w="1276" w:type="dxa"/>
            <w:tcBorders>
              <w:top w:val="nil"/>
              <w:left w:val="nil"/>
              <w:bottom w:val="single" w:sz="8" w:space="0" w:color="A6A6A6"/>
              <w:right w:val="single" w:sz="8" w:space="0" w:color="A6A6A6"/>
            </w:tcBorders>
            <w:shd w:val="clear" w:color="auto" w:fill="auto"/>
            <w:noWrap/>
            <w:vAlign w:val="center"/>
            <w:hideMark/>
          </w:tcPr>
          <w:p w14:paraId="6DF0C98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w:t>
            </w:r>
          </w:p>
        </w:tc>
        <w:tc>
          <w:tcPr>
            <w:tcW w:w="1513" w:type="dxa"/>
            <w:tcBorders>
              <w:top w:val="nil"/>
              <w:left w:val="nil"/>
              <w:bottom w:val="single" w:sz="8" w:space="0" w:color="A6A6A6"/>
              <w:right w:val="single" w:sz="8" w:space="0" w:color="A6A6A6"/>
            </w:tcBorders>
            <w:shd w:val="clear" w:color="auto" w:fill="auto"/>
            <w:noWrap/>
            <w:vAlign w:val="center"/>
            <w:hideMark/>
          </w:tcPr>
          <w:p w14:paraId="4970FDF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-2.4%</w:t>
            </w:r>
          </w:p>
        </w:tc>
      </w:tr>
      <w:tr w:rsidR="003E7651" w:rsidRPr="004B3CF1" w14:paraId="1C97F507"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38D8B45F"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Banja Luka High Commercial Court</w:t>
            </w:r>
          </w:p>
        </w:tc>
        <w:tc>
          <w:tcPr>
            <w:tcW w:w="1275" w:type="dxa"/>
            <w:tcBorders>
              <w:top w:val="nil"/>
              <w:left w:val="nil"/>
              <w:bottom w:val="single" w:sz="8" w:space="0" w:color="A6A6A6"/>
              <w:right w:val="single" w:sz="8" w:space="0" w:color="A6A6A6"/>
            </w:tcBorders>
            <w:shd w:val="clear" w:color="auto" w:fill="auto"/>
            <w:noWrap/>
            <w:vAlign w:val="center"/>
            <w:hideMark/>
          </w:tcPr>
          <w:p w14:paraId="6C8C602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1,109</w:t>
            </w:r>
          </w:p>
        </w:tc>
        <w:tc>
          <w:tcPr>
            <w:tcW w:w="1276" w:type="dxa"/>
            <w:tcBorders>
              <w:top w:val="nil"/>
              <w:left w:val="nil"/>
              <w:bottom w:val="single" w:sz="8" w:space="0" w:color="A6A6A6"/>
              <w:right w:val="single" w:sz="8" w:space="0" w:color="A6A6A6"/>
            </w:tcBorders>
            <w:shd w:val="clear" w:color="auto" w:fill="auto"/>
            <w:noWrap/>
            <w:vAlign w:val="center"/>
            <w:hideMark/>
          </w:tcPr>
          <w:p w14:paraId="60508DA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1,101</w:t>
            </w:r>
          </w:p>
        </w:tc>
        <w:tc>
          <w:tcPr>
            <w:tcW w:w="1276" w:type="dxa"/>
            <w:tcBorders>
              <w:top w:val="nil"/>
              <w:left w:val="nil"/>
              <w:bottom w:val="single" w:sz="8" w:space="0" w:color="A6A6A6"/>
              <w:right w:val="single" w:sz="8" w:space="0" w:color="A6A6A6"/>
            </w:tcBorders>
            <w:shd w:val="clear" w:color="auto" w:fill="auto"/>
            <w:noWrap/>
            <w:vAlign w:val="center"/>
            <w:hideMark/>
          </w:tcPr>
          <w:p w14:paraId="0D5649C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w:t>
            </w:r>
          </w:p>
        </w:tc>
        <w:tc>
          <w:tcPr>
            <w:tcW w:w="1513" w:type="dxa"/>
            <w:tcBorders>
              <w:top w:val="nil"/>
              <w:left w:val="nil"/>
              <w:bottom w:val="single" w:sz="8" w:space="0" w:color="A6A6A6"/>
              <w:right w:val="single" w:sz="8" w:space="0" w:color="A6A6A6"/>
            </w:tcBorders>
            <w:shd w:val="clear" w:color="auto" w:fill="auto"/>
            <w:noWrap/>
            <w:vAlign w:val="center"/>
            <w:hideMark/>
          </w:tcPr>
          <w:p w14:paraId="425A486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-0.7%</w:t>
            </w:r>
          </w:p>
        </w:tc>
      </w:tr>
      <w:tr w:rsidR="003E7651" w:rsidRPr="004B3CF1" w14:paraId="7A2E0B61"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C9FD913"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Cantonal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6B5764F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34,068</w:t>
            </w:r>
          </w:p>
        </w:tc>
        <w:tc>
          <w:tcPr>
            <w:tcW w:w="1276" w:type="dxa"/>
            <w:tcBorders>
              <w:top w:val="nil"/>
              <w:left w:val="nil"/>
              <w:bottom w:val="single" w:sz="8" w:space="0" w:color="A6A6A6"/>
              <w:right w:val="single" w:sz="8" w:space="0" w:color="A6A6A6"/>
            </w:tcBorders>
            <w:shd w:val="clear" w:color="auto" w:fill="auto"/>
            <w:noWrap/>
            <w:vAlign w:val="center"/>
            <w:hideMark/>
          </w:tcPr>
          <w:p w14:paraId="12C991B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33,638</w:t>
            </w:r>
          </w:p>
        </w:tc>
        <w:tc>
          <w:tcPr>
            <w:tcW w:w="1276" w:type="dxa"/>
            <w:tcBorders>
              <w:top w:val="nil"/>
              <w:left w:val="nil"/>
              <w:bottom w:val="single" w:sz="8" w:space="0" w:color="A6A6A6"/>
              <w:right w:val="single" w:sz="8" w:space="0" w:color="A6A6A6"/>
            </w:tcBorders>
            <w:shd w:val="clear" w:color="auto" w:fill="auto"/>
            <w:noWrap/>
            <w:vAlign w:val="center"/>
            <w:hideMark/>
          </w:tcPr>
          <w:p w14:paraId="59E779E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-430</w:t>
            </w:r>
          </w:p>
        </w:tc>
        <w:tc>
          <w:tcPr>
            <w:tcW w:w="1513" w:type="dxa"/>
            <w:tcBorders>
              <w:top w:val="nil"/>
              <w:left w:val="nil"/>
              <w:bottom w:val="single" w:sz="8" w:space="0" w:color="A6A6A6"/>
              <w:right w:val="single" w:sz="8" w:space="0" w:color="A6A6A6"/>
            </w:tcBorders>
            <w:shd w:val="clear" w:color="auto" w:fill="auto"/>
            <w:noWrap/>
            <w:vAlign w:val="center"/>
            <w:hideMark/>
          </w:tcPr>
          <w:p w14:paraId="203DB3F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-1.3%</w:t>
            </w:r>
          </w:p>
        </w:tc>
      </w:tr>
      <w:tr w:rsidR="003E7651" w:rsidRPr="004B3CF1" w14:paraId="07DEAA63"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537783B8"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lastRenderedPageBreak/>
              <w:t>District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2B0510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12,846</w:t>
            </w:r>
          </w:p>
        </w:tc>
        <w:tc>
          <w:tcPr>
            <w:tcW w:w="1276" w:type="dxa"/>
            <w:tcBorders>
              <w:top w:val="nil"/>
              <w:left w:val="nil"/>
              <w:bottom w:val="single" w:sz="8" w:space="0" w:color="A6A6A6"/>
              <w:right w:val="single" w:sz="8" w:space="0" w:color="A6A6A6"/>
            </w:tcBorders>
            <w:shd w:val="clear" w:color="auto" w:fill="auto"/>
            <w:noWrap/>
            <w:vAlign w:val="center"/>
            <w:hideMark/>
          </w:tcPr>
          <w:p w14:paraId="7C650B7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14,701</w:t>
            </w:r>
          </w:p>
        </w:tc>
        <w:tc>
          <w:tcPr>
            <w:tcW w:w="1276" w:type="dxa"/>
            <w:tcBorders>
              <w:top w:val="nil"/>
              <w:left w:val="nil"/>
              <w:bottom w:val="single" w:sz="8" w:space="0" w:color="A6A6A6"/>
              <w:right w:val="single" w:sz="8" w:space="0" w:color="A6A6A6"/>
            </w:tcBorders>
            <w:shd w:val="clear" w:color="auto" w:fill="auto"/>
            <w:noWrap/>
            <w:vAlign w:val="center"/>
            <w:hideMark/>
          </w:tcPr>
          <w:p w14:paraId="4B76710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1,855</w:t>
            </w:r>
          </w:p>
        </w:tc>
        <w:tc>
          <w:tcPr>
            <w:tcW w:w="1513" w:type="dxa"/>
            <w:tcBorders>
              <w:top w:val="nil"/>
              <w:left w:val="nil"/>
              <w:bottom w:val="single" w:sz="8" w:space="0" w:color="A6A6A6"/>
              <w:right w:val="single" w:sz="8" w:space="0" w:color="A6A6A6"/>
            </w:tcBorders>
            <w:shd w:val="clear" w:color="auto" w:fill="auto"/>
            <w:noWrap/>
            <w:vAlign w:val="center"/>
            <w:hideMark/>
          </w:tcPr>
          <w:p w14:paraId="19DB29C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14.4%</w:t>
            </w:r>
          </w:p>
        </w:tc>
      </w:tr>
      <w:tr w:rsidR="003E7651" w:rsidRPr="004B3CF1" w14:paraId="39BF1261"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043B4B72"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District commercial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71C9FFB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6,339</w:t>
            </w:r>
          </w:p>
        </w:tc>
        <w:tc>
          <w:tcPr>
            <w:tcW w:w="1276" w:type="dxa"/>
            <w:tcBorders>
              <w:top w:val="nil"/>
              <w:left w:val="nil"/>
              <w:bottom w:val="single" w:sz="8" w:space="0" w:color="A6A6A6"/>
              <w:right w:val="single" w:sz="8" w:space="0" w:color="A6A6A6"/>
            </w:tcBorders>
            <w:shd w:val="clear" w:color="auto" w:fill="auto"/>
            <w:noWrap/>
            <w:vAlign w:val="center"/>
            <w:hideMark/>
          </w:tcPr>
          <w:p w14:paraId="6D64359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7,304</w:t>
            </w:r>
          </w:p>
        </w:tc>
        <w:tc>
          <w:tcPr>
            <w:tcW w:w="1276" w:type="dxa"/>
            <w:tcBorders>
              <w:top w:val="nil"/>
              <w:left w:val="nil"/>
              <w:bottom w:val="single" w:sz="8" w:space="0" w:color="A6A6A6"/>
              <w:right w:val="single" w:sz="8" w:space="0" w:color="A6A6A6"/>
            </w:tcBorders>
            <w:shd w:val="clear" w:color="auto" w:fill="auto"/>
            <w:noWrap/>
            <w:vAlign w:val="center"/>
            <w:hideMark/>
          </w:tcPr>
          <w:p w14:paraId="3868FCE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965</w:t>
            </w:r>
          </w:p>
        </w:tc>
        <w:tc>
          <w:tcPr>
            <w:tcW w:w="1513" w:type="dxa"/>
            <w:tcBorders>
              <w:top w:val="nil"/>
              <w:left w:val="nil"/>
              <w:bottom w:val="single" w:sz="8" w:space="0" w:color="A6A6A6"/>
              <w:right w:val="single" w:sz="8" w:space="0" w:color="A6A6A6"/>
            </w:tcBorders>
            <w:shd w:val="clear" w:color="auto" w:fill="auto"/>
            <w:noWrap/>
            <w:vAlign w:val="center"/>
            <w:hideMark/>
          </w:tcPr>
          <w:p w14:paraId="2EBA3CE6"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15.2%</w:t>
            </w:r>
          </w:p>
        </w:tc>
      </w:tr>
      <w:tr w:rsidR="003E7651" w:rsidRPr="004B3CF1" w14:paraId="328640CF"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7230F05F"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Municipal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5A82643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171,308</w:t>
            </w:r>
          </w:p>
        </w:tc>
        <w:tc>
          <w:tcPr>
            <w:tcW w:w="1276" w:type="dxa"/>
            <w:tcBorders>
              <w:top w:val="nil"/>
              <w:left w:val="nil"/>
              <w:bottom w:val="single" w:sz="8" w:space="0" w:color="A6A6A6"/>
              <w:right w:val="single" w:sz="8" w:space="0" w:color="A6A6A6"/>
            </w:tcBorders>
            <w:shd w:val="clear" w:color="auto" w:fill="auto"/>
            <w:noWrap/>
            <w:vAlign w:val="center"/>
            <w:hideMark/>
          </w:tcPr>
          <w:p w14:paraId="574CA8E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212,623</w:t>
            </w:r>
          </w:p>
        </w:tc>
        <w:tc>
          <w:tcPr>
            <w:tcW w:w="1276" w:type="dxa"/>
            <w:tcBorders>
              <w:top w:val="nil"/>
              <w:left w:val="nil"/>
              <w:bottom w:val="single" w:sz="8" w:space="0" w:color="A6A6A6"/>
              <w:right w:val="single" w:sz="8" w:space="0" w:color="A6A6A6"/>
            </w:tcBorders>
            <w:shd w:val="clear" w:color="auto" w:fill="auto"/>
            <w:noWrap/>
            <w:vAlign w:val="center"/>
            <w:hideMark/>
          </w:tcPr>
          <w:p w14:paraId="32F905A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41,315</w:t>
            </w:r>
          </w:p>
        </w:tc>
        <w:tc>
          <w:tcPr>
            <w:tcW w:w="1513" w:type="dxa"/>
            <w:tcBorders>
              <w:top w:val="nil"/>
              <w:left w:val="nil"/>
              <w:bottom w:val="single" w:sz="8" w:space="0" w:color="A6A6A6"/>
              <w:right w:val="single" w:sz="8" w:space="0" w:color="A6A6A6"/>
            </w:tcBorders>
            <w:shd w:val="clear" w:color="auto" w:fill="auto"/>
            <w:noWrap/>
            <w:vAlign w:val="center"/>
            <w:hideMark/>
          </w:tcPr>
          <w:p w14:paraId="165AC00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24.1%</w:t>
            </w:r>
          </w:p>
        </w:tc>
      </w:tr>
      <w:tr w:rsidR="003E7651" w:rsidRPr="004B3CF1" w14:paraId="2108E627"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637124BB"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Basic courts</w:t>
            </w:r>
          </w:p>
        </w:tc>
        <w:tc>
          <w:tcPr>
            <w:tcW w:w="1275" w:type="dxa"/>
            <w:tcBorders>
              <w:top w:val="nil"/>
              <w:left w:val="nil"/>
              <w:bottom w:val="single" w:sz="8" w:space="0" w:color="A6A6A6"/>
              <w:right w:val="single" w:sz="8" w:space="0" w:color="A6A6A6"/>
            </w:tcBorders>
            <w:shd w:val="clear" w:color="auto" w:fill="auto"/>
            <w:noWrap/>
            <w:vAlign w:val="center"/>
            <w:hideMark/>
          </w:tcPr>
          <w:p w14:paraId="069B0A7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77,350</w:t>
            </w:r>
          </w:p>
        </w:tc>
        <w:tc>
          <w:tcPr>
            <w:tcW w:w="1276" w:type="dxa"/>
            <w:tcBorders>
              <w:top w:val="nil"/>
              <w:left w:val="nil"/>
              <w:bottom w:val="single" w:sz="8" w:space="0" w:color="A6A6A6"/>
              <w:right w:val="single" w:sz="8" w:space="0" w:color="A6A6A6"/>
            </w:tcBorders>
            <w:shd w:val="clear" w:color="auto" w:fill="auto"/>
            <w:noWrap/>
            <w:vAlign w:val="center"/>
            <w:hideMark/>
          </w:tcPr>
          <w:p w14:paraId="04EDBD6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91,928</w:t>
            </w:r>
          </w:p>
        </w:tc>
        <w:tc>
          <w:tcPr>
            <w:tcW w:w="1276" w:type="dxa"/>
            <w:tcBorders>
              <w:top w:val="nil"/>
              <w:left w:val="nil"/>
              <w:bottom w:val="single" w:sz="8" w:space="0" w:color="A6A6A6"/>
              <w:right w:val="single" w:sz="8" w:space="0" w:color="A6A6A6"/>
            </w:tcBorders>
            <w:shd w:val="clear" w:color="auto" w:fill="auto"/>
            <w:noWrap/>
            <w:vAlign w:val="center"/>
            <w:hideMark/>
          </w:tcPr>
          <w:p w14:paraId="2F88763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14,578</w:t>
            </w:r>
          </w:p>
        </w:tc>
        <w:tc>
          <w:tcPr>
            <w:tcW w:w="1513" w:type="dxa"/>
            <w:tcBorders>
              <w:top w:val="nil"/>
              <w:left w:val="nil"/>
              <w:bottom w:val="single" w:sz="8" w:space="0" w:color="A6A6A6"/>
              <w:right w:val="single" w:sz="8" w:space="0" w:color="A6A6A6"/>
            </w:tcBorders>
            <w:shd w:val="clear" w:color="auto" w:fill="auto"/>
            <w:noWrap/>
            <w:vAlign w:val="center"/>
            <w:hideMark/>
          </w:tcPr>
          <w:p w14:paraId="212B9BE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18.8%</w:t>
            </w:r>
          </w:p>
        </w:tc>
      </w:tr>
      <w:tr w:rsidR="003E7651" w:rsidRPr="004B3CF1" w14:paraId="54EC91E8"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6D723BF5"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The Basic Court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5273256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5,438</w:t>
            </w:r>
          </w:p>
        </w:tc>
        <w:tc>
          <w:tcPr>
            <w:tcW w:w="1276" w:type="dxa"/>
            <w:tcBorders>
              <w:top w:val="nil"/>
              <w:left w:val="nil"/>
              <w:bottom w:val="single" w:sz="8" w:space="0" w:color="A6A6A6"/>
              <w:right w:val="single" w:sz="8" w:space="0" w:color="A6A6A6"/>
            </w:tcBorders>
            <w:shd w:val="clear" w:color="auto" w:fill="auto"/>
            <w:noWrap/>
            <w:vAlign w:val="center"/>
            <w:hideMark/>
          </w:tcPr>
          <w:p w14:paraId="266DF25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6,869</w:t>
            </w:r>
          </w:p>
        </w:tc>
        <w:tc>
          <w:tcPr>
            <w:tcW w:w="1276" w:type="dxa"/>
            <w:tcBorders>
              <w:top w:val="nil"/>
              <w:left w:val="nil"/>
              <w:bottom w:val="single" w:sz="8" w:space="0" w:color="A6A6A6"/>
              <w:right w:val="single" w:sz="8" w:space="0" w:color="A6A6A6"/>
            </w:tcBorders>
            <w:shd w:val="clear" w:color="auto" w:fill="auto"/>
            <w:noWrap/>
            <w:vAlign w:val="center"/>
            <w:hideMark/>
          </w:tcPr>
          <w:p w14:paraId="62F720B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1,431</w:t>
            </w:r>
          </w:p>
        </w:tc>
        <w:tc>
          <w:tcPr>
            <w:tcW w:w="1513" w:type="dxa"/>
            <w:tcBorders>
              <w:top w:val="nil"/>
              <w:left w:val="nil"/>
              <w:bottom w:val="single" w:sz="8" w:space="0" w:color="A6A6A6"/>
              <w:right w:val="single" w:sz="8" w:space="0" w:color="A6A6A6"/>
            </w:tcBorders>
            <w:shd w:val="clear" w:color="auto" w:fill="auto"/>
            <w:noWrap/>
            <w:vAlign w:val="center"/>
            <w:hideMark/>
          </w:tcPr>
          <w:p w14:paraId="3DADF06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26.3%</w:t>
            </w:r>
          </w:p>
        </w:tc>
      </w:tr>
      <w:tr w:rsidR="003E7651" w:rsidRPr="004B3CF1" w14:paraId="5E657281" w14:textId="77777777" w:rsidTr="003E7651">
        <w:trPr>
          <w:trHeight w:val="315"/>
        </w:trPr>
        <w:tc>
          <w:tcPr>
            <w:tcW w:w="3818" w:type="dxa"/>
            <w:tcBorders>
              <w:top w:val="nil"/>
              <w:left w:val="single" w:sz="8" w:space="0" w:color="A6A6A6"/>
              <w:bottom w:val="single" w:sz="8" w:space="0" w:color="A6A6A6"/>
              <w:right w:val="single" w:sz="8" w:space="0" w:color="A6A6A6"/>
            </w:tcBorders>
            <w:shd w:val="clear" w:color="auto" w:fill="auto"/>
            <w:noWrap/>
            <w:vAlign w:val="center"/>
            <w:hideMark/>
          </w:tcPr>
          <w:p w14:paraId="12A6601A" w14:textId="77777777" w:rsidR="003E7651" w:rsidRPr="004B3CF1" w:rsidRDefault="003E7651" w:rsidP="003E7651">
            <w:pPr>
              <w:autoSpaceDE w:val="0"/>
              <w:autoSpaceDN w:val="0"/>
              <w:adjustRightInd w:val="0"/>
              <w:rPr>
                <w:rFonts w:ascii="Arial" w:hAnsi="Arial" w:cs="Arial"/>
                <w:b/>
                <w:bCs/>
                <w:color w:val="000000"/>
                <w:sz w:val="22"/>
                <w:szCs w:val="22"/>
              </w:rPr>
            </w:pPr>
            <w:r w:rsidRPr="004B3CF1">
              <w:rPr>
                <w:rFonts w:ascii="Arial" w:hAnsi="Arial"/>
                <w:b/>
                <w:bCs/>
                <w:color w:val="000000"/>
                <w:sz w:val="22"/>
                <w:szCs w:val="22"/>
              </w:rPr>
              <w:t>TOTAL</w:t>
            </w:r>
          </w:p>
        </w:tc>
        <w:tc>
          <w:tcPr>
            <w:tcW w:w="1275" w:type="dxa"/>
            <w:tcBorders>
              <w:top w:val="nil"/>
              <w:left w:val="nil"/>
              <w:bottom w:val="single" w:sz="8" w:space="0" w:color="A6A6A6"/>
              <w:right w:val="single" w:sz="8" w:space="0" w:color="A6A6A6"/>
            </w:tcBorders>
            <w:shd w:val="clear" w:color="auto" w:fill="auto"/>
            <w:noWrap/>
            <w:vAlign w:val="center"/>
            <w:hideMark/>
          </w:tcPr>
          <w:p w14:paraId="13C191BA"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323,729</w:t>
            </w:r>
          </w:p>
        </w:tc>
        <w:tc>
          <w:tcPr>
            <w:tcW w:w="1276" w:type="dxa"/>
            <w:tcBorders>
              <w:top w:val="nil"/>
              <w:left w:val="nil"/>
              <w:bottom w:val="single" w:sz="8" w:space="0" w:color="A6A6A6"/>
              <w:right w:val="single" w:sz="8" w:space="0" w:color="A6A6A6"/>
            </w:tcBorders>
            <w:shd w:val="clear" w:color="auto" w:fill="auto"/>
            <w:noWrap/>
            <w:vAlign w:val="center"/>
            <w:hideMark/>
          </w:tcPr>
          <w:p w14:paraId="04003C9A"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382,871</w:t>
            </w:r>
          </w:p>
        </w:tc>
        <w:tc>
          <w:tcPr>
            <w:tcW w:w="1276" w:type="dxa"/>
            <w:tcBorders>
              <w:top w:val="nil"/>
              <w:left w:val="nil"/>
              <w:bottom w:val="single" w:sz="8" w:space="0" w:color="A6A6A6"/>
              <w:right w:val="single" w:sz="8" w:space="0" w:color="A6A6A6"/>
            </w:tcBorders>
            <w:shd w:val="clear" w:color="auto" w:fill="auto"/>
            <w:noWrap/>
            <w:vAlign w:val="center"/>
            <w:hideMark/>
          </w:tcPr>
          <w:p w14:paraId="1821A3F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59,142</w:t>
            </w:r>
          </w:p>
        </w:tc>
        <w:tc>
          <w:tcPr>
            <w:tcW w:w="1513" w:type="dxa"/>
            <w:tcBorders>
              <w:top w:val="nil"/>
              <w:left w:val="nil"/>
              <w:bottom w:val="single" w:sz="8" w:space="0" w:color="A6A6A6"/>
              <w:right w:val="single" w:sz="8" w:space="0" w:color="A6A6A6"/>
            </w:tcBorders>
            <w:shd w:val="clear" w:color="auto" w:fill="auto"/>
            <w:noWrap/>
            <w:vAlign w:val="center"/>
            <w:hideMark/>
          </w:tcPr>
          <w:p w14:paraId="5D9CAB5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18.3%</w:t>
            </w:r>
          </w:p>
        </w:tc>
      </w:tr>
    </w:tbl>
    <w:p w14:paraId="74E6B985" w14:textId="77777777" w:rsidR="003E7651" w:rsidRPr="004B3CF1" w:rsidRDefault="003E7651" w:rsidP="003E7651">
      <w:pPr>
        <w:pStyle w:val="ListParagraph"/>
        <w:spacing w:before="80"/>
        <w:ind w:left="0"/>
        <w:jc w:val="both"/>
        <w:rPr>
          <w:rFonts w:ascii="Arial" w:hAnsi="Arial" w:cs="Arial"/>
          <w:b/>
          <w:bCs/>
          <w:color w:val="000000"/>
          <w:lang w:eastAsia="bs-Latn-BA"/>
        </w:rPr>
      </w:pPr>
    </w:p>
    <w:p w14:paraId="52680A6B" w14:textId="77777777" w:rsidR="003E7651" w:rsidRPr="004B3CF1" w:rsidRDefault="003E7651" w:rsidP="003E7651">
      <w:pPr>
        <w:pStyle w:val="DRUGINASLOV"/>
      </w:pPr>
      <w:bookmarkStart w:id="203" w:name="_Toc97722096"/>
      <w:bookmarkStart w:id="204" w:name="_Toc101944273"/>
      <w:bookmarkStart w:id="205" w:name="_Toc112852479"/>
      <w:r w:rsidRPr="004B3CF1">
        <w:t>Flow of cases – per case type</w:t>
      </w:r>
      <w:bookmarkEnd w:id="203"/>
      <w:bookmarkEnd w:id="204"/>
      <w:bookmarkEnd w:id="205"/>
    </w:p>
    <w:p w14:paraId="7C64824F" w14:textId="77777777" w:rsidR="003E7651" w:rsidRPr="004B3CF1" w:rsidRDefault="003E7651" w:rsidP="003E7651">
      <w:pPr>
        <w:pStyle w:val="etvrtinaslov0"/>
        <w:rPr>
          <w:szCs w:val="24"/>
        </w:rPr>
      </w:pPr>
      <w:bookmarkStart w:id="206" w:name="_Toc101944274"/>
      <w:bookmarkStart w:id="207" w:name="_Toc112852480"/>
      <w:r w:rsidRPr="004B3CF1">
        <w:t>Pending cases by type</w:t>
      </w:r>
      <w:bookmarkEnd w:id="206"/>
      <w:bookmarkEnd w:id="207"/>
    </w:p>
    <w:p w14:paraId="36E80FEE" w14:textId="77777777" w:rsidR="003E7651" w:rsidRPr="004B3CF1" w:rsidRDefault="003E7651" w:rsidP="003E7651">
      <w:pPr>
        <w:pStyle w:val="Tekst"/>
      </w:pPr>
      <w:r w:rsidRPr="004B3CF1">
        <w:t xml:space="preserve">An upward trend in the number of pending non-litigation and minor offence cases continued in 2021. So, a significant increase by 10,837 cases or 16.5% was observed in the number of pending non-litigation cases (of which the number of pending probate cases increased by 10,734) and pending minor offence cases by 3,611 or 8.0%, which is the main cause for rise of backlog in the municipal and </w:t>
      </w:r>
      <w:r>
        <w:t xml:space="preserve">basic courts. Out of a total of </w:t>
      </w:r>
      <w:r w:rsidRPr="004B3CF1">
        <w:t xml:space="preserve">76,398 pending non-litigation cases, as at 31 December 2021, 68,633 cases or 90% were probate cases pending before the municipal and basic courts, and the Basic Court of the Brčko District of Bosnia and Herzegovina. There was also an increase by 405 or 2.2% in the number of pending criminal cases.  </w:t>
      </w:r>
    </w:p>
    <w:p w14:paraId="7FB7E16B" w14:textId="77777777" w:rsidR="003E7651" w:rsidRPr="004B3CF1" w:rsidRDefault="003E7651" w:rsidP="003E7651">
      <w:pPr>
        <w:pStyle w:val="Tekst"/>
      </w:pPr>
      <w:r w:rsidRPr="004B3CF1">
        <w:t>Reduction of backlog was r</w:t>
      </w:r>
      <w:r>
        <w:t>ecorded in</w:t>
      </w:r>
      <w:r w:rsidRPr="004B3CF1">
        <w:t xml:space="preserve"> administrative (14.3%), commercial (9.7%), enforcement (6.2%) and civil cases (4.3%).</w:t>
      </w:r>
    </w:p>
    <w:p w14:paraId="4C4FBC68" w14:textId="77777777" w:rsidR="003E7651" w:rsidRPr="004B3CF1" w:rsidRDefault="003E7651" w:rsidP="003E7651">
      <w:pPr>
        <w:pStyle w:val="Tekst"/>
      </w:pPr>
    </w:p>
    <w:p w14:paraId="29FBC969"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8</w:t>
      </w:r>
      <w:r w:rsidR="006D1459">
        <w:fldChar w:fldCharType="end"/>
      </w:r>
      <w:r w:rsidRPr="004B3CF1">
        <w:t>: Court backlog- by case type</w:t>
      </w:r>
    </w:p>
    <w:tbl>
      <w:tblPr>
        <w:tblW w:w="8191" w:type="dxa"/>
        <w:tblInd w:w="118" w:type="dxa"/>
        <w:tblLook w:val="04A0" w:firstRow="1" w:lastRow="0" w:firstColumn="1" w:lastColumn="0" w:noHBand="0" w:noVBand="1"/>
      </w:tblPr>
      <w:tblGrid>
        <w:gridCol w:w="2720"/>
        <w:gridCol w:w="1318"/>
        <w:gridCol w:w="1379"/>
        <w:gridCol w:w="1340"/>
        <w:gridCol w:w="1513"/>
      </w:tblGrid>
      <w:tr w:rsidR="003E7651" w:rsidRPr="004B3CF1" w14:paraId="07C381FE" w14:textId="77777777" w:rsidTr="003E7651">
        <w:trPr>
          <w:trHeight w:val="691"/>
        </w:trPr>
        <w:tc>
          <w:tcPr>
            <w:tcW w:w="2720"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3B6A7CA3"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CASE TYPE</w:t>
            </w:r>
          </w:p>
        </w:tc>
        <w:tc>
          <w:tcPr>
            <w:tcW w:w="2618" w:type="dxa"/>
            <w:gridSpan w:val="2"/>
            <w:tcBorders>
              <w:top w:val="single" w:sz="8" w:space="0" w:color="A6A6A6"/>
              <w:left w:val="nil"/>
              <w:bottom w:val="single" w:sz="8" w:space="0" w:color="A6A6A6"/>
              <w:right w:val="single" w:sz="8" w:space="0" w:color="A6A6A6"/>
            </w:tcBorders>
            <w:shd w:val="clear" w:color="auto" w:fill="auto"/>
            <w:vAlign w:val="center"/>
            <w:hideMark/>
          </w:tcPr>
          <w:p w14:paraId="7F3C5B98"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Number of pending cases</w:t>
            </w:r>
          </w:p>
        </w:tc>
        <w:tc>
          <w:tcPr>
            <w:tcW w:w="1340"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4992C304"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number of pending cases</w:t>
            </w:r>
          </w:p>
        </w:tc>
        <w:tc>
          <w:tcPr>
            <w:tcW w:w="1513"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1E504067"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number of pending cases in percentages</w:t>
            </w:r>
          </w:p>
        </w:tc>
      </w:tr>
      <w:tr w:rsidR="003E7651" w:rsidRPr="004B3CF1" w14:paraId="11DE40B6" w14:textId="77777777" w:rsidTr="003E7651">
        <w:trPr>
          <w:trHeight w:val="597"/>
        </w:trPr>
        <w:tc>
          <w:tcPr>
            <w:tcW w:w="2720" w:type="dxa"/>
            <w:vMerge/>
            <w:tcBorders>
              <w:top w:val="single" w:sz="8" w:space="0" w:color="A6A6A6"/>
              <w:left w:val="single" w:sz="8" w:space="0" w:color="A6A6A6"/>
              <w:bottom w:val="single" w:sz="8" w:space="0" w:color="A6A6A6"/>
              <w:right w:val="single" w:sz="8" w:space="0" w:color="A6A6A6"/>
            </w:tcBorders>
            <w:vAlign w:val="center"/>
            <w:hideMark/>
          </w:tcPr>
          <w:p w14:paraId="725EA731" w14:textId="77777777" w:rsidR="003E7651" w:rsidRPr="004B3CF1" w:rsidRDefault="003E7651" w:rsidP="003E7651">
            <w:pPr>
              <w:rPr>
                <w:rFonts w:ascii="Arial" w:hAnsi="Arial" w:cs="Arial"/>
                <w:color w:val="000000"/>
                <w:sz w:val="22"/>
                <w:szCs w:val="22"/>
              </w:rPr>
            </w:pPr>
          </w:p>
        </w:tc>
        <w:tc>
          <w:tcPr>
            <w:tcW w:w="1239" w:type="dxa"/>
            <w:tcBorders>
              <w:top w:val="nil"/>
              <w:left w:val="nil"/>
              <w:bottom w:val="single" w:sz="8" w:space="0" w:color="A6A6A6"/>
              <w:right w:val="single" w:sz="8" w:space="0" w:color="A6A6A6"/>
            </w:tcBorders>
            <w:shd w:val="clear" w:color="auto" w:fill="auto"/>
            <w:noWrap/>
            <w:vAlign w:val="center"/>
            <w:hideMark/>
          </w:tcPr>
          <w:p w14:paraId="3440EC4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01/01/2021</w:t>
            </w:r>
          </w:p>
        </w:tc>
        <w:tc>
          <w:tcPr>
            <w:tcW w:w="1379" w:type="dxa"/>
            <w:tcBorders>
              <w:top w:val="nil"/>
              <w:left w:val="nil"/>
              <w:bottom w:val="single" w:sz="8" w:space="0" w:color="A6A6A6"/>
              <w:right w:val="single" w:sz="8" w:space="0" w:color="A6A6A6"/>
            </w:tcBorders>
            <w:shd w:val="clear" w:color="auto" w:fill="auto"/>
            <w:noWrap/>
            <w:vAlign w:val="center"/>
            <w:hideMark/>
          </w:tcPr>
          <w:p w14:paraId="39B61639"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31/12/2021</w:t>
            </w:r>
          </w:p>
        </w:tc>
        <w:tc>
          <w:tcPr>
            <w:tcW w:w="1340" w:type="dxa"/>
            <w:vMerge/>
            <w:tcBorders>
              <w:top w:val="single" w:sz="8" w:space="0" w:color="A6A6A6"/>
              <w:left w:val="single" w:sz="8" w:space="0" w:color="A6A6A6"/>
              <w:bottom w:val="single" w:sz="8" w:space="0" w:color="A6A6A6"/>
              <w:right w:val="single" w:sz="8" w:space="0" w:color="A6A6A6"/>
            </w:tcBorders>
            <w:vAlign w:val="center"/>
            <w:hideMark/>
          </w:tcPr>
          <w:p w14:paraId="197F50CA" w14:textId="77777777" w:rsidR="003E7651" w:rsidRPr="004B3CF1" w:rsidRDefault="003E7651" w:rsidP="003E7651">
            <w:pPr>
              <w:rPr>
                <w:rFonts w:ascii="Arial" w:hAnsi="Arial" w:cs="Arial"/>
                <w:color w:val="000000"/>
                <w:sz w:val="22"/>
                <w:szCs w:val="22"/>
              </w:rPr>
            </w:pPr>
          </w:p>
        </w:tc>
        <w:tc>
          <w:tcPr>
            <w:tcW w:w="1513" w:type="dxa"/>
            <w:vMerge/>
            <w:tcBorders>
              <w:top w:val="single" w:sz="8" w:space="0" w:color="A6A6A6"/>
              <w:left w:val="single" w:sz="8" w:space="0" w:color="A6A6A6"/>
              <w:bottom w:val="single" w:sz="8" w:space="0" w:color="A6A6A6"/>
              <w:right w:val="single" w:sz="8" w:space="0" w:color="A6A6A6"/>
            </w:tcBorders>
            <w:vAlign w:val="center"/>
            <w:hideMark/>
          </w:tcPr>
          <w:p w14:paraId="444B252E" w14:textId="77777777" w:rsidR="003E7651" w:rsidRPr="004B3CF1" w:rsidRDefault="003E7651" w:rsidP="003E7651">
            <w:pPr>
              <w:rPr>
                <w:rFonts w:ascii="Arial" w:hAnsi="Arial" w:cs="Arial"/>
                <w:color w:val="000000"/>
                <w:sz w:val="22"/>
                <w:szCs w:val="22"/>
              </w:rPr>
            </w:pPr>
          </w:p>
        </w:tc>
      </w:tr>
      <w:tr w:rsidR="003E7651" w:rsidRPr="004B3CF1" w14:paraId="1AF92077" w14:textId="77777777" w:rsidTr="003E7651">
        <w:trPr>
          <w:trHeight w:val="315"/>
        </w:trPr>
        <w:tc>
          <w:tcPr>
            <w:tcW w:w="2720" w:type="dxa"/>
            <w:vMerge/>
            <w:tcBorders>
              <w:top w:val="single" w:sz="8" w:space="0" w:color="A6A6A6"/>
              <w:left w:val="single" w:sz="8" w:space="0" w:color="A6A6A6"/>
              <w:bottom w:val="single" w:sz="8" w:space="0" w:color="A6A6A6"/>
              <w:right w:val="single" w:sz="8" w:space="0" w:color="A6A6A6"/>
            </w:tcBorders>
            <w:vAlign w:val="center"/>
            <w:hideMark/>
          </w:tcPr>
          <w:p w14:paraId="16654848" w14:textId="77777777" w:rsidR="003E7651" w:rsidRPr="004B3CF1" w:rsidRDefault="003E7651" w:rsidP="003E7651">
            <w:pPr>
              <w:rPr>
                <w:rFonts w:ascii="Arial" w:hAnsi="Arial" w:cs="Arial"/>
                <w:color w:val="000000"/>
                <w:sz w:val="22"/>
                <w:szCs w:val="22"/>
              </w:rPr>
            </w:pPr>
          </w:p>
        </w:tc>
        <w:tc>
          <w:tcPr>
            <w:tcW w:w="1239" w:type="dxa"/>
            <w:tcBorders>
              <w:top w:val="nil"/>
              <w:left w:val="nil"/>
              <w:bottom w:val="single" w:sz="8" w:space="0" w:color="A6A6A6"/>
              <w:right w:val="single" w:sz="8" w:space="0" w:color="A6A6A6"/>
            </w:tcBorders>
            <w:shd w:val="clear" w:color="auto" w:fill="auto"/>
            <w:noWrap/>
            <w:vAlign w:val="center"/>
            <w:hideMark/>
          </w:tcPr>
          <w:p w14:paraId="4692B48B"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w:t>
            </w:r>
          </w:p>
        </w:tc>
        <w:tc>
          <w:tcPr>
            <w:tcW w:w="1379" w:type="dxa"/>
            <w:tcBorders>
              <w:top w:val="nil"/>
              <w:left w:val="nil"/>
              <w:bottom w:val="single" w:sz="8" w:space="0" w:color="A6A6A6"/>
              <w:right w:val="single" w:sz="8" w:space="0" w:color="A6A6A6"/>
            </w:tcBorders>
            <w:shd w:val="clear" w:color="auto" w:fill="auto"/>
            <w:noWrap/>
            <w:vAlign w:val="center"/>
            <w:hideMark/>
          </w:tcPr>
          <w:p w14:paraId="05250FCB"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340" w:type="dxa"/>
            <w:tcBorders>
              <w:top w:val="nil"/>
              <w:left w:val="nil"/>
              <w:bottom w:val="single" w:sz="8" w:space="0" w:color="A6A6A6"/>
              <w:right w:val="single" w:sz="8" w:space="0" w:color="A6A6A6"/>
            </w:tcBorders>
            <w:shd w:val="clear" w:color="auto" w:fill="auto"/>
            <w:noWrap/>
            <w:vAlign w:val="center"/>
            <w:hideMark/>
          </w:tcPr>
          <w:p w14:paraId="79DB834F"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III = II - I</w:t>
            </w:r>
          </w:p>
        </w:tc>
        <w:tc>
          <w:tcPr>
            <w:tcW w:w="1513" w:type="dxa"/>
            <w:tcBorders>
              <w:top w:val="nil"/>
              <w:left w:val="nil"/>
              <w:bottom w:val="single" w:sz="8" w:space="0" w:color="A6A6A6"/>
              <w:right w:val="single" w:sz="8" w:space="0" w:color="A6A6A6"/>
            </w:tcBorders>
            <w:shd w:val="clear" w:color="auto" w:fill="auto"/>
            <w:noWrap/>
            <w:vAlign w:val="center"/>
            <w:hideMark/>
          </w:tcPr>
          <w:p w14:paraId="7549601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IV = II / I</w:t>
            </w:r>
          </w:p>
        </w:tc>
      </w:tr>
      <w:tr w:rsidR="003E7651" w:rsidRPr="004B3CF1" w14:paraId="52E07D53"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625F264F" w14:textId="77777777" w:rsidR="003E7651" w:rsidRPr="004B3CF1" w:rsidRDefault="003E7651" w:rsidP="003E7651">
            <w:pPr>
              <w:rPr>
                <w:rFonts w:ascii="Arial" w:hAnsi="Arial" w:cs="Arial"/>
                <w:sz w:val="22"/>
                <w:szCs w:val="22"/>
              </w:rPr>
            </w:pPr>
            <w:r w:rsidRPr="004B3CF1">
              <w:rPr>
                <w:rFonts w:ascii="Arial" w:hAnsi="Arial"/>
                <w:sz w:val="22"/>
                <w:szCs w:val="22"/>
              </w:rPr>
              <w:t>Civil cases</w:t>
            </w:r>
          </w:p>
        </w:tc>
        <w:tc>
          <w:tcPr>
            <w:tcW w:w="1239" w:type="dxa"/>
            <w:tcBorders>
              <w:top w:val="nil"/>
              <w:left w:val="nil"/>
              <w:bottom w:val="single" w:sz="8" w:space="0" w:color="A6A6A6"/>
              <w:right w:val="single" w:sz="8" w:space="0" w:color="A6A6A6"/>
            </w:tcBorders>
            <w:shd w:val="clear" w:color="auto" w:fill="auto"/>
            <w:noWrap/>
            <w:vAlign w:val="center"/>
            <w:hideMark/>
          </w:tcPr>
          <w:p w14:paraId="774D7D9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82,738</w:t>
            </w:r>
          </w:p>
        </w:tc>
        <w:tc>
          <w:tcPr>
            <w:tcW w:w="1379" w:type="dxa"/>
            <w:tcBorders>
              <w:top w:val="nil"/>
              <w:left w:val="nil"/>
              <w:bottom w:val="single" w:sz="8" w:space="0" w:color="A6A6A6"/>
              <w:right w:val="single" w:sz="8" w:space="0" w:color="A6A6A6"/>
            </w:tcBorders>
            <w:shd w:val="clear" w:color="auto" w:fill="auto"/>
            <w:noWrap/>
            <w:vAlign w:val="center"/>
            <w:hideMark/>
          </w:tcPr>
          <w:p w14:paraId="72D6E77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79,174</w:t>
            </w:r>
          </w:p>
        </w:tc>
        <w:tc>
          <w:tcPr>
            <w:tcW w:w="1340" w:type="dxa"/>
            <w:tcBorders>
              <w:top w:val="nil"/>
              <w:left w:val="nil"/>
              <w:bottom w:val="single" w:sz="8" w:space="0" w:color="A6A6A6"/>
              <w:right w:val="single" w:sz="8" w:space="0" w:color="A6A6A6"/>
            </w:tcBorders>
            <w:shd w:val="clear" w:color="auto" w:fill="auto"/>
            <w:noWrap/>
            <w:vAlign w:val="center"/>
            <w:hideMark/>
          </w:tcPr>
          <w:p w14:paraId="397B68B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-3,564</w:t>
            </w:r>
          </w:p>
        </w:tc>
        <w:tc>
          <w:tcPr>
            <w:tcW w:w="1513" w:type="dxa"/>
            <w:tcBorders>
              <w:top w:val="nil"/>
              <w:left w:val="nil"/>
              <w:bottom w:val="single" w:sz="8" w:space="0" w:color="A6A6A6"/>
              <w:right w:val="single" w:sz="8" w:space="0" w:color="A6A6A6"/>
            </w:tcBorders>
            <w:shd w:val="clear" w:color="auto" w:fill="auto"/>
            <w:noWrap/>
            <w:vAlign w:val="center"/>
            <w:hideMark/>
          </w:tcPr>
          <w:p w14:paraId="4E6D519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-4.3%</w:t>
            </w:r>
          </w:p>
        </w:tc>
      </w:tr>
      <w:tr w:rsidR="003E7651" w:rsidRPr="004B3CF1" w14:paraId="084A3D15"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0934C713"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Enforcement cases</w:t>
            </w:r>
          </w:p>
        </w:tc>
        <w:tc>
          <w:tcPr>
            <w:tcW w:w="1239" w:type="dxa"/>
            <w:tcBorders>
              <w:top w:val="nil"/>
              <w:left w:val="nil"/>
              <w:bottom w:val="single" w:sz="8" w:space="0" w:color="A6A6A6"/>
              <w:right w:val="single" w:sz="8" w:space="0" w:color="A6A6A6"/>
            </w:tcBorders>
            <w:shd w:val="clear" w:color="auto" w:fill="auto"/>
            <w:noWrap/>
            <w:vAlign w:val="center"/>
            <w:hideMark/>
          </w:tcPr>
          <w:p w14:paraId="48C5E94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59,767</w:t>
            </w:r>
          </w:p>
        </w:tc>
        <w:tc>
          <w:tcPr>
            <w:tcW w:w="1379" w:type="dxa"/>
            <w:tcBorders>
              <w:top w:val="nil"/>
              <w:left w:val="nil"/>
              <w:bottom w:val="single" w:sz="8" w:space="0" w:color="A6A6A6"/>
              <w:right w:val="single" w:sz="8" w:space="0" w:color="A6A6A6"/>
            </w:tcBorders>
            <w:shd w:val="clear" w:color="auto" w:fill="auto"/>
            <w:noWrap/>
            <w:vAlign w:val="center"/>
            <w:hideMark/>
          </w:tcPr>
          <w:p w14:paraId="6B93770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56,080</w:t>
            </w:r>
          </w:p>
        </w:tc>
        <w:tc>
          <w:tcPr>
            <w:tcW w:w="1340" w:type="dxa"/>
            <w:tcBorders>
              <w:top w:val="nil"/>
              <w:left w:val="nil"/>
              <w:bottom w:val="single" w:sz="8" w:space="0" w:color="A6A6A6"/>
              <w:right w:val="single" w:sz="8" w:space="0" w:color="A6A6A6"/>
            </w:tcBorders>
            <w:shd w:val="clear" w:color="auto" w:fill="auto"/>
            <w:noWrap/>
            <w:vAlign w:val="center"/>
            <w:hideMark/>
          </w:tcPr>
          <w:p w14:paraId="134920E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-3,687</w:t>
            </w:r>
          </w:p>
        </w:tc>
        <w:tc>
          <w:tcPr>
            <w:tcW w:w="1513" w:type="dxa"/>
            <w:tcBorders>
              <w:top w:val="nil"/>
              <w:left w:val="nil"/>
              <w:bottom w:val="single" w:sz="8" w:space="0" w:color="A6A6A6"/>
              <w:right w:val="single" w:sz="8" w:space="0" w:color="A6A6A6"/>
            </w:tcBorders>
            <w:shd w:val="clear" w:color="auto" w:fill="auto"/>
            <w:noWrap/>
            <w:vAlign w:val="center"/>
            <w:hideMark/>
          </w:tcPr>
          <w:p w14:paraId="778018F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-6.2%</w:t>
            </w:r>
          </w:p>
        </w:tc>
      </w:tr>
      <w:tr w:rsidR="003E7651" w:rsidRPr="004B3CF1" w14:paraId="638E52E7"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23160C99"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Criminal cases</w:t>
            </w:r>
          </w:p>
        </w:tc>
        <w:tc>
          <w:tcPr>
            <w:tcW w:w="1239" w:type="dxa"/>
            <w:tcBorders>
              <w:top w:val="nil"/>
              <w:left w:val="nil"/>
              <w:bottom w:val="single" w:sz="8" w:space="0" w:color="A6A6A6"/>
              <w:right w:val="single" w:sz="8" w:space="0" w:color="A6A6A6"/>
            </w:tcBorders>
            <w:shd w:val="clear" w:color="auto" w:fill="auto"/>
            <w:noWrap/>
            <w:vAlign w:val="center"/>
            <w:hideMark/>
          </w:tcPr>
          <w:p w14:paraId="1FEE0561"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18,057</w:t>
            </w:r>
          </w:p>
        </w:tc>
        <w:tc>
          <w:tcPr>
            <w:tcW w:w="1379" w:type="dxa"/>
            <w:tcBorders>
              <w:top w:val="nil"/>
              <w:left w:val="nil"/>
              <w:bottom w:val="single" w:sz="8" w:space="0" w:color="A6A6A6"/>
              <w:right w:val="single" w:sz="8" w:space="0" w:color="A6A6A6"/>
            </w:tcBorders>
            <w:shd w:val="clear" w:color="auto" w:fill="auto"/>
            <w:noWrap/>
            <w:vAlign w:val="center"/>
            <w:hideMark/>
          </w:tcPr>
          <w:p w14:paraId="09510BC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18,462</w:t>
            </w:r>
          </w:p>
        </w:tc>
        <w:tc>
          <w:tcPr>
            <w:tcW w:w="1340" w:type="dxa"/>
            <w:tcBorders>
              <w:top w:val="nil"/>
              <w:left w:val="nil"/>
              <w:bottom w:val="single" w:sz="8" w:space="0" w:color="A6A6A6"/>
              <w:right w:val="single" w:sz="8" w:space="0" w:color="A6A6A6"/>
            </w:tcBorders>
            <w:shd w:val="clear" w:color="auto" w:fill="auto"/>
            <w:noWrap/>
            <w:vAlign w:val="center"/>
            <w:hideMark/>
          </w:tcPr>
          <w:p w14:paraId="053D3A8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405</w:t>
            </w:r>
          </w:p>
        </w:tc>
        <w:tc>
          <w:tcPr>
            <w:tcW w:w="1513" w:type="dxa"/>
            <w:tcBorders>
              <w:top w:val="nil"/>
              <w:left w:val="nil"/>
              <w:bottom w:val="single" w:sz="8" w:space="0" w:color="A6A6A6"/>
              <w:right w:val="single" w:sz="8" w:space="0" w:color="A6A6A6"/>
            </w:tcBorders>
            <w:shd w:val="clear" w:color="auto" w:fill="auto"/>
            <w:noWrap/>
            <w:vAlign w:val="center"/>
            <w:hideMark/>
          </w:tcPr>
          <w:p w14:paraId="18FAAB6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2.2%</w:t>
            </w:r>
          </w:p>
        </w:tc>
      </w:tr>
      <w:tr w:rsidR="003E7651" w:rsidRPr="004B3CF1" w14:paraId="43E75490"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660F428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Minor offence cases</w:t>
            </w:r>
          </w:p>
        </w:tc>
        <w:tc>
          <w:tcPr>
            <w:tcW w:w="1239" w:type="dxa"/>
            <w:tcBorders>
              <w:top w:val="nil"/>
              <w:left w:val="nil"/>
              <w:bottom w:val="single" w:sz="8" w:space="0" w:color="A6A6A6"/>
              <w:right w:val="single" w:sz="8" w:space="0" w:color="A6A6A6"/>
            </w:tcBorders>
            <w:shd w:val="clear" w:color="auto" w:fill="auto"/>
            <w:noWrap/>
            <w:vAlign w:val="center"/>
            <w:hideMark/>
          </w:tcPr>
          <w:p w14:paraId="72773FD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45,165</w:t>
            </w:r>
          </w:p>
        </w:tc>
        <w:tc>
          <w:tcPr>
            <w:tcW w:w="1379" w:type="dxa"/>
            <w:tcBorders>
              <w:top w:val="nil"/>
              <w:left w:val="nil"/>
              <w:bottom w:val="single" w:sz="8" w:space="0" w:color="A6A6A6"/>
              <w:right w:val="single" w:sz="8" w:space="0" w:color="A6A6A6"/>
            </w:tcBorders>
            <w:shd w:val="clear" w:color="auto" w:fill="auto"/>
            <w:noWrap/>
            <w:vAlign w:val="center"/>
            <w:hideMark/>
          </w:tcPr>
          <w:p w14:paraId="63D98B1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48,776</w:t>
            </w:r>
          </w:p>
        </w:tc>
        <w:tc>
          <w:tcPr>
            <w:tcW w:w="1340" w:type="dxa"/>
            <w:tcBorders>
              <w:top w:val="nil"/>
              <w:left w:val="nil"/>
              <w:bottom w:val="single" w:sz="8" w:space="0" w:color="A6A6A6"/>
              <w:right w:val="single" w:sz="8" w:space="0" w:color="A6A6A6"/>
            </w:tcBorders>
            <w:shd w:val="clear" w:color="auto" w:fill="auto"/>
            <w:noWrap/>
            <w:vAlign w:val="center"/>
            <w:hideMark/>
          </w:tcPr>
          <w:p w14:paraId="2BBA367E"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3,611</w:t>
            </w:r>
          </w:p>
        </w:tc>
        <w:tc>
          <w:tcPr>
            <w:tcW w:w="1513" w:type="dxa"/>
            <w:tcBorders>
              <w:top w:val="nil"/>
              <w:left w:val="nil"/>
              <w:bottom w:val="single" w:sz="8" w:space="0" w:color="A6A6A6"/>
              <w:right w:val="single" w:sz="8" w:space="0" w:color="A6A6A6"/>
            </w:tcBorders>
            <w:shd w:val="clear" w:color="auto" w:fill="auto"/>
            <w:noWrap/>
            <w:vAlign w:val="center"/>
            <w:hideMark/>
          </w:tcPr>
          <w:p w14:paraId="21C955A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8.0%</w:t>
            </w:r>
          </w:p>
        </w:tc>
      </w:tr>
      <w:tr w:rsidR="003E7651" w:rsidRPr="004B3CF1" w14:paraId="2B5D2D5D"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1CA3E5F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Commercial cases</w:t>
            </w:r>
          </w:p>
        </w:tc>
        <w:tc>
          <w:tcPr>
            <w:tcW w:w="1239" w:type="dxa"/>
            <w:tcBorders>
              <w:top w:val="nil"/>
              <w:left w:val="nil"/>
              <w:bottom w:val="single" w:sz="8" w:space="0" w:color="A6A6A6"/>
              <w:right w:val="single" w:sz="8" w:space="0" w:color="A6A6A6"/>
            </w:tcBorders>
            <w:shd w:val="clear" w:color="auto" w:fill="auto"/>
            <w:noWrap/>
            <w:vAlign w:val="center"/>
            <w:hideMark/>
          </w:tcPr>
          <w:p w14:paraId="56B908E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16,497</w:t>
            </w:r>
          </w:p>
        </w:tc>
        <w:tc>
          <w:tcPr>
            <w:tcW w:w="1379" w:type="dxa"/>
            <w:tcBorders>
              <w:top w:val="nil"/>
              <w:left w:val="nil"/>
              <w:bottom w:val="single" w:sz="8" w:space="0" w:color="A6A6A6"/>
              <w:right w:val="single" w:sz="8" w:space="0" w:color="A6A6A6"/>
            </w:tcBorders>
            <w:shd w:val="clear" w:color="auto" w:fill="auto"/>
            <w:noWrap/>
            <w:vAlign w:val="center"/>
            <w:hideMark/>
          </w:tcPr>
          <w:p w14:paraId="13980C5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14,889</w:t>
            </w:r>
          </w:p>
        </w:tc>
        <w:tc>
          <w:tcPr>
            <w:tcW w:w="1340" w:type="dxa"/>
            <w:tcBorders>
              <w:top w:val="nil"/>
              <w:left w:val="nil"/>
              <w:bottom w:val="single" w:sz="8" w:space="0" w:color="A6A6A6"/>
              <w:right w:val="single" w:sz="8" w:space="0" w:color="A6A6A6"/>
            </w:tcBorders>
            <w:shd w:val="clear" w:color="auto" w:fill="auto"/>
            <w:noWrap/>
            <w:vAlign w:val="center"/>
            <w:hideMark/>
          </w:tcPr>
          <w:p w14:paraId="4B1D5D50"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-1,608</w:t>
            </w:r>
          </w:p>
        </w:tc>
        <w:tc>
          <w:tcPr>
            <w:tcW w:w="1513" w:type="dxa"/>
            <w:tcBorders>
              <w:top w:val="nil"/>
              <w:left w:val="nil"/>
              <w:bottom w:val="single" w:sz="8" w:space="0" w:color="A6A6A6"/>
              <w:right w:val="single" w:sz="8" w:space="0" w:color="A6A6A6"/>
            </w:tcBorders>
            <w:shd w:val="clear" w:color="auto" w:fill="auto"/>
            <w:noWrap/>
            <w:vAlign w:val="center"/>
            <w:hideMark/>
          </w:tcPr>
          <w:p w14:paraId="4091906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-9.7%</w:t>
            </w:r>
          </w:p>
        </w:tc>
      </w:tr>
      <w:tr w:rsidR="003E7651" w:rsidRPr="004B3CF1" w14:paraId="570DC146"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30A204E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Administrative cases</w:t>
            </w:r>
          </w:p>
        </w:tc>
        <w:tc>
          <w:tcPr>
            <w:tcW w:w="1239" w:type="dxa"/>
            <w:tcBorders>
              <w:top w:val="nil"/>
              <w:left w:val="nil"/>
              <w:bottom w:val="single" w:sz="8" w:space="0" w:color="A6A6A6"/>
              <w:right w:val="single" w:sz="8" w:space="0" w:color="A6A6A6"/>
            </w:tcBorders>
            <w:shd w:val="clear" w:color="auto" w:fill="auto"/>
            <w:noWrap/>
            <w:vAlign w:val="center"/>
            <w:hideMark/>
          </w:tcPr>
          <w:p w14:paraId="52A1F92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15,271</w:t>
            </w:r>
          </w:p>
        </w:tc>
        <w:tc>
          <w:tcPr>
            <w:tcW w:w="1379" w:type="dxa"/>
            <w:tcBorders>
              <w:top w:val="nil"/>
              <w:left w:val="nil"/>
              <w:bottom w:val="single" w:sz="8" w:space="0" w:color="A6A6A6"/>
              <w:right w:val="single" w:sz="8" w:space="0" w:color="A6A6A6"/>
            </w:tcBorders>
            <w:shd w:val="clear" w:color="auto" w:fill="auto"/>
            <w:noWrap/>
            <w:vAlign w:val="center"/>
            <w:hideMark/>
          </w:tcPr>
          <w:p w14:paraId="2ADFA5E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13,082</w:t>
            </w:r>
          </w:p>
        </w:tc>
        <w:tc>
          <w:tcPr>
            <w:tcW w:w="1340" w:type="dxa"/>
            <w:tcBorders>
              <w:top w:val="nil"/>
              <w:left w:val="nil"/>
              <w:bottom w:val="single" w:sz="8" w:space="0" w:color="A6A6A6"/>
              <w:right w:val="single" w:sz="8" w:space="0" w:color="A6A6A6"/>
            </w:tcBorders>
            <w:shd w:val="clear" w:color="auto" w:fill="auto"/>
            <w:noWrap/>
            <w:vAlign w:val="center"/>
            <w:hideMark/>
          </w:tcPr>
          <w:p w14:paraId="60EC883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-2,189</w:t>
            </w:r>
          </w:p>
        </w:tc>
        <w:tc>
          <w:tcPr>
            <w:tcW w:w="1513" w:type="dxa"/>
            <w:tcBorders>
              <w:top w:val="nil"/>
              <w:left w:val="nil"/>
              <w:bottom w:val="single" w:sz="8" w:space="0" w:color="A6A6A6"/>
              <w:right w:val="single" w:sz="8" w:space="0" w:color="A6A6A6"/>
            </w:tcBorders>
            <w:shd w:val="clear" w:color="auto" w:fill="auto"/>
            <w:noWrap/>
            <w:vAlign w:val="center"/>
            <w:hideMark/>
          </w:tcPr>
          <w:p w14:paraId="6D32F5D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-14.3%</w:t>
            </w:r>
          </w:p>
        </w:tc>
      </w:tr>
      <w:tr w:rsidR="003E7651" w:rsidRPr="004B3CF1" w14:paraId="055D9C6E"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45BC6CA0"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Non-litigation cases</w:t>
            </w:r>
          </w:p>
        </w:tc>
        <w:tc>
          <w:tcPr>
            <w:tcW w:w="1239" w:type="dxa"/>
            <w:tcBorders>
              <w:top w:val="nil"/>
              <w:left w:val="nil"/>
              <w:bottom w:val="single" w:sz="8" w:space="0" w:color="A6A6A6"/>
              <w:right w:val="single" w:sz="8" w:space="0" w:color="A6A6A6"/>
            </w:tcBorders>
            <w:shd w:val="clear" w:color="auto" w:fill="auto"/>
            <w:noWrap/>
            <w:vAlign w:val="center"/>
            <w:hideMark/>
          </w:tcPr>
          <w:p w14:paraId="68A019E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65,561</w:t>
            </w:r>
          </w:p>
        </w:tc>
        <w:tc>
          <w:tcPr>
            <w:tcW w:w="1379" w:type="dxa"/>
            <w:tcBorders>
              <w:top w:val="nil"/>
              <w:left w:val="nil"/>
              <w:bottom w:val="single" w:sz="8" w:space="0" w:color="A6A6A6"/>
              <w:right w:val="single" w:sz="8" w:space="0" w:color="A6A6A6"/>
            </w:tcBorders>
            <w:shd w:val="clear" w:color="auto" w:fill="auto"/>
            <w:noWrap/>
            <w:vAlign w:val="center"/>
            <w:hideMark/>
          </w:tcPr>
          <w:p w14:paraId="610F973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76,398</w:t>
            </w:r>
          </w:p>
        </w:tc>
        <w:tc>
          <w:tcPr>
            <w:tcW w:w="1340" w:type="dxa"/>
            <w:tcBorders>
              <w:top w:val="nil"/>
              <w:left w:val="nil"/>
              <w:bottom w:val="single" w:sz="8" w:space="0" w:color="A6A6A6"/>
              <w:right w:val="single" w:sz="8" w:space="0" w:color="A6A6A6"/>
            </w:tcBorders>
            <w:shd w:val="clear" w:color="auto" w:fill="auto"/>
            <w:noWrap/>
            <w:vAlign w:val="center"/>
            <w:hideMark/>
          </w:tcPr>
          <w:p w14:paraId="2E28744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10,837</w:t>
            </w:r>
          </w:p>
        </w:tc>
        <w:tc>
          <w:tcPr>
            <w:tcW w:w="1513" w:type="dxa"/>
            <w:tcBorders>
              <w:top w:val="nil"/>
              <w:left w:val="nil"/>
              <w:bottom w:val="single" w:sz="8" w:space="0" w:color="A6A6A6"/>
              <w:right w:val="single" w:sz="8" w:space="0" w:color="A6A6A6"/>
            </w:tcBorders>
            <w:shd w:val="clear" w:color="auto" w:fill="auto"/>
            <w:noWrap/>
            <w:vAlign w:val="center"/>
            <w:hideMark/>
          </w:tcPr>
          <w:p w14:paraId="61012E6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16.5%</w:t>
            </w:r>
          </w:p>
        </w:tc>
      </w:tr>
      <w:tr w:rsidR="003E7651" w:rsidRPr="004B3CF1" w14:paraId="2716F695"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7346E33A"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239" w:type="dxa"/>
            <w:tcBorders>
              <w:top w:val="nil"/>
              <w:left w:val="nil"/>
              <w:bottom w:val="single" w:sz="8" w:space="0" w:color="A6A6A6"/>
              <w:right w:val="single" w:sz="8" w:space="0" w:color="A6A6A6"/>
            </w:tcBorders>
            <w:shd w:val="clear" w:color="auto" w:fill="auto"/>
            <w:noWrap/>
            <w:vAlign w:val="center"/>
            <w:hideMark/>
          </w:tcPr>
          <w:p w14:paraId="01881BEA"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303,056</w:t>
            </w:r>
          </w:p>
        </w:tc>
        <w:tc>
          <w:tcPr>
            <w:tcW w:w="1379" w:type="dxa"/>
            <w:tcBorders>
              <w:top w:val="nil"/>
              <w:left w:val="nil"/>
              <w:bottom w:val="single" w:sz="8" w:space="0" w:color="A6A6A6"/>
              <w:right w:val="single" w:sz="8" w:space="0" w:color="A6A6A6"/>
            </w:tcBorders>
            <w:shd w:val="clear" w:color="auto" w:fill="auto"/>
            <w:noWrap/>
            <w:vAlign w:val="center"/>
            <w:hideMark/>
          </w:tcPr>
          <w:p w14:paraId="5DA38C97"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306,861</w:t>
            </w:r>
          </w:p>
        </w:tc>
        <w:tc>
          <w:tcPr>
            <w:tcW w:w="1340" w:type="dxa"/>
            <w:tcBorders>
              <w:top w:val="nil"/>
              <w:left w:val="nil"/>
              <w:bottom w:val="single" w:sz="8" w:space="0" w:color="A6A6A6"/>
              <w:right w:val="single" w:sz="8" w:space="0" w:color="A6A6A6"/>
            </w:tcBorders>
            <w:shd w:val="clear" w:color="auto" w:fill="auto"/>
            <w:noWrap/>
            <w:vAlign w:val="center"/>
            <w:hideMark/>
          </w:tcPr>
          <w:p w14:paraId="6655599E"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3,805</w:t>
            </w:r>
          </w:p>
        </w:tc>
        <w:tc>
          <w:tcPr>
            <w:tcW w:w="1513" w:type="dxa"/>
            <w:tcBorders>
              <w:top w:val="nil"/>
              <w:left w:val="nil"/>
              <w:bottom w:val="single" w:sz="8" w:space="0" w:color="A6A6A6"/>
              <w:right w:val="single" w:sz="8" w:space="0" w:color="A6A6A6"/>
            </w:tcBorders>
            <w:shd w:val="clear" w:color="auto" w:fill="auto"/>
            <w:noWrap/>
            <w:vAlign w:val="center"/>
            <w:hideMark/>
          </w:tcPr>
          <w:p w14:paraId="735BE2C1"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1.3%</w:t>
            </w:r>
          </w:p>
        </w:tc>
      </w:tr>
    </w:tbl>
    <w:p w14:paraId="36FE7E55" w14:textId="77777777" w:rsidR="003E7651" w:rsidRPr="004B3CF1" w:rsidRDefault="003E7651" w:rsidP="003E7651">
      <w:pPr>
        <w:pStyle w:val="3Naslov-tridecimale"/>
        <w:tabs>
          <w:tab w:val="clear" w:pos="1843"/>
          <w:tab w:val="left" w:pos="1260"/>
        </w:tabs>
        <w:spacing w:before="0"/>
        <w:jc w:val="both"/>
        <w:rPr>
          <w:bCs w:val="0"/>
          <w:color w:val="000000"/>
          <w:lang w:eastAsia="bs-Latn-BA"/>
        </w:rPr>
      </w:pPr>
    </w:p>
    <w:p w14:paraId="5C41524D" w14:textId="77777777" w:rsidR="003E7651" w:rsidRPr="004B3CF1" w:rsidRDefault="003E7651" w:rsidP="003E7651">
      <w:pPr>
        <w:pStyle w:val="etvrtinaslov0"/>
      </w:pPr>
      <w:bookmarkStart w:id="208" w:name="_Toc101944275"/>
      <w:bookmarkStart w:id="209" w:name="_Toc112852481"/>
      <w:r w:rsidRPr="004B3CF1">
        <w:t>Influx by case type</w:t>
      </w:r>
      <w:bookmarkEnd w:id="208"/>
      <w:bookmarkEnd w:id="209"/>
    </w:p>
    <w:p w14:paraId="50FF427E" w14:textId="77777777" w:rsidR="003E7651" w:rsidRPr="004B3CF1" w:rsidRDefault="003E7651" w:rsidP="003E7651">
      <w:pPr>
        <w:pStyle w:val="Tekst"/>
      </w:pPr>
      <w:r w:rsidRPr="004B3CF1">
        <w:lastRenderedPageBreak/>
        <w:t>In 2021, there was a rise in influx of all cases, except for administrative cases. So, in 2021, the influx of administrative cases increased by 1.661 cases or 12.5%, while in other types of cases the influx increased between 8.0% and 27.3%.</w:t>
      </w:r>
    </w:p>
    <w:p w14:paraId="6BA6B28A" w14:textId="77777777" w:rsidR="003E7651" w:rsidRPr="004B3CF1" w:rsidRDefault="003E7651" w:rsidP="003E7651">
      <w:pPr>
        <w:pStyle w:val="Tekst"/>
      </w:pPr>
      <w:r w:rsidRPr="004B3CF1">
        <w:t>A significant increase by 18,110 or 27.3% cases was observed in the number of pending non-litigation cases and</w:t>
      </w:r>
      <w:r>
        <w:t xml:space="preserve"> by</w:t>
      </w:r>
      <w:r w:rsidRPr="004B3CF1">
        <w:t xml:space="preserve"> 10,593 or 17.6% in the number of pending enforcement cases. Also, an increase in the 2021 influx compared to the previous year was observed in criminal cases by 6,925 or 12.1%, civil cases by 7,850 or 11.4%, commercial cases by 1,445 or 10.4% and minor offence cases by 4,743 or 8.0%.</w:t>
      </w:r>
    </w:p>
    <w:p w14:paraId="751C3F02" w14:textId="77777777" w:rsidR="003E7651" w:rsidRPr="004B3CF1" w:rsidRDefault="003E7651" w:rsidP="003E7651">
      <w:pPr>
        <w:pStyle w:val="ListParagraph"/>
        <w:spacing w:before="80"/>
        <w:ind w:left="0"/>
        <w:jc w:val="both"/>
        <w:rPr>
          <w:rFonts w:ascii="Arial" w:hAnsi="Arial" w:cs="Arial"/>
        </w:rPr>
      </w:pPr>
    </w:p>
    <w:p w14:paraId="57AA18B3"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9</w:t>
      </w:r>
      <w:r w:rsidR="006D1459">
        <w:fldChar w:fldCharType="end"/>
      </w:r>
      <w:r w:rsidRPr="004B3CF1">
        <w:t>: Case influx in courts- by case type</w:t>
      </w:r>
    </w:p>
    <w:tbl>
      <w:tblPr>
        <w:tblW w:w="8166" w:type="dxa"/>
        <w:tblInd w:w="118" w:type="dxa"/>
        <w:tblLook w:val="04A0" w:firstRow="1" w:lastRow="0" w:firstColumn="1" w:lastColumn="0" w:noHBand="0" w:noVBand="1"/>
      </w:tblPr>
      <w:tblGrid>
        <w:gridCol w:w="2684"/>
        <w:gridCol w:w="1275"/>
        <w:gridCol w:w="1276"/>
        <w:gridCol w:w="1418"/>
        <w:gridCol w:w="1513"/>
      </w:tblGrid>
      <w:tr w:rsidR="003E7651" w:rsidRPr="004B3CF1" w14:paraId="5DACEEB6" w14:textId="77777777" w:rsidTr="003E7651">
        <w:trPr>
          <w:trHeight w:val="675"/>
        </w:trPr>
        <w:tc>
          <w:tcPr>
            <w:tcW w:w="2684"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3382774D"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CASE TYPE</w:t>
            </w:r>
          </w:p>
        </w:tc>
        <w:tc>
          <w:tcPr>
            <w:tcW w:w="2551" w:type="dxa"/>
            <w:gridSpan w:val="2"/>
            <w:tcBorders>
              <w:top w:val="single" w:sz="8" w:space="0" w:color="A6A6A6"/>
              <w:left w:val="nil"/>
              <w:bottom w:val="single" w:sz="8" w:space="0" w:color="A6A6A6"/>
              <w:right w:val="single" w:sz="8" w:space="0" w:color="A6A6A6"/>
            </w:tcBorders>
            <w:shd w:val="clear" w:color="auto" w:fill="auto"/>
            <w:vAlign w:val="center"/>
            <w:hideMark/>
          </w:tcPr>
          <w:p w14:paraId="2F278A82"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Number of received cases</w:t>
            </w:r>
          </w:p>
        </w:tc>
        <w:tc>
          <w:tcPr>
            <w:tcW w:w="1418"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1AF96649"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the number of received cases</w:t>
            </w:r>
          </w:p>
        </w:tc>
        <w:tc>
          <w:tcPr>
            <w:tcW w:w="1513"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6CD5B5D0"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number of received cases in percentages</w:t>
            </w:r>
          </w:p>
        </w:tc>
      </w:tr>
      <w:tr w:rsidR="003E7651" w:rsidRPr="004B3CF1" w14:paraId="4C6B2E4F" w14:textId="77777777" w:rsidTr="003E7651">
        <w:trPr>
          <w:trHeight w:val="633"/>
        </w:trPr>
        <w:tc>
          <w:tcPr>
            <w:tcW w:w="2684" w:type="dxa"/>
            <w:vMerge/>
            <w:tcBorders>
              <w:top w:val="single" w:sz="8" w:space="0" w:color="A6A6A6"/>
              <w:left w:val="single" w:sz="8" w:space="0" w:color="A6A6A6"/>
              <w:bottom w:val="single" w:sz="8" w:space="0" w:color="A6A6A6"/>
              <w:right w:val="single" w:sz="8" w:space="0" w:color="A6A6A6"/>
            </w:tcBorders>
            <w:vAlign w:val="center"/>
            <w:hideMark/>
          </w:tcPr>
          <w:p w14:paraId="4E4EA996"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vAlign w:val="center"/>
            <w:hideMark/>
          </w:tcPr>
          <w:p w14:paraId="3ACCC7CB"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2020</w:t>
            </w:r>
          </w:p>
        </w:tc>
        <w:tc>
          <w:tcPr>
            <w:tcW w:w="1276" w:type="dxa"/>
            <w:tcBorders>
              <w:top w:val="nil"/>
              <w:left w:val="nil"/>
              <w:bottom w:val="single" w:sz="8" w:space="0" w:color="A6A6A6"/>
              <w:right w:val="single" w:sz="8" w:space="0" w:color="A6A6A6"/>
            </w:tcBorders>
            <w:shd w:val="clear" w:color="auto" w:fill="auto"/>
            <w:vAlign w:val="center"/>
            <w:hideMark/>
          </w:tcPr>
          <w:p w14:paraId="5D198A97"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2021</w:t>
            </w:r>
          </w:p>
        </w:tc>
        <w:tc>
          <w:tcPr>
            <w:tcW w:w="1418" w:type="dxa"/>
            <w:vMerge/>
            <w:tcBorders>
              <w:top w:val="single" w:sz="8" w:space="0" w:color="A6A6A6"/>
              <w:left w:val="single" w:sz="8" w:space="0" w:color="A6A6A6"/>
              <w:bottom w:val="single" w:sz="8" w:space="0" w:color="A6A6A6"/>
              <w:right w:val="single" w:sz="8" w:space="0" w:color="A6A6A6"/>
            </w:tcBorders>
            <w:vAlign w:val="center"/>
            <w:hideMark/>
          </w:tcPr>
          <w:p w14:paraId="37E6A683" w14:textId="77777777" w:rsidR="003E7651" w:rsidRPr="004B3CF1" w:rsidRDefault="003E7651" w:rsidP="003E7651">
            <w:pPr>
              <w:rPr>
                <w:rFonts w:ascii="Arial" w:hAnsi="Arial" w:cs="Arial"/>
                <w:color w:val="000000"/>
                <w:sz w:val="22"/>
                <w:szCs w:val="22"/>
              </w:rPr>
            </w:pPr>
          </w:p>
        </w:tc>
        <w:tc>
          <w:tcPr>
            <w:tcW w:w="1513" w:type="dxa"/>
            <w:vMerge/>
            <w:tcBorders>
              <w:top w:val="single" w:sz="8" w:space="0" w:color="A6A6A6"/>
              <w:left w:val="single" w:sz="8" w:space="0" w:color="A6A6A6"/>
              <w:bottom w:val="single" w:sz="8" w:space="0" w:color="A6A6A6"/>
              <w:right w:val="single" w:sz="8" w:space="0" w:color="A6A6A6"/>
            </w:tcBorders>
            <w:vAlign w:val="center"/>
            <w:hideMark/>
          </w:tcPr>
          <w:p w14:paraId="268EB965" w14:textId="77777777" w:rsidR="003E7651" w:rsidRPr="004B3CF1" w:rsidRDefault="003E7651" w:rsidP="003E7651">
            <w:pPr>
              <w:rPr>
                <w:rFonts w:ascii="Arial" w:hAnsi="Arial" w:cs="Arial"/>
                <w:color w:val="000000"/>
                <w:sz w:val="22"/>
                <w:szCs w:val="22"/>
              </w:rPr>
            </w:pPr>
          </w:p>
        </w:tc>
      </w:tr>
      <w:tr w:rsidR="003E7651" w:rsidRPr="004B3CF1" w14:paraId="29B517E3" w14:textId="77777777" w:rsidTr="003E7651">
        <w:trPr>
          <w:trHeight w:val="315"/>
        </w:trPr>
        <w:tc>
          <w:tcPr>
            <w:tcW w:w="2684" w:type="dxa"/>
            <w:vMerge/>
            <w:tcBorders>
              <w:top w:val="single" w:sz="8" w:space="0" w:color="A6A6A6"/>
              <w:left w:val="single" w:sz="8" w:space="0" w:color="A6A6A6"/>
              <w:bottom w:val="single" w:sz="8" w:space="0" w:color="A6A6A6"/>
              <w:right w:val="single" w:sz="8" w:space="0" w:color="A6A6A6"/>
            </w:tcBorders>
            <w:vAlign w:val="center"/>
            <w:hideMark/>
          </w:tcPr>
          <w:p w14:paraId="46DC65A4" w14:textId="77777777" w:rsidR="003E7651" w:rsidRPr="004B3CF1" w:rsidRDefault="003E7651" w:rsidP="003E7651">
            <w:pPr>
              <w:rPr>
                <w:rFonts w:ascii="Arial" w:hAnsi="Arial" w:cs="Arial"/>
                <w:color w:val="000000"/>
                <w:sz w:val="22"/>
                <w:szCs w:val="22"/>
              </w:rPr>
            </w:pPr>
          </w:p>
        </w:tc>
        <w:tc>
          <w:tcPr>
            <w:tcW w:w="1275" w:type="dxa"/>
            <w:tcBorders>
              <w:top w:val="nil"/>
              <w:left w:val="nil"/>
              <w:bottom w:val="single" w:sz="8" w:space="0" w:color="A6A6A6"/>
              <w:right w:val="single" w:sz="8" w:space="0" w:color="A6A6A6"/>
            </w:tcBorders>
            <w:shd w:val="clear" w:color="auto" w:fill="auto"/>
            <w:noWrap/>
            <w:vAlign w:val="center"/>
            <w:hideMark/>
          </w:tcPr>
          <w:p w14:paraId="10340F5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276" w:type="dxa"/>
            <w:tcBorders>
              <w:top w:val="nil"/>
              <w:left w:val="nil"/>
              <w:bottom w:val="single" w:sz="8" w:space="0" w:color="A6A6A6"/>
              <w:right w:val="single" w:sz="8" w:space="0" w:color="A6A6A6"/>
            </w:tcBorders>
            <w:shd w:val="clear" w:color="auto" w:fill="auto"/>
            <w:noWrap/>
            <w:vAlign w:val="center"/>
            <w:hideMark/>
          </w:tcPr>
          <w:p w14:paraId="383DFA8A"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418" w:type="dxa"/>
            <w:tcBorders>
              <w:top w:val="nil"/>
              <w:left w:val="nil"/>
              <w:bottom w:val="single" w:sz="8" w:space="0" w:color="A6A6A6"/>
              <w:right w:val="single" w:sz="8" w:space="0" w:color="A6A6A6"/>
            </w:tcBorders>
            <w:shd w:val="clear" w:color="auto" w:fill="auto"/>
            <w:noWrap/>
            <w:vAlign w:val="center"/>
            <w:hideMark/>
          </w:tcPr>
          <w:p w14:paraId="3CC149D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III = II - I</w:t>
            </w:r>
          </w:p>
        </w:tc>
        <w:tc>
          <w:tcPr>
            <w:tcW w:w="1513" w:type="dxa"/>
            <w:tcBorders>
              <w:top w:val="nil"/>
              <w:left w:val="nil"/>
              <w:bottom w:val="single" w:sz="8" w:space="0" w:color="A6A6A6"/>
              <w:right w:val="single" w:sz="8" w:space="0" w:color="A6A6A6"/>
            </w:tcBorders>
            <w:shd w:val="clear" w:color="auto" w:fill="auto"/>
            <w:noWrap/>
            <w:vAlign w:val="center"/>
            <w:hideMark/>
          </w:tcPr>
          <w:p w14:paraId="5E3B72EF"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IV = II / I</w:t>
            </w:r>
          </w:p>
        </w:tc>
      </w:tr>
      <w:tr w:rsidR="003E7651" w:rsidRPr="004B3CF1" w14:paraId="401A7390"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236229DF"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Civil cases</w:t>
            </w:r>
          </w:p>
        </w:tc>
        <w:tc>
          <w:tcPr>
            <w:tcW w:w="1275" w:type="dxa"/>
            <w:tcBorders>
              <w:top w:val="nil"/>
              <w:left w:val="nil"/>
              <w:bottom w:val="single" w:sz="8" w:space="0" w:color="A6A6A6"/>
              <w:right w:val="single" w:sz="8" w:space="0" w:color="A6A6A6"/>
            </w:tcBorders>
            <w:shd w:val="clear" w:color="auto" w:fill="auto"/>
            <w:noWrap/>
            <w:vAlign w:val="center"/>
            <w:hideMark/>
          </w:tcPr>
          <w:p w14:paraId="07ED11A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68,671</w:t>
            </w:r>
          </w:p>
        </w:tc>
        <w:tc>
          <w:tcPr>
            <w:tcW w:w="1276" w:type="dxa"/>
            <w:tcBorders>
              <w:top w:val="nil"/>
              <w:left w:val="nil"/>
              <w:bottom w:val="single" w:sz="8" w:space="0" w:color="A6A6A6"/>
              <w:right w:val="single" w:sz="8" w:space="0" w:color="A6A6A6"/>
            </w:tcBorders>
            <w:shd w:val="clear" w:color="auto" w:fill="auto"/>
            <w:noWrap/>
            <w:vAlign w:val="center"/>
            <w:hideMark/>
          </w:tcPr>
          <w:p w14:paraId="2CCAEBA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76,521</w:t>
            </w:r>
          </w:p>
        </w:tc>
        <w:tc>
          <w:tcPr>
            <w:tcW w:w="1418" w:type="dxa"/>
            <w:tcBorders>
              <w:top w:val="nil"/>
              <w:left w:val="nil"/>
              <w:bottom w:val="single" w:sz="8" w:space="0" w:color="A6A6A6"/>
              <w:right w:val="single" w:sz="8" w:space="0" w:color="A6A6A6"/>
            </w:tcBorders>
            <w:shd w:val="clear" w:color="auto" w:fill="auto"/>
            <w:noWrap/>
            <w:vAlign w:val="center"/>
            <w:hideMark/>
          </w:tcPr>
          <w:p w14:paraId="7FBEC05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7,850</w:t>
            </w:r>
          </w:p>
        </w:tc>
        <w:tc>
          <w:tcPr>
            <w:tcW w:w="1513" w:type="dxa"/>
            <w:tcBorders>
              <w:top w:val="nil"/>
              <w:left w:val="nil"/>
              <w:bottom w:val="single" w:sz="8" w:space="0" w:color="A6A6A6"/>
              <w:right w:val="single" w:sz="8" w:space="0" w:color="A6A6A6"/>
            </w:tcBorders>
            <w:shd w:val="clear" w:color="auto" w:fill="auto"/>
            <w:noWrap/>
            <w:vAlign w:val="center"/>
            <w:hideMark/>
          </w:tcPr>
          <w:p w14:paraId="53E62B5D"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11.4%</w:t>
            </w:r>
          </w:p>
        </w:tc>
      </w:tr>
      <w:tr w:rsidR="003E7651" w:rsidRPr="004B3CF1" w14:paraId="705ED66B"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51D040E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Enforcement cases</w:t>
            </w:r>
          </w:p>
        </w:tc>
        <w:tc>
          <w:tcPr>
            <w:tcW w:w="1275" w:type="dxa"/>
            <w:tcBorders>
              <w:top w:val="nil"/>
              <w:left w:val="nil"/>
              <w:bottom w:val="single" w:sz="8" w:space="0" w:color="A6A6A6"/>
              <w:right w:val="single" w:sz="8" w:space="0" w:color="A6A6A6"/>
            </w:tcBorders>
            <w:shd w:val="clear" w:color="auto" w:fill="auto"/>
            <w:noWrap/>
            <w:vAlign w:val="center"/>
            <w:hideMark/>
          </w:tcPr>
          <w:p w14:paraId="3D57368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60,064</w:t>
            </w:r>
          </w:p>
        </w:tc>
        <w:tc>
          <w:tcPr>
            <w:tcW w:w="1276" w:type="dxa"/>
            <w:tcBorders>
              <w:top w:val="nil"/>
              <w:left w:val="nil"/>
              <w:bottom w:val="single" w:sz="8" w:space="0" w:color="A6A6A6"/>
              <w:right w:val="single" w:sz="8" w:space="0" w:color="A6A6A6"/>
            </w:tcBorders>
            <w:shd w:val="clear" w:color="auto" w:fill="auto"/>
            <w:noWrap/>
            <w:vAlign w:val="center"/>
            <w:hideMark/>
          </w:tcPr>
          <w:p w14:paraId="55D4045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70,657</w:t>
            </w:r>
          </w:p>
        </w:tc>
        <w:tc>
          <w:tcPr>
            <w:tcW w:w="1418" w:type="dxa"/>
            <w:tcBorders>
              <w:top w:val="nil"/>
              <w:left w:val="nil"/>
              <w:bottom w:val="single" w:sz="8" w:space="0" w:color="A6A6A6"/>
              <w:right w:val="single" w:sz="8" w:space="0" w:color="A6A6A6"/>
            </w:tcBorders>
            <w:shd w:val="clear" w:color="auto" w:fill="auto"/>
            <w:noWrap/>
            <w:vAlign w:val="center"/>
            <w:hideMark/>
          </w:tcPr>
          <w:p w14:paraId="41B6ED3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10,593</w:t>
            </w:r>
          </w:p>
        </w:tc>
        <w:tc>
          <w:tcPr>
            <w:tcW w:w="1513" w:type="dxa"/>
            <w:tcBorders>
              <w:top w:val="nil"/>
              <w:left w:val="nil"/>
              <w:bottom w:val="single" w:sz="8" w:space="0" w:color="A6A6A6"/>
              <w:right w:val="single" w:sz="8" w:space="0" w:color="A6A6A6"/>
            </w:tcBorders>
            <w:shd w:val="clear" w:color="auto" w:fill="auto"/>
            <w:noWrap/>
            <w:vAlign w:val="center"/>
            <w:hideMark/>
          </w:tcPr>
          <w:p w14:paraId="21B6797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17.6%</w:t>
            </w:r>
          </w:p>
        </w:tc>
      </w:tr>
      <w:tr w:rsidR="003E7651" w:rsidRPr="004B3CF1" w14:paraId="62AC42CA"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0154C14F"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Criminal cases</w:t>
            </w:r>
          </w:p>
        </w:tc>
        <w:tc>
          <w:tcPr>
            <w:tcW w:w="1275" w:type="dxa"/>
            <w:tcBorders>
              <w:top w:val="nil"/>
              <w:left w:val="nil"/>
              <w:bottom w:val="single" w:sz="8" w:space="0" w:color="A6A6A6"/>
              <w:right w:val="single" w:sz="8" w:space="0" w:color="A6A6A6"/>
            </w:tcBorders>
            <w:shd w:val="clear" w:color="auto" w:fill="auto"/>
            <w:noWrap/>
            <w:vAlign w:val="center"/>
            <w:hideMark/>
          </w:tcPr>
          <w:p w14:paraId="2B889FAF"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57,053</w:t>
            </w:r>
          </w:p>
        </w:tc>
        <w:tc>
          <w:tcPr>
            <w:tcW w:w="1276" w:type="dxa"/>
            <w:tcBorders>
              <w:top w:val="nil"/>
              <w:left w:val="nil"/>
              <w:bottom w:val="single" w:sz="8" w:space="0" w:color="A6A6A6"/>
              <w:right w:val="single" w:sz="8" w:space="0" w:color="A6A6A6"/>
            </w:tcBorders>
            <w:shd w:val="clear" w:color="auto" w:fill="auto"/>
            <w:noWrap/>
            <w:vAlign w:val="center"/>
            <w:hideMark/>
          </w:tcPr>
          <w:p w14:paraId="3362C7F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63,978</w:t>
            </w:r>
          </w:p>
        </w:tc>
        <w:tc>
          <w:tcPr>
            <w:tcW w:w="1418" w:type="dxa"/>
            <w:tcBorders>
              <w:top w:val="nil"/>
              <w:left w:val="nil"/>
              <w:bottom w:val="single" w:sz="8" w:space="0" w:color="A6A6A6"/>
              <w:right w:val="single" w:sz="8" w:space="0" w:color="A6A6A6"/>
            </w:tcBorders>
            <w:shd w:val="clear" w:color="auto" w:fill="auto"/>
            <w:noWrap/>
            <w:vAlign w:val="center"/>
            <w:hideMark/>
          </w:tcPr>
          <w:p w14:paraId="6F9DB6A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6,925</w:t>
            </w:r>
          </w:p>
        </w:tc>
        <w:tc>
          <w:tcPr>
            <w:tcW w:w="1513" w:type="dxa"/>
            <w:tcBorders>
              <w:top w:val="nil"/>
              <w:left w:val="nil"/>
              <w:bottom w:val="single" w:sz="8" w:space="0" w:color="A6A6A6"/>
              <w:right w:val="single" w:sz="8" w:space="0" w:color="A6A6A6"/>
            </w:tcBorders>
            <w:shd w:val="clear" w:color="auto" w:fill="auto"/>
            <w:noWrap/>
            <w:vAlign w:val="center"/>
            <w:hideMark/>
          </w:tcPr>
          <w:p w14:paraId="10748F5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12.1%</w:t>
            </w:r>
          </w:p>
        </w:tc>
      </w:tr>
      <w:tr w:rsidR="003E7651" w:rsidRPr="004B3CF1" w14:paraId="6546F8B9"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058B2A16"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Minor offence cases</w:t>
            </w:r>
          </w:p>
        </w:tc>
        <w:tc>
          <w:tcPr>
            <w:tcW w:w="1275" w:type="dxa"/>
            <w:tcBorders>
              <w:top w:val="nil"/>
              <w:left w:val="nil"/>
              <w:bottom w:val="single" w:sz="8" w:space="0" w:color="A6A6A6"/>
              <w:right w:val="single" w:sz="8" w:space="0" w:color="A6A6A6"/>
            </w:tcBorders>
            <w:shd w:val="clear" w:color="auto" w:fill="auto"/>
            <w:noWrap/>
            <w:vAlign w:val="center"/>
            <w:hideMark/>
          </w:tcPr>
          <w:p w14:paraId="46DA3448"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59,367</w:t>
            </w:r>
          </w:p>
        </w:tc>
        <w:tc>
          <w:tcPr>
            <w:tcW w:w="1276" w:type="dxa"/>
            <w:tcBorders>
              <w:top w:val="nil"/>
              <w:left w:val="nil"/>
              <w:bottom w:val="single" w:sz="8" w:space="0" w:color="A6A6A6"/>
              <w:right w:val="single" w:sz="8" w:space="0" w:color="A6A6A6"/>
            </w:tcBorders>
            <w:shd w:val="clear" w:color="auto" w:fill="auto"/>
            <w:noWrap/>
            <w:vAlign w:val="center"/>
            <w:hideMark/>
          </w:tcPr>
          <w:p w14:paraId="3C14810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64,110</w:t>
            </w:r>
          </w:p>
        </w:tc>
        <w:tc>
          <w:tcPr>
            <w:tcW w:w="1418" w:type="dxa"/>
            <w:tcBorders>
              <w:top w:val="nil"/>
              <w:left w:val="nil"/>
              <w:bottom w:val="single" w:sz="8" w:space="0" w:color="A6A6A6"/>
              <w:right w:val="single" w:sz="8" w:space="0" w:color="A6A6A6"/>
            </w:tcBorders>
            <w:shd w:val="clear" w:color="auto" w:fill="auto"/>
            <w:noWrap/>
            <w:vAlign w:val="center"/>
            <w:hideMark/>
          </w:tcPr>
          <w:p w14:paraId="79A6BF5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4,743</w:t>
            </w:r>
          </w:p>
        </w:tc>
        <w:tc>
          <w:tcPr>
            <w:tcW w:w="1513" w:type="dxa"/>
            <w:tcBorders>
              <w:top w:val="nil"/>
              <w:left w:val="nil"/>
              <w:bottom w:val="single" w:sz="8" w:space="0" w:color="A6A6A6"/>
              <w:right w:val="single" w:sz="8" w:space="0" w:color="A6A6A6"/>
            </w:tcBorders>
            <w:shd w:val="clear" w:color="auto" w:fill="auto"/>
            <w:noWrap/>
            <w:vAlign w:val="center"/>
            <w:hideMark/>
          </w:tcPr>
          <w:p w14:paraId="0D071F43"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8.0%</w:t>
            </w:r>
          </w:p>
        </w:tc>
      </w:tr>
      <w:tr w:rsidR="003E7651" w:rsidRPr="004B3CF1" w14:paraId="3DD29611"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6EC0B190"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Commercial cases</w:t>
            </w:r>
          </w:p>
        </w:tc>
        <w:tc>
          <w:tcPr>
            <w:tcW w:w="1275" w:type="dxa"/>
            <w:tcBorders>
              <w:top w:val="nil"/>
              <w:left w:val="nil"/>
              <w:bottom w:val="single" w:sz="8" w:space="0" w:color="A6A6A6"/>
              <w:right w:val="single" w:sz="8" w:space="0" w:color="A6A6A6"/>
            </w:tcBorders>
            <w:shd w:val="clear" w:color="auto" w:fill="auto"/>
            <w:noWrap/>
            <w:vAlign w:val="center"/>
            <w:hideMark/>
          </w:tcPr>
          <w:p w14:paraId="7168D1C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13,867</w:t>
            </w:r>
          </w:p>
        </w:tc>
        <w:tc>
          <w:tcPr>
            <w:tcW w:w="1276" w:type="dxa"/>
            <w:tcBorders>
              <w:top w:val="nil"/>
              <w:left w:val="nil"/>
              <w:bottom w:val="single" w:sz="8" w:space="0" w:color="A6A6A6"/>
              <w:right w:val="single" w:sz="8" w:space="0" w:color="A6A6A6"/>
            </w:tcBorders>
            <w:shd w:val="clear" w:color="auto" w:fill="auto"/>
            <w:noWrap/>
            <w:vAlign w:val="center"/>
            <w:hideMark/>
          </w:tcPr>
          <w:p w14:paraId="5D44B1DB"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15,312</w:t>
            </w:r>
          </w:p>
        </w:tc>
        <w:tc>
          <w:tcPr>
            <w:tcW w:w="1418" w:type="dxa"/>
            <w:tcBorders>
              <w:top w:val="nil"/>
              <w:left w:val="nil"/>
              <w:bottom w:val="single" w:sz="8" w:space="0" w:color="A6A6A6"/>
              <w:right w:val="single" w:sz="8" w:space="0" w:color="A6A6A6"/>
            </w:tcBorders>
            <w:shd w:val="clear" w:color="auto" w:fill="auto"/>
            <w:noWrap/>
            <w:vAlign w:val="center"/>
            <w:hideMark/>
          </w:tcPr>
          <w:p w14:paraId="2F68146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1,445</w:t>
            </w:r>
          </w:p>
        </w:tc>
        <w:tc>
          <w:tcPr>
            <w:tcW w:w="1513" w:type="dxa"/>
            <w:tcBorders>
              <w:top w:val="nil"/>
              <w:left w:val="nil"/>
              <w:bottom w:val="single" w:sz="8" w:space="0" w:color="A6A6A6"/>
              <w:right w:val="single" w:sz="8" w:space="0" w:color="A6A6A6"/>
            </w:tcBorders>
            <w:shd w:val="clear" w:color="auto" w:fill="auto"/>
            <w:noWrap/>
            <w:vAlign w:val="center"/>
            <w:hideMark/>
          </w:tcPr>
          <w:p w14:paraId="46E4425C"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10.4%</w:t>
            </w:r>
          </w:p>
        </w:tc>
      </w:tr>
      <w:tr w:rsidR="003E7651" w:rsidRPr="004B3CF1" w14:paraId="4531C51C"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52D3F16D"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Administrative cases</w:t>
            </w:r>
          </w:p>
        </w:tc>
        <w:tc>
          <w:tcPr>
            <w:tcW w:w="1275" w:type="dxa"/>
            <w:tcBorders>
              <w:top w:val="nil"/>
              <w:left w:val="nil"/>
              <w:bottom w:val="single" w:sz="8" w:space="0" w:color="A6A6A6"/>
              <w:right w:val="single" w:sz="8" w:space="0" w:color="A6A6A6"/>
            </w:tcBorders>
            <w:shd w:val="clear" w:color="auto" w:fill="auto"/>
            <w:noWrap/>
            <w:vAlign w:val="center"/>
            <w:hideMark/>
          </w:tcPr>
          <w:p w14:paraId="27E1C7FA"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13,297</w:t>
            </w:r>
          </w:p>
        </w:tc>
        <w:tc>
          <w:tcPr>
            <w:tcW w:w="1276" w:type="dxa"/>
            <w:tcBorders>
              <w:top w:val="nil"/>
              <w:left w:val="nil"/>
              <w:bottom w:val="single" w:sz="8" w:space="0" w:color="A6A6A6"/>
              <w:right w:val="single" w:sz="8" w:space="0" w:color="A6A6A6"/>
            </w:tcBorders>
            <w:shd w:val="clear" w:color="auto" w:fill="auto"/>
            <w:noWrap/>
            <w:vAlign w:val="center"/>
            <w:hideMark/>
          </w:tcPr>
          <w:p w14:paraId="1BC19272"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11,636</w:t>
            </w:r>
          </w:p>
        </w:tc>
        <w:tc>
          <w:tcPr>
            <w:tcW w:w="1418" w:type="dxa"/>
            <w:tcBorders>
              <w:top w:val="nil"/>
              <w:left w:val="nil"/>
              <w:bottom w:val="single" w:sz="8" w:space="0" w:color="A6A6A6"/>
              <w:right w:val="single" w:sz="8" w:space="0" w:color="A6A6A6"/>
            </w:tcBorders>
            <w:shd w:val="clear" w:color="auto" w:fill="auto"/>
            <w:noWrap/>
            <w:vAlign w:val="center"/>
            <w:hideMark/>
          </w:tcPr>
          <w:p w14:paraId="6C1BE3F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-1,661</w:t>
            </w:r>
          </w:p>
        </w:tc>
        <w:tc>
          <w:tcPr>
            <w:tcW w:w="1513" w:type="dxa"/>
            <w:tcBorders>
              <w:top w:val="nil"/>
              <w:left w:val="nil"/>
              <w:bottom w:val="single" w:sz="8" w:space="0" w:color="A6A6A6"/>
              <w:right w:val="single" w:sz="8" w:space="0" w:color="A6A6A6"/>
            </w:tcBorders>
            <w:shd w:val="clear" w:color="auto" w:fill="auto"/>
            <w:noWrap/>
            <w:vAlign w:val="center"/>
            <w:hideMark/>
          </w:tcPr>
          <w:p w14:paraId="0505A905"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-12.5%</w:t>
            </w:r>
          </w:p>
        </w:tc>
      </w:tr>
      <w:tr w:rsidR="003E7651" w:rsidRPr="004B3CF1" w14:paraId="7BA4F007"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2163A807"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Non-litigation cases</w:t>
            </w:r>
          </w:p>
        </w:tc>
        <w:tc>
          <w:tcPr>
            <w:tcW w:w="1275" w:type="dxa"/>
            <w:tcBorders>
              <w:top w:val="nil"/>
              <w:left w:val="nil"/>
              <w:bottom w:val="single" w:sz="8" w:space="0" w:color="A6A6A6"/>
              <w:right w:val="single" w:sz="8" w:space="0" w:color="A6A6A6"/>
            </w:tcBorders>
            <w:shd w:val="clear" w:color="auto" w:fill="auto"/>
            <w:noWrap/>
            <w:vAlign w:val="center"/>
            <w:hideMark/>
          </w:tcPr>
          <w:p w14:paraId="0731DAC1"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66,352</w:t>
            </w:r>
          </w:p>
        </w:tc>
        <w:tc>
          <w:tcPr>
            <w:tcW w:w="1276" w:type="dxa"/>
            <w:tcBorders>
              <w:top w:val="nil"/>
              <w:left w:val="nil"/>
              <w:bottom w:val="single" w:sz="8" w:space="0" w:color="A6A6A6"/>
              <w:right w:val="single" w:sz="8" w:space="0" w:color="A6A6A6"/>
            </w:tcBorders>
            <w:shd w:val="clear" w:color="auto" w:fill="auto"/>
            <w:noWrap/>
            <w:vAlign w:val="center"/>
            <w:hideMark/>
          </w:tcPr>
          <w:p w14:paraId="1EA1D929"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84,462</w:t>
            </w:r>
          </w:p>
        </w:tc>
        <w:tc>
          <w:tcPr>
            <w:tcW w:w="1418" w:type="dxa"/>
            <w:tcBorders>
              <w:top w:val="nil"/>
              <w:left w:val="nil"/>
              <w:bottom w:val="single" w:sz="8" w:space="0" w:color="A6A6A6"/>
              <w:right w:val="single" w:sz="8" w:space="0" w:color="A6A6A6"/>
            </w:tcBorders>
            <w:shd w:val="clear" w:color="auto" w:fill="auto"/>
            <w:noWrap/>
            <w:vAlign w:val="center"/>
            <w:hideMark/>
          </w:tcPr>
          <w:p w14:paraId="4214B277"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18,110</w:t>
            </w:r>
          </w:p>
        </w:tc>
        <w:tc>
          <w:tcPr>
            <w:tcW w:w="1513" w:type="dxa"/>
            <w:tcBorders>
              <w:top w:val="nil"/>
              <w:left w:val="nil"/>
              <w:bottom w:val="single" w:sz="8" w:space="0" w:color="A6A6A6"/>
              <w:right w:val="single" w:sz="8" w:space="0" w:color="A6A6A6"/>
            </w:tcBorders>
            <w:shd w:val="clear" w:color="auto" w:fill="auto"/>
            <w:noWrap/>
            <w:vAlign w:val="center"/>
            <w:hideMark/>
          </w:tcPr>
          <w:p w14:paraId="2F0F5E64" w14:textId="77777777" w:rsidR="003E7651" w:rsidRPr="004B3CF1" w:rsidRDefault="003E7651" w:rsidP="003E7651">
            <w:pPr>
              <w:autoSpaceDE w:val="0"/>
              <w:autoSpaceDN w:val="0"/>
              <w:adjustRightInd w:val="0"/>
              <w:jc w:val="right"/>
              <w:rPr>
                <w:rFonts w:ascii="Arial" w:hAnsi="Arial" w:cs="Arial"/>
                <w:sz w:val="22"/>
                <w:szCs w:val="22"/>
              </w:rPr>
            </w:pPr>
            <w:r w:rsidRPr="004B3CF1">
              <w:rPr>
                <w:rFonts w:ascii="Arial" w:hAnsi="Arial"/>
                <w:sz w:val="22"/>
                <w:szCs w:val="22"/>
              </w:rPr>
              <w:t>27.3%</w:t>
            </w:r>
          </w:p>
        </w:tc>
      </w:tr>
      <w:tr w:rsidR="003E7651" w:rsidRPr="004B3CF1" w14:paraId="0563B297" w14:textId="77777777" w:rsidTr="003E7651">
        <w:trPr>
          <w:trHeight w:val="315"/>
        </w:trPr>
        <w:tc>
          <w:tcPr>
            <w:tcW w:w="2684" w:type="dxa"/>
            <w:tcBorders>
              <w:top w:val="nil"/>
              <w:left w:val="single" w:sz="8" w:space="0" w:color="A6A6A6"/>
              <w:bottom w:val="single" w:sz="8" w:space="0" w:color="A6A6A6"/>
              <w:right w:val="single" w:sz="8" w:space="0" w:color="A6A6A6"/>
            </w:tcBorders>
            <w:shd w:val="clear" w:color="auto" w:fill="auto"/>
            <w:noWrap/>
            <w:vAlign w:val="center"/>
            <w:hideMark/>
          </w:tcPr>
          <w:p w14:paraId="0199243F"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275" w:type="dxa"/>
            <w:tcBorders>
              <w:top w:val="nil"/>
              <w:left w:val="nil"/>
              <w:bottom w:val="single" w:sz="8" w:space="0" w:color="A6A6A6"/>
              <w:right w:val="single" w:sz="8" w:space="0" w:color="A6A6A6"/>
            </w:tcBorders>
            <w:shd w:val="clear" w:color="auto" w:fill="auto"/>
            <w:noWrap/>
            <w:vAlign w:val="center"/>
            <w:hideMark/>
          </w:tcPr>
          <w:p w14:paraId="6B104759"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338,671</w:t>
            </w:r>
          </w:p>
        </w:tc>
        <w:tc>
          <w:tcPr>
            <w:tcW w:w="1276" w:type="dxa"/>
            <w:tcBorders>
              <w:top w:val="nil"/>
              <w:left w:val="nil"/>
              <w:bottom w:val="single" w:sz="8" w:space="0" w:color="A6A6A6"/>
              <w:right w:val="single" w:sz="8" w:space="0" w:color="A6A6A6"/>
            </w:tcBorders>
            <w:shd w:val="clear" w:color="auto" w:fill="auto"/>
            <w:noWrap/>
            <w:vAlign w:val="center"/>
            <w:hideMark/>
          </w:tcPr>
          <w:p w14:paraId="6A8DFF97"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386,676</w:t>
            </w:r>
          </w:p>
        </w:tc>
        <w:tc>
          <w:tcPr>
            <w:tcW w:w="1418" w:type="dxa"/>
            <w:tcBorders>
              <w:top w:val="nil"/>
              <w:left w:val="nil"/>
              <w:bottom w:val="single" w:sz="8" w:space="0" w:color="A6A6A6"/>
              <w:right w:val="single" w:sz="8" w:space="0" w:color="A6A6A6"/>
            </w:tcBorders>
            <w:shd w:val="clear" w:color="auto" w:fill="auto"/>
            <w:noWrap/>
            <w:vAlign w:val="center"/>
            <w:hideMark/>
          </w:tcPr>
          <w:p w14:paraId="64933C90"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48,005</w:t>
            </w:r>
          </w:p>
        </w:tc>
        <w:tc>
          <w:tcPr>
            <w:tcW w:w="1513" w:type="dxa"/>
            <w:tcBorders>
              <w:top w:val="nil"/>
              <w:left w:val="nil"/>
              <w:bottom w:val="single" w:sz="8" w:space="0" w:color="A6A6A6"/>
              <w:right w:val="single" w:sz="8" w:space="0" w:color="A6A6A6"/>
            </w:tcBorders>
            <w:shd w:val="clear" w:color="auto" w:fill="auto"/>
            <w:noWrap/>
            <w:vAlign w:val="center"/>
            <w:hideMark/>
          </w:tcPr>
          <w:p w14:paraId="7F87520D" w14:textId="77777777" w:rsidR="003E7651" w:rsidRPr="004B3CF1" w:rsidRDefault="003E7651" w:rsidP="003E7651">
            <w:pPr>
              <w:autoSpaceDE w:val="0"/>
              <w:autoSpaceDN w:val="0"/>
              <w:adjustRightInd w:val="0"/>
              <w:jc w:val="right"/>
              <w:rPr>
                <w:rFonts w:ascii="Arial" w:hAnsi="Arial" w:cs="Arial"/>
                <w:b/>
                <w:bCs/>
                <w:sz w:val="22"/>
                <w:szCs w:val="22"/>
              </w:rPr>
            </w:pPr>
            <w:r w:rsidRPr="004B3CF1">
              <w:rPr>
                <w:rFonts w:ascii="Arial" w:hAnsi="Arial"/>
                <w:b/>
                <w:bCs/>
                <w:sz w:val="22"/>
                <w:szCs w:val="22"/>
              </w:rPr>
              <w:t>14.2%</w:t>
            </w:r>
          </w:p>
        </w:tc>
      </w:tr>
    </w:tbl>
    <w:p w14:paraId="5CC6F3B1" w14:textId="77777777" w:rsidR="003E7651" w:rsidRPr="004B3CF1" w:rsidRDefault="003E7651" w:rsidP="003E7651">
      <w:pPr>
        <w:pStyle w:val="ListParagraph"/>
        <w:spacing w:before="80"/>
        <w:ind w:left="0"/>
        <w:jc w:val="both"/>
        <w:rPr>
          <w:rFonts w:ascii="Arial" w:hAnsi="Arial" w:cs="Arial"/>
          <w:b/>
          <w:bCs/>
          <w:color w:val="000000"/>
          <w:lang w:eastAsia="bs-Latn-BA"/>
        </w:rPr>
      </w:pPr>
    </w:p>
    <w:p w14:paraId="577FA6EA" w14:textId="77777777" w:rsidR="003E7651" w:rsidRPr="004B3CF1" w:rsidRDefault="003E7651" w:rsidP="003E7651">
      <w:pPr>
        <w:pStyle w:val="etvrtinaslov0"/>
      </w:pPr>
      <w:bookmarkStart w:id="210" w:name="_Toc101944276"/>
      <w:bookmarkStart w:id="211" w:name="_Toc112852482"/>
      <w:r w:rsidRPr="004B3CF1">
        <w:t>Completed cases by type</w:t>
      </w:r>
      <w:bookmarkEnd w:id="210"/>
      <w:bookmarkEnd w:id="211"/>
    </w:p>
    <w:p w14:paraId="57334223" w14:textId="77777777" w:rsidR="003E7651" w:rsidRPr="004B3CF1" w:rsidRDefault="003E7651" w:rsidP="003E7651">
      <w:pPr>
        <w:pStyle w:val="Tekst"/>
      </w:pPr>
      <w:r w:rsidRPr="004B3CF1">
        <w:t xml:space="preserve">Compared to 2020, in 2021 the courts completed more cases of all types. A significant increase by 16,650 cases or 29.2% completed cases was observed in non-litigation cases, followed </w:t>
      </w:r>
      <w:r>
        <w:t xml:space="preserve">by 15,386 or 26.1% enforcement </w:t>
      </w:r>
      <w:r w:rsidRPr="004B3CF1">
        <w:t xml:space="preserve">and 12,712 </w:t>
      </w:r>
      <w:r>
        <w:t xml:space="preserve">or 26.6% minor offence cases. </w:t>
      </w:r>
      <w:r w:rsidRPr="004B3CF1">
        <w:t xml:space="preserve">The percentage increase in the number of completed other types of cases ranges from 7.5% to 11.8%. </w:t>
      </w:r>
    </w:p>
    <w:p w14:paraId="647D1E77" w14:textId="77777777" w:rsidR="003E7651" w:rsidRPr="004B3CF1" w:rsidRDefault="003E7651" w:rsidP="003E7651">
      <w:pPr>
        <w:pStyle w:val="ListParagraph"/>
        <w:spacing w:before="80"/>
        <w:ind w:left="0"/>
        <w:jc w:val="both"/>
        <w:rPr>
          <w:rFonts w:ascii="Arial" w:hAnsi="Arial" w:cs="Arial"/>
        </w:rPr>
      </w:pPr>
    </w:p>
    <w:p w14:paraId="2F06AEB2" w14:textId="77777777" w:rsidR="003E7651" w:rsidRPr="004B3CF1" w:rsidRDefault="003E7651" w:rsidP="003E7651">
      <w:pPr>
        <w:rPr>
          <w:rFonts w:ascii="Arial" w:hAnsi="Arial"/>
          <w:b/>
          <w:bCs/>
          <w:sz w:val="20"/>
          <w:szCs w:val="20"/>
        </w:rPr>
      </w:pPr>
      <w:r w:rsidRPr="004B3CF1">
        <w:br w:type="page"/>
      </w:r>
    </w:p>
    <w:p w14:paraId="2E68B8FC" w14:textId="77777777" w:rsidR="003E7651" w:rsidRPr="004B3CF1" w:rsidRDefault="003E7651" w:rsidP="003E7651">
      <w:pPr>
        <w:pStyle w:val="Caption"/>
      </w:pPr>
      <w:r w:rsidRPr="004B3CF1">
        <w:lastRenderedPageBreak/>
        <w:t xml:space="preserve">Table </w:t>
      </w:r>
      <w:r w:rsidR="006D1459">
        <w:fldChar w:fldCharType="begin"/>
      </w:r>
      <w:r w:rsidR="006D1459">
        <w:instrText xml:space="preserve"> SEQ Tablica \* ARABIC </w:instrText>
      </w:r>
      <w:r w:rsidR="006D1459">
        <w:fldChar w:fldCharType="separate"/>
      </w:r>
      <w:r w:rsidRPr="004B3CF1">
        <w:t>10</w:t>
      </w:r>
      <w:r w:rsidR="006D1459">
        <w:fldChar w:fldCharType="end"/>
      </w:r>
      <w:r w:rsidRPr="004B3CF1">
        <w:t>: The number of completed cases- by case type</w:t>
      </w:r>
    </w:p>
    <w:tbl>
      <w:tblPr>
        <w:tblW w:w="8212" w:type="dxa"/>
        <w:tblInd w:w="118" w:type="dxa"/>
        <w:tblLook w:val="04A0" w:firstRow="1" w:lastRow="0" w:firstColumn="1" w:lastColumn="0" w:noHBand="0" w:noVBand="1"/>
      </w:tblPr>
      <w:tblGrid>
        <w:gridCol w:w="2720"/>
        <w:gridCol w:w="1120"/>
        <w:gridCol w:w="1395"/>
        <w:gridCol w:w="1418"/>
        <w:gridCol w:w="1559"/>
      </w:tblGrid>
      <w:tr w:rsidR="003E7651" w:rsidRPr="004B3CF1" w14:paraId="581B081D" w14:textId="77777777" w:rsidTr="003E7651">
        <w:trPr>
          <w:trHeight w:val="799"/>
        </w:trPr>
        <w:tc>
          <w:tcPr>
            <w:tcW w:w="2720"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028D589E"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CASE TYPE</w:t>
            </w:r>
          </w:p>
        </w:tc>
        <w:tc>
          <w:tcPr>
            <w:tcW w:w="2515" w:type="dxa"/>
            <w:gridSpan w:val="2"/>
            <w:tcBorders>
              <w:top w:val="single" w:sz="8" w:space="0" w:color="A6A6A6"/>
              <w:left w:val="nil"/>
              <w:bottom w:val="single" w:sz="8" w:space="0" w:color="A6A6A6"/>
              <w:right w:val="single" w:sz="8" w:space="0" w:color="A6A6A6"/>
            </w:tcBorders>
            <w:shd w:val="clear" w:color="auto" w:fill="auto"/>
            <w:vAlign w:val="center"/>
            <w:hideMark/>
          </w:tcPr>
          <w:p w14:paraId="038D5A4D"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Number of completed cases</w:t>
            </w:r>
          </w:p>
        </w:tc>
        <w:tc>
          <w:tcPr>
            <w:tcW w:w="1418"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60CDF897"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the number of completed cases</w:t>
            </w:r>
          </w:p>
        </w:tc>
        <w:tc>
          <w:tcPr>
            <w:tcW w:w="1559"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58C6A7AA"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Change in the number of completed cases in percentages</w:t>
            </w:r>
          </w:p>
        </w:tc>
      </w:tr>
      <w:tr w:rsidR="003E7651" w:rsidRPr="004B3CF1" w14:paraId="761A88CD" w14:textId="77777777" w:rsidTr="003E7651">
        <w:trPr>
          <w:trHeight w:val="799"/>
        </w:trPr>
        <w:tc>
          <w:tcPr>
            <w:tcW w:w="2720" w:type="dxa"/>
            <w:vMerge/>
            <w:tcBorders>
              <w:top w:val="single" w:sz="8" w:space="0" w:color="A6A6A6"/>
              <w:left w:val="single" w:sz="8" w:space="0" w:color="A6A6A6"/>
              <w:bottom w:val="single" w:sz="8" w:space="0" w:color="A6A6A6"/>
              <w:right w:val="single" w:sz="8" w:space="0" w:color="A6A6A6"/>
            </w:tcBorders>
            <w:vAlign w:val="center"/>
            <w:hideMark/>
          </w:tcPr>
          <w:p w14:paraId="201314D5" w14:textId="77777777" w:rsidR="003E7651" w:rsidRPr="004B3CF1" w:rsidRDefault="003E7651" w:rsidP="003E7651">
            <w:pPr>
              <w:rPr>
                <w:rFonts w:ascii="Arial" w:hAnsi="Arial" w:cs="Arial"/>
                <w:color w:val="000000"/>
                <w:sz w:val="22"/>
                <w:szCs w:val="22"/>
              </w:rPr>
            </w:pPr>
          </w:p>
        </w:tc>
        <w:tc>
          <w:tcPr>
            <w:tcW w:w="1120" w:type="dxa"/>
            <w:tcBorders>
              <w:top w:val="nil"/>
              <w:left w:val="nil"/>
              <w:bottom w:val="single" w:sz="8" w:space="0" w:color="A6A6A6"/>
              <w:right w:val="single" w:sz="8" w:space="0" w:color="A6A6A6"/>
            </w:tcBorders>
            <w:shd w:val="clear" w:color="auto" w:fill="auto"/>
            <w:vAlign w:val="center"/>
            <w:hideMark/>
          </w:tcPr>
          <w:p w14:paraId="1712F01F"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2020</w:t>
            </w:r>
          </w:p>
        </w:tc>
        <w:tc>
          <w:tcPr>
            <w:tcW w:w="1395" w:type="dxa"/>
            <w:tcBorders>
              <w:top w:val="nil"/>
              <w:left w:val="nil"/>
              <w:bottom w:val="single" w:sz="8" w:space="0" w:color="A6A6A6"/>
              <w:right w:val="single" w:sz="8" w:space="0" w:color="A6A6A6"/>
            </w:tcBorders>
            <w:shd w:val="clear" w:color="auto" w:fill="auto"/>
            <w:vAlign w:val="center"/>
            <w:hideMark/>
          </w:tcPr>
          <w:p w14:paraId="4C928657"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2021</w:t>
            </w:r>
          </w:p>
        </w:tc>
        <w:tc>
          <w:tcPr>
            <w:tcW w:w="1418" w:type="dxa"/>
            <w:vMerge/>
            <w:tcBorders>
              <w:top w:val="single" w:sz="8" w:space="0" w:color="A6A6A6"/>
              <w:left w:val="single" w:sz="8" w:space="0" w:color="A6A6A6"/>
              <w:bottom w:val="single" w:sz="8" w:space="0" w:color="A6A6A6"/>
              <w:right w:val="single" w:sz="8" w:space="0" w:color="A6A6A6"/>
            </w:tcBorders>
            <w:vAlign w:val="center"/>
            <w:hideMark/>
          </w:tcPr>
          <w:p w14:paraId="2C389079" w14:textId="77777777" w:rsidR="003E7651" w:rsidRPr="004B3CF1" w:rsidRDefault="003E7651" w:rsidP="003E7651">
            <w:pPr>
              <w:rPr>
                <w:rFonts w:ascii="Arial" w:hAnsi="Arial" w:cs="Arial"/>
                <w:color w:val="000000"/>
                <w:sz w:val="22"/>
                <w:szCs w:val="22"/>
              </w:rPr>
            </w:pPr>
          </w:p>
        </w:tc>
        <w:tc>
          <w:tcPr>
            <w:tcW w:w="1559" w:type="dxa"/>
            <w:vMerge/>
            <w:tcBorders>
              <w:top w:val="single" w:sz="8" w:space="0" w:color="A6A6A6"/>
              <w:left w:val="single" w:sz="8" w:space="0" w:color="A6A6A6"/>
              <w:bottom w:val="single" w:sz="8" w:space="0" w:color="A6A6A6"/>
              <w:right w:val="single" w:sz="8" w:space="0" w:color="A6A6A6"/>
            </w:tcBorders>
            <w:vAlign w:val="center"/>
            <w:hideMark/>
          </w:tcPr>
          <w:p w14:paraId="110B35C5" w14:textId="77777777" w:rsidR="003E7651" w:rsidRPr="004B3CF1" w:rsidRDefault="003E7651" w:rsidP="003E7651">
            <w:pPr>
              <w:rPr>
                <w:rFonts w:ascii="Arial" w:hAnsi="Arial" w:cs="Arial"/>
                <w:color w:val="000000"/>
                <w:sz w:val="22"/>
                <w:szCs w:val="22"/>
              </w:rPr>
            </w:pPr>
          </w:p>
        </w:tc>
      </w:tr>
      <w:tr w:rsidR="003E7651" w:rsidRPr="004B3CF1" w14:paraId="2433A910" w14:textId="77777777" w:rsidTr="003E7651">
        <w:trPr>
          <w:trHeight w:val="315"/>
        </w:trPr>
        <w:tc>
          <w:tcPr>
            <w:tcW w:w="2720" w:type="dxa"/>
            <w:vMerge/>
            <w:tcBorders>
              <w:top w:val="single" w:sz="8" w:space="0" w:color="A6A6A6"/>
              <w:left w:val="single" w:sz="8" w:space="0" w:color="A6A6A6"/>
              <w:bottom w:val="single" w:sz="8" w:space="0" w:color="A6A6A6"/>
              <w:right w:val="single" w:sz="8" w:space="0" w:color="A6A6A6"/>
            </w:tcBorders>
            <w:vAlign w:val="center"/>
            <w:hideMark/>
          </w:tcPr>
          <w:p w14:paraId="72FF1030" w14:textId="77777777" w:rsidR="003E7651" w:rsidRPr="004B3CF1" w:rsidRDefault="003E7651" w:rsidP="003E7651">
            <w:pPr>
              <w:rPr>
                <w:rFonts w:ascii="Arial" w:hAnsi="Arial" w:cs="Arial"/>
                <w:color w:val="000000"/>
                <w:sz w:val="22"/>
                <w:szCs w:val="22"/>
              </w:rPr>
            </w:pPr>
          </w:p>
        </w:tc>
        <w:tc>
          <w:tcPr>
            <w:tcW w:w="1120" w:type="dxa"/>
            <w:tcBorders>
              <w:top w:val="nil"/>
              <w:left w:val="nil"/>
              <w:bottom w:val="single" w:sz="8" w:space="0" w:color="A6A6A6"/>
              <w:right w:val="single" w:sz="8" w:space="0" w:color="A6A6A6"/>
            </w:tcBorders>
            <w:shd w:val="clear" w:color="auto" w:fill="auto"/>
            <w:noWrap/>
            <w:vAlign w:val="center"/>
            <w:hideMark/>
          </w:tcPr>
          <w:p w14:paraId="3E1CFB0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395" w:type="dxa"/>
            <w:tcBorders>
              <w:top w:val="nil"/>
              <w:left w:val="nil"/>
              <w:bottom w:val="single" w:sz="8" w:space="0" w:color="A6A6A6"/>
              <w:right w:val="single" w:sz="8" w:space="0" w:color="A6A6A6"/>
            </w:tcBorders>
            <w:shd w:val="clear" w:color="auto" w:fill="auto"/>
            <w:noWrap/>
            <w:vAlign w:val="center"/>
            <w:hideMark/>
          </w:tcPr>
          <w:p w14:paraId="78D7CDB4"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w:t>
            </w:r>
          </w:p>
        </w:tc>
        <w:tc>
          <w:tcPr>
            <w:tcW w:w="1418" w:type="dxa"/>
            <w:tcBorders>
              <w:top w:val="nil"/>
              <w:left w:val="nil"/>
              <w:bottom w:val="single" w:sz="8" w:space="0" w:color="A6A6A6"/>
              <w:right w:val="single" w:sz="8" w:space="0" w:color="A6A6A6"/>
            </w:tcBorders>
            <w:shd w:val="clear" w:color="auto" w:fill="auto"/>
            <w:noWrap/>
            <w:vAlign w:val="center"/>
            <w:hideMark/>
          </w:tcPr>
          <w:p w14:paraId="09FB6423"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III = II - I</w:t>
            </w:r>
          </w:p>
        </w:tc>
        <w:tc>
          <w:tcPr>
            <w:tcW w:w="1559" w:type="dxa"/>
            <w:tcBorders>
              <w:top w:val="nil"/>
              <w:left w:val="nil"/>
              <w:bottom w:val="single" w:sz="8" w:space="0" w:color="A6A6A6"/>
              <w:right w:val="single" w:sz="8" w:space="0" w:color="A6A6A6"/>
            </w:tcBorders>
            <w:shd w:val="clear" w:color="auto" w:fill="auto"/>
            <w:noWrap/>
            <w:vAlign w:val="center"/>
            <w:hideMark/>
          </w:tcPr>
          <w:p w14:paraId="0C3D3C01"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IV = II / I</w:t>
            </w:r>
          </w:p>
        </w:tc>
      </w:tr>
      <w:tr w:rsidR="003E7651" w:rsidRPr="004B3CF1" w14:paraId="54CC30E2"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6CE99537"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Civil cases</w:t>
            </w:r>
          </w:p>
        </w:tc>
        <w:tc>
          <w:tcPr>
            <w:tcW w:w="1120" w:type="dxa"/>
            <w:tcBorders>
              <w:top w:val="nil"/>
              <w:left w:val="nil"/>
              <w:bottom w:val="single" w:sz="8" w:space="0" w:color="A6A6A6"/>
              <w:right w:val="single" w:sz="8" w:space="0" w:color="A6A6A6"/>
            </w:tcBorders>
            <w:shd w:val="clear" w:color="auto" w:fill="auto"/>
            <w:hideMark/>
          </w:tcPr>
          <w:p w14:paraId="580E46F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74,525</w:t>
            </w:r>
          </w:p>
        </w:tc>
        <w:tc>
          <w:tcPr>
            <w:tcW w:w="1395" w:type="dxa"/>
            <w:tcBorders>
              <w:top w:val="nil"/>
              <w:left w:val="nil"/>
              <w:bottom w:val="single" w:sz="8" w:space="0" w:color="A6A6A6"/>
              <w:right w:val="single" w:sz="8" w:space="0" w:color="A6A6A6"/>
            </w:tcBorders>
            <w:shd w:val="clear" w:color="auto" w:fill="auto"/>
            <w:hideMark/>
          </w:tcPr>
          <w:p w14:paraId="36C5E98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80,085</w:t>
            </w:r>
          </w:p>
        </w:tc>
        <w:tc>
          <w:tcPr>
            <w:tcW w:w="1418" w:type="dxa"/>
            <w:tcBorders>
              <w:top w:val="nil"/>
              <w:left w:val="nil"/>
              <w:bottom w:val="single" w:sz="8" w:space="0" w:color="A6A6A6"/>
              <w:right w:val="single" w:sz="8" w:space="0" w:color="A6A6A6"/>
            </w:tcBorders>
            <w:shd w:val="clear" w:color="auto" w:fill="auto"/>
            <w:noWrap/>
            <w:hideMark/>
          </w:tcPr>
          <w:p w14:paraId="619C611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5,560</w:t>
            </w:r>
          </w:p>
        </w:tc>
        <w:tc>
          <w:tcPr>
            <w:tcW w:w="1559" w:type="dxa"/>
            <w:tcBorders>
              <w:top w:val="nil"/>
              <w:left w:val="nil"/>
              <w:bottom w:val="single" w:sz="8" w:space="0" w:color="A6A6A6"/>
              <w:right w:val="single" w:sz="8" w:space="0" w:color="A6A6A6"/>
            </w:tcBorders>
            <w:shd w:val="clear" w:color="auto" w:fill="auto"/>
            <w:noWrap/>
            <w:hideMark/>
          </w:tcPr>
          <w:p w14:paraId="47459E0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7.5%</w:t>
            </w:r>
          </w:p>
        </w:tc>
      </w:tr>
      <w:tr w:rsidR="003E7651" w:rsidRPr="004B3CF1" w14:paraId="4600A534"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387C2CBD"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Enforcement cases</w:t>
            </w:r>
          </w:p>
        </w:tc>
        <w:tc>
          <w:tcPr>
            <w:tcW w:w="1120" w:type="dxa"/>
            <w:tcBorders>
              <w:top w:val="nil"/>
              <w:left w:val="nil"/>
              <w:bottom w:val="single" w:sz="8" w:space="0" w:color="A6A6A6"/>
              <w:right w:val="single" w:sz="8" w:space="0" w:color="A6A6A6"/>
            </w:tcBorders>
            <w:shd w:val="clear" w:color="auto" w:fill="auto"/>
            <w:hideMark/>
          </w:tcPr>
          <w:p w14:paraId="0ECD11F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58,958</w:t>
            </w:r>
          </w:p>
        </w:tc>
        <w:tc>
          <w:tcPr>
            <w:tcW w:w="1395" w:type="dxa"/>
            <w:tcBorders>
              <w:top w:val="nil"/>
              <w:left w:val="nil"/>
              <w:bottom w:val="single" w:sz="8" w:space="0" w:color="A6A6A6"/>
              <w:right w:val="single" w:sz="8" w:space="0" w:color="A6A6A6"/>
            </w:tcBorders>
            <w:shd w:val="clear" w:color="auto" w:fill="auto"/>
            <w:hideMark/>
          </w:tcPr>
          <w:p w14:paraId="6C364F1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74,344</w:t>
            </w:r>
          </w:p>
        </w:tc>
        <w:tc>
          <w:tcPr>
            <w:tcW w:w="1418" w:type="dxa"/>
            <w:tcBorders>
              <w:top w:val="nil"/>
              <w:left w:val="nil"/>
              <w:bottom w:val="single" w:sz="8" w:space="0" w:color="A6A6A6"/>
              <w:right w:val="single" w:sz="8" w:space="0" w:color="A6A6A6"/>
            </w:tcBorders>
            <w:shd w:val="clear" w:color="auto" w:fill="auto"/>
            <w:noWrap/>
            <w:hideMark/>
          </w:tcPr>
          <w:p w14:paraId="7A85584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15,386</w:t>
            </w:r>
          </w:p>
        </w:tc>
        <w:tc>
          <w:tcPr>
            <w:tcW w:w="1559" w:type="dxa"/>
            <w:tcBorders>
              <w:top w:val="nil"/>
              <w:left w:val="nil"/>
              <w:bottom w:val="single" w:sz="8" w:space="0" w:color="A6A6A6"/>
              <w:right w:val="single" w:sz="8" w:space="0" w:color="A6A6A6"/>
            </w:tcBorders>
            <w:shd w:val="clear" w:color="auto" w:fill="auto"/>
            <w:noWrap/>
            <w:hideMark/>
          </w:tcPr>
          <w:p w14:paraId="6898B91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26.1%</w:t>
            </w:r>
          </w:p>
        </w:tc>
      </w:tr>
      <w:tr w:rsidR="003E7651" w:rsidRPr="004B3CF1" w14:paraId="1BEF80A5"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21CEA88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Criminal cases</w:t>
            </w:r>
          </w:p>
        </w:tc>
        <w:tc>
          <w:tcPr>
            <w:tcW w:w="1120" w:type="dxa"/>
            <w:tcBorders>
              <w:top w:val="nil"/>
              <w:left w:val="nil"/>
              <w:bottom w:val="single" w:sz="8" w:space="0" w:color="A6A6A6"/>
              <w:right w:val="single" w:sz="8" w:space="0" w:color="A6A6A6"/>
            </w:tcBorders>
            <w:shd w:val="clear" w:color="auto" w:fill="auto"/>
            <w:hideMark/>
          </w:tcPr>
          <w:p w14:paraId="1024782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57,561</w:t>
            </w:r>
          </w:p>
        </w:tc>
        <w:tc>
          <w:tcPr>
            <w:tcW w:w="1395" w:type="dxa"/>
            <w:tcBorders>
              <w:top w:val="nil"/>
              <w:left w:val="nil"/>
              <w:bottom w:val="single" w:sz="8" w:space="0" w:color="A6A6A6"/>
              <w:right w:val="single" w:sz="8" w:space="0" w:color="A6A6A6"/>
            </w:tcBorders>
            <w:shd w:val="clear" w:color="auto" w:fill="auto"/>
            <w:hideMark/>
          </w:tcPr>
          <w:p w14:paraId="6221FE4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63,573</w:t>
            </w:r>
          </w:p>
        </w:tc>
        <w:tc>
          <w:tcPr>
            <w:tcW w:w="1418" w:type="dxa"/>
            <w:tcBorders>
              <w:top w:val="nil"/>
              <w:left w:val="nil"/>
              <w:bottom w:val="single" w:sz="8" w:space="0" w:color="A6A6A6"/>
              <w:right w:val="single" w:sz="8" w:space="0" w:color="A6A6A6"/>
            </w:tcBorders>
            <w:shd w:val="clear" w:color="auto" w:fill="auto"/>
            <w:noWrap/>
            <w:hideMark/>
          </w:tcPr>
          <w:p w14:paraId="4D23E32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6,012</w:t>
            </w:r>
          </w:p>
        </w:tc>
        <w:tc>
          <w:tcPr>
            <w:tcW w:w="1559" w:type="dxa"/>
            <w:tcBorders>
              <w:top w:val="nil"/>
              <w:left w:val="nil"/>
              <w:bottom w:val="single" w:sz="8" w:space="0" w:color="A6A6A6"/>
              <w:right w:val="single" w:sz="8" w:space="0" w:color="A6A6A6"/>
            </w:tcBorders>
            <w:shd w:val="clear" w:color="auto" w:fill="auto"/>
            <w:noWrap/>
            <w:hideMark/>
          </w:tcPr>
          <w:p w14:paraId="74CDF2F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10.4%</w:t>
            </w:r>
          </w:p>
        </w:tc>
      </w:tr>
      <w:tr w:rsidR="003E7651" w:rsidRPr="004B3CF1" w14:paraId="41C165EB"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4E26FE5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Minor offence cases</w:t>
            </w:r>
          </w:p>
        </w:tc>
        <w:tc>
          <w:tcPr>
            <w:tcW w:w="1120" w:type="dxa"/>
            <w:tcBorders>
              <w:top w:val="nil"/>
              <w:left w:val="nil"/>
              <w:bottom w:val="single" w:sz="8" w:space="0" w:color="A6A6A6"/>
              <w:right w:val="single" w:sz="8" w:space="0" w:color="A6A6A6"/>
            </w:tcBorders>
            <w:shd w:val="clear" w:color="auto" w:fill="auto"/>
            <w:hideMark/>
          </w:tcPr>
          <w:p w14:paraId="48F8965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47,787</w:t>
            </w:r>
          </w:p>
        </w:tc>
        <w:tc>
          <w:tcPr>
            <w:tcW w:w="1395" w:type="dxa"/>
            <w:tcBorders>
              <w:top w:val="nil"/>
              <w:left w:val="nil"/>
              <w:bottom w:val="single" w:sz="8" w:space="0" w:color="A6A6A6"/>
              <w:right w:val="single" w:sz="8" w:space="0" w:color="A6A6A6"/>
            </w:tcBorders>
            <w:shd w:val="clear" w:color="auto" w:fill="auto"/>
            <w:hideMark/>
          </w:tcPr>
          <w:p w14:paraId="03AB702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60,499</w:t>
            </w:r>
          </w:p>
        </w:tc>
        <w:tc>
          <w:tcPr>
            <w:tcW w:w="1418" w:type="dxa"/>
            <w:tcBorders>
              <w:top w:val="nil"/>
              <w:left w:val="nil"/>
              <w:bottom w:val="single" w:sz="8" w:space="0" w:color="A6A6A6"/>
              <w:right w:val="single" w:sz="8" w:space="0" w:color="A6A6A6"/>
            </w:tcBorders>
            <w:shd w:val="clear" w:color="auto" w:fill="auto"/>
            <w:noWrap/>
            <w:hideMark/>
          </w:tcPr>
          <w:p w14:paraId="62FB448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12,712</w:t>
            </w:r>
          </w:p>
        </w:tc>
        <w:tc>
          <w:tcPr>
            <w:tcW w:w="1559" w:type="dxa"/>
            <w:tcBorders>
              <w:top w:val="nil"/>
              <w:left w:val="nil"/>
              <w:bottom w:val="single" w:sz="8" w:space="0" w:color="A6A6A6"/>
              <w:right w:val="single" w:sz="8" w:space="0" w:color="A6A6A6"/>
            </w:tcBorders>
            <w:shd w:val="clear" w:color="auto" w:fill="auto"/>
            <w:noWrap/>
            <w:hideMark/>
          </w:tcPr>
          <w:p w14:paraId="5C80517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26.6%</w:t>
            </w:r>
          </w:p>
        </w:tc>
      </w:tr>
      <w:tr w:rsidR="003E7651" w:rsidRPr="004B3CF1" w14:paraId="71E3AE84"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336FCA9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Commercial cases</w:t>
            </w:r>
          </w:p>
        </w:tc>
        <w:tc>
          <w:tcPr>
            <w:tcW w:w="1120" w:type="dxa"/>
            <w:tcBorders>
              <w:top w:val="nil"/>
              <w:left w:val="nil"/>
              <w:bottom w:val="single" w:sz="8" w:space="0" w:color="A6A6A6"/>
              <w:right w:val="single" w:sz="8" w:space="0" w:color="A6A6A6"/>
            </w:tcBorders>
            <w:shd w:val="clear" w:color="auto" w:fill="auto"/>
            <w:hideMark/>
          </w:tcPr>
          <w:p w14:paraId="62BC54C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15,133</w:t>
            </w:r>
          </w:p>
        </w:tc>
        <w:tc>
          <w:tcPr>
            <w:tcW w:w="1395" w:type="dxa"/>
            <w:tcBorders>
              <w:top w:val="nil"/>
              <w:left w:val="nil"/>
              <w:bottom w:val="single" w:sz="8" w:space="0" w:color="A6A6A6"/>
              <w:right w:val="single" w:sz="8" w:space="0" w:color="A6A6A6"/>
            </w:tcBorders>
            <w:shd w:val="clear" w:color="auto" w:fill="auto"/>
            <w:hideMark/>
          </w:tcPr>
          <w:p w14:paraId="6E0E3B0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16,920</w:t>
            </w:r>
          </w:p>
        </w:tc>
        <w:tc>
          <w:tcPr>
            <w:tcW w:w="1418" w:type="dxa"/>
            <w:tcBorders>
              <w:top w:val="nil"/>
              <w:left w:val="nil"/>
              <w:bottom w:val="single" w:sz="8" w:space="0" w:color="A6A6A6"/>
              <w:right w:val="single" w:sz="8" w:space="0" w:color="A6A6A6"/>
            </w:tcBorders>
            <w:shd w:val="clear" w:color="auto" w:fill="auto"/>
            <w:noWrap/>
            <w:hideMark/>
          </w:tcPr>
          <w:p w14:paraId="32FB4D5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1,787</w:t>
            </w:r>
          </w:p>
        </w:tc>
        <w:tc>
          <w:tcPr>
            <w:tcW w:w="1559" w:type="dxa"/>
            <w:tcBorders>
              <w:top w:val="nil"/>
              <w:left w:val="nil"/>
              <w:bottom w:val="single" w:sz="8" w:space="0" w:color="A6A6A6"/>
              <w:right w:val="single" w:sz="8" w:space="0" w:color="A6A6A6"/>
            </w:tcBorders>
            <w:shd w:val="clear" w:color="auto" w:fill="auto"/>
            <w:noWrap/>
            <w:hideMark/>
          </w:tcPr>
          <w:p w14:paraId="6DD3D01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11.8%</w:t>
            </w:r>
          </w:p>
        </w:tc>
      </w:tr>
      <w:tr w:rsidR="003E7651" w:rsidRPr="004B3CF1" w14:paraId="03D177E0"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46AAF0F8"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Administrative cases</w:t>
            </w:r>
          </w:p>
        </w:tc>
        <w:tc>
          <w:tcPr>
            <w:tcW w:w="1120" w:type="dxa"/>
            <w:tcBorders>
              <w:top w:val="nil"/>
              <w:left w:val="nil"/>
              <w:bottom w:val="single" w:sz="8" w:space="0" w:color="A6A6A6"/>
              <w:right w:val="single" w:sz="8" w:space="0" w:color="A6A6A6"/>
            </w:tcBorders>
            <w:shd w:val="clear" w:color="auto" w:fill="auto"/>
            <w:hideMark/>
          </w:tcPr>
          <w:p w14:paraId="26EB2D0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12,790</w:t>
            </w:r>
          </w:p>
        </w:tc>
        <w:tc>
          <w:tcPr>
            <w:tcW w:w="1395" w:type="dxa"/>
            <w:tcBorders>
              <w:top w:val="nil"/>
              <w:left w:val="nil"/>
              <w:bottom w:val="single" w:sz="8" w:space="0" w:color="A6A6A6"/>
              <w:right w:val="single" w:sz="8" w:space="0" w:color="A6A6A6"/>
            </w:tcBorders>
            <w:shd w:val="clear" w:color="auto" w:fill="auto"/>
            <w:hideMark/>
          </w:tcPr>
          <w:p w14:paraId="272BB56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13,825</w:t>
            </w:r>
          </w:p>
        </w:tc>
        <w:tc>
          <w:tcPr>
            <w:tcW w:w="1418" w:type="dxa"/>
            <w:tcBorders>
              <w:top w:val="nil"/>
              <w:left w:val="nil"/>
              <w:bottom w:val="single" w:sz="8" w:space="0" w:color="A6A6A6"/>
              <w:right w:val="single" w:sz="8" w:space="0" w:color="A6A6A6"/>
            </w:tcBorders>
            <w:shd w:val="clear" w:color="auto" w:fill="auto"/>
            <w:noWrap/>
            <w:hideMark/>
          </w:tcPr>
          <w:p w14:paraId="52DAB89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1,035</w:t>
            </w:r>
          </w:p>
        </w:tc>
        <w:tc>
          <w:tcPr>
            <w:tcW w:w="1559" w:type="dxa"/>
            <w:tcBorders>
              <w:top w:val="nil"/>
              <w:left w:val="nil"/>
              <w:bottom w:val="single" w:sz="8" w:space="0" w:color="A6A6A6"/>
              <w:right w:val="single" w:sz="8" w:space="0" w:color="A6A6A6"/>
            </w:tcBorders>
            <w:shd w:val="clear" w:color="auto" w:fill="auto"/>
            <w:noWrap/>
            <w:hideMark/>
          </w:tcPr>
          <w:p w14:paraId="2BE8249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8.1%</w:t>
            </w:r>
          </w:p>
        </w:tc>
      </w:tr>
      <w:tr w:rsidR="003E7651" w:rsidRPr="004B3CF1" w14:paraId="2DDB784D"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15F081E0"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Non-litigation cases</w:t>
            </w:r>
          </w:p>
        </w:tc>
        <w:tc>
          <w:tcPr>
            <w:tcW w:w="1120" w:type="dxa"/>
            <w:tcBorders>
              <w:top w:val="nil"/>
              <w:left w:val="nil"/>
              <w:bottom w:val="single" w:sz="8" w:space="0" w:color="A6A6A6"/>
              <w:right w:val="single" w:sz="8" w:space="0" w:color="A6A6A6"/>
            </w:tcBorders>
            <w:shd w:val="clear" w:color="auto" w:fill="auto"/>
            <w:hideMark/>
          </w:tcPr>
          <w:p w14:paraId="46B33C6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56,975</w:t>
            </w:r>
          </w:p>
        </w:tc>
        <w:tc>
          <w:tcPr>
            <w:tcW w:w="1395" w:type="dxa"/>
            <w:tcBorders>
              <w:top w:val="nil"/>
              <w:left w:val="nil"/>
              <w:bottom w:val="single" w:sz="8" w:space="0" w:color="A6A6A6"/>
              <w:right w:val="single" w:sz="8" w:space="0" w:color="A6A6A6"/>
            </w:tcBorders>
            <w:shd w:val="clear" w:color="auto" w:fill="auto"/>
            <w:hideMark/>
          </w:tcPr>
          <w:p w14:paraId="65200C1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73,625</w:t>
            </w:r>
          </w:p>
        </w:tc>
        <w:tc>
          <w:tcPr>
            <w:tcW w:w="1418" w:type="dxa"/>
            <w:tcBorders>
              <w:top w:val="nil"/>
              <w:left w:val="nil"/>
              <w:bottom w:val="single" w:sz="8" w:space="0" w:color="A6A6A6"/>
              <w:right w:val="single" w:sz="8" w:space="0" w:color="A6A6A6"/>
            </w:tcBorders>
            <w:shd w:val="clear" w:color="auto" w:fill="auto"/>
            <w:noWrap/>
            <w:hideMark/>
          </w:tcPr>
          <w:p w14:paraId="197C805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16,650</w:t>
            </w:r>
          </w:p>
        </w:tc>
        <w:tc>
          <w:tcPr>
            <w:tcW w:w="1559" w:type="dxa"/>
            <w:tcBorders>
              <w:top w:val="nil"/>
              <w:left w:val="nil"/>
              <w:bottom w:val="single" w:sz="8" w:space="0" w:color="A6A6A6"/>
              <w:right w:val="single" w:sz="8" w:space="0" w:color="A6A6A6"/>
            </w:tcBorders>
            <w:shd w:val="clear" w:color="auto" w:fill="auto"/>
            <w:noWrap/>
            <w:hideMark/>
          </w:tcPr>
          <w:p w14:paraId="58541CA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29.2%</w:t>
            </w:r>
          </w:p>
        </w:tc>
      </w:tr>
      <w:tr w:rsidR="003E7651" w:rsidRPr="004B3CF1" w14:paraId="09AF2F6E"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auto" w:fill="auto"/>
            <w:noWrap/>
            <w:vAlign w:val="center"/>
            <w:hideMark/>
          </w:tcPr>
          <w:p w14:paraId="57A2E8B4"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120" w:type="dxa"/>
            <w:tcBorders>
              <w:top w:val="nil"/>
              <w:left w:val="nil"/>
              <w:bottom w:val="single" w:sz="8" w:space="0" w:color="A6A6A6"/>
              <w:right w:val="single" w:sz="8" w:space="0" w:color="A6A6A6"/>
            </w:tcBorders>
            <w:shd w:val="clear" w:color="auto" w:fill="auto"/>
            <w:noWrap/>
            <w:hideMark/>
          </w:tcPr>
          <w:p w14:paraId="1FC62D3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323,729</w:t>
            </w:r>
          </w:p>
        </w:tc>
        <w:tc>
          <w:tcPr>
            <w:tcW w:w="1395" w:type="dxa"/>
            <w:tcBorders>
              <w:top w:val="nil"/>
              <w:left w:val="nil"/>
              <w:bottom w:val="single" w:sz="8" w:space="0" w:color="A6A6A6"/>
              <w:right w:val="single" w:sz="8" w:space="0" w:color="A6A6A6"/>
            </w:tcBorders>
            <w:shd w:val="clear" w:color="auto" w:fill="auto"/>
            <w:noWrap/>
            <w:hideMark/>
          </w:tcPr>
          <w:p w14:paraId="10C15912"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382,871</w:t>
            </w:r>
          </w:p>
        </w:tc>
        <w:tc>
          <w:tcPr>
            <w:tcW w:w="1418" w:type="dxa"/>
            <w:tcBorders>
              <w:top w:val="nil"/>
              <w:left w:val="nil"/>
              <w:bottom w:val="single" w:sz="8" w:space="0" w:color="A6A6A6"/>
              <w:right w:val="single" w:sz="8" w:space="0" w:color="A6A6A6"/>
            </w:tcBorders>
            <w:shd w:val="clear" w:color="auto" w:fill="auto"/>
            <w:noWrap/>
            <w:hideMark/>
          </w:tcPr>
          <w:p w14:paraId="6482C2F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59,142</w:t>
            </w:r>
          </w:p>
        </w:tc>
        <w:tc>
          <w:tcPr>
            <w:tcW w:w="1559" w:type="dxa"/>
            <w:tcBorders>
              <w:top w:val="nil"/>
              <w:left w:val="nil"/>
              <w:bottom w:val="single" w:sz="8" w:space="0" w:color="A6A6A6"/>
              <w:right w:val="single" w:sz="8" w:space="0" w:color="A6A6A6"/>
            </w:tcBorders>
            <w:shd w:val="clear" w:color="auto" w:fill="auto"/>
            <w:noWrap/>
            <w:hideMark/>
          </w:tcPr>
          <w:p w14:paraId="077E0C6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18.3%</w:t>
            </w:r>
          </w:p>
        </w:tc>
      </w:tr>
    </w:tbl>
    <w:p w14:paraId="20BB382C" w14:textId="77777777" w:rsidR="003E7651" w:rsidRPr="004B3CF1" w:rsidRDefault="003E7651" w:rsidP="003E7651">
      <w:pPr>
        <w:pStyle w:val="3Naslov-tridecimale"/>
        <w:tabs>
          <w:tab w:val="clear" w:pos="1843"/>
          <w:tab w:val="left" w:pos="1260"/>
        </w:tabs>
        <w:spacing w:before="0" w:after="0"/>
        <w:jc w:val="both"/>
        <w:rPr>
          <w:sz w:val="28"/>
          <w:szCs w:val="28"/>
        </w:rPr>
      </w:pPr>
    </w:p>
    <w:p w14:paraId="4966C614" w14:textId="77777777" w:rsidR="003E7651" w:rsidRPr="004B3CF1" w:rsidRDefault="003E7651" w:rsidP="003E7651">
      <w:pPr>
        <w:pStyle w:val="TREINASLOV"/>
      </w:pPr>
      <w:bookmarkStart w:id="212" w:name="_Toc97722097"/>
      <w:bookmarkStart w:id="213" w:name="_Toc101944277"/>
      <w:bookmarkStart w:id="214" w:name="_Toc112852483"/>
      <w:r w:rsidRPr="004B3CF1">
        <w:t>Quality and quantity of justice</w:t>
      </w:r>
      <w:bookmarkEnd w:id="212"/>
      <w:bookmarkEnd w:id="213"/>
      <w:bookmarkEnd w:id="214"/>
    </w:p>
    <w:p w14:paraId="06C9BBCB" w14:textId="77777777" w:rsidR="003E7651" w:rsidRPr="004B3CF1" w:rsidRDefault="003E7651" w:rsidP="003E7651">
      <w:pPr>
        <w:pStyle w:val="Tekst"/>
      </w:pPr>
      <w:r w:rsidRPr="004B3CF1">
        <w:t>The quantity of court performance is expressed through the collective quota achieved in a calendar year, where the HJPC establishes the criteria for its calculation. The actual collective quota achieved by a court is calculated by dividing the sum percentage of the quota achieved by each judge, court president, and legal associates in the municipal courts with a number of judges and legal associates appointed to a specif</w:t>
      </w:r>
      <w:r>
        <w:t xml:space="preserve">ic court. </w:t>
      </w:r>
      <w:r w:rsidRPr="004B3CF1">
        <w:t xml:space="preserve">Table 7 shows the achieved collective quota for all court instances for which the HJPC set the criteria based on which the courts calculate their performance results. </w:t>
      </w:r>
    </w:p>
    <w:p w14:paraId="04361C03" w14:textId="77777777" w:rsidR="003E7651" w:rsidRPr="004B3CF1" w:rsidRDefault="003E7651" w:rsidP="003E7651">
      <w:pPr>
        <w:pStyle w:val="Tekst"/>
      </w:pPr>
      <w:r w:rsidRPr="004B3CF1">
        <w:t xml:space="preserve">The average quality of judicial decisions in all regularly courts in BiH in 2021 was 89%, while in 2020 this figure stood at 88%. The average collective quota in 2021 was 109%, while in 2020 it amounted to 93%. </w:t>
      </w:r>
    </w:p>
    <w:p w14:paraId="2ADD5A96" w14:textId="77777777" w:rsidR="003E7651" w:rsidRPr="004B3CF1" w:rsidRDefault="003E7651" w:rsidP="003E7651">
      <w:pPr>
        <w:spacing w:before="80"/>
        <w:jc w:val="both"/>
        <w:rPr>
          <w:rFonts w:ascii="Arial" w:hAnsi="Arial" w:cs="Arial"/>
        </w:rPr>
      </w:pPr>
    </w:p>
    <w:p w14:paraId="08E8E883"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11</w:t>
      </w:r>
      <w:r w:rsidR="006D1459">
        <w:fldChar w:fldCharType="end"/>
      </w:r>
      <w:r w:rsidRPr="004B3CF1">
        <w:t>: Performance quality and quantity</w:t>
      </w:r>
    </w:p>
    <w:tbl>
      <w:tblPr>
        <w:tblW w:w="8320" w:type="dxa"/>
        <w:tblInd w:w="118" w:type="dxa"/>
        <w:tblLook w:val="04A0" w:firstRow="1" w:lastRow="0" w:firstColumn="1" w:lastColumn="0" w:noHBand="0" w:noVBand="1"/>
      </w:tblPr>
      <w:tblGrid>
        <w:gridCol w:w="3600"/>
        <w:gridCol w:w="1760"/>
        <w:gridCol w:w="2960"/>
      </w:tblGrid>
      <w:tr w:rsidR="003E7651" w:rsidRPr="004B3CF1" w14:paraId="472FD83B" w14:textId="77777777" w:rsidTr="003E7651">
        <w:trPr>
          <w:trHeight w:val="637"/>
        </w:trPr>
        <w:tc>
          <w:tcPr>
            <w:tcW w:w="3600" w:type="dxa"/>
            <w:tcBorders>
              <w:top w:val="single" w:sz="8" w:space="0" w:color="A6A6A6"/>
              <w:left w:val="single" w:sz="8" w:space="0" w:color="A6A6A6"/>
              <w:bottom w:val="single" w:sz="8" w:space="0" w:color="A6A6A6"/>
              <w:right w:val="single" w:sz="8" w:space="0" w:color="A6A6A6"/>
            </w:tcBorders>
            <w:shd w:val="clear" w:color="000000" w:fill="D9D9D9"/>
            <w:noWrap/>
            <w:vAlign w:val="center"/>
            <w:hideMark/>
          </w:tcPr>
          <w:p w14:paraId="6A2CB005"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Courts</w:t>
            </w:r>
          </w:p>
        </w:tc>
        <w:tc>
          <w:tcPr>
            <w:tcW w:w="1760" w:type="dxa"/>
            <w:tcBorders>
              <w:top w:val="single" w:sz="8" w:space="0" w:color="A6A6A6"/>
              <w:left w:val="nil"/>
              <w:bottom w:val="single" w:sz="8" w:space="0" w:color="A6A6A6"/>
              <w:right w:val="single" w:sz="8" w:space="0" w:color="A6A6A6"/>
            </w:tcBorders>
            <w:shd w:val="clear" w:color="000000" w:fill="D9D9D9"/>
            <w:vAlign w:val="center"/>
            <w:hideMark/>
          </w:tcPr>
          <w:p w14:paraId="4F69A62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Performance quality</w:t>
            </w:r>
          </w:p>
        </w:tc>
        <w:tc>
          <w:tcPr>
            <w:tcW w:w="2960" w:type="dxa"/>
            <w:tcBorders>
              <w:top w:val="single" w:sz="8" w:space="0" w:color="A6A6A6"/>
              <w:left w:val="nil"/>
              <w:bottom w:val="single" w:sz="8" w:space="0" w:color="A6A6A6"/>
              <w:right w:val="single" w:sz="8" w:space="0" w:color="A6A6A6"/>
            </w:tcBorders>
            <w:shd w:val="clear" w:color="000000" w:fill="D9D9D9"/>
            <w:vAlign w:val="center"/>
            <w:hideMark/>
          </w:tcPr>
          <w:p w14:paraId="23171290"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Performance quantity- average collective quota achieved</w:t>
            </w:r>
          </w:p>
        </w:tc>
      </w:tr>
      <w:tr w:rsidR="003E7651" w:rsidRPr="004B3CF1" w14:paraId="440F3458"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118738F0" w14:textId="77777777" w:rsidR="003E7651" w:rsidRPr="004B3CF1" w:rsidRDefault="003E7651" w:rsidP="003E7651">
            <w:pPr>
              <w:rPr>
                <w:rFonts w:ascii="Arial" w:hAnsi="Arial" w:cs="Arial"/>
                <w:color w:val="000000"/>
                <w:sz w:val="22"/>
              </w:rPr>
            </w:pPr>
            <w:r w:rsidRPr="004B3CF1">
              <w:rPr>
                <w:rFonts w:ascii="Arial" w:hAnsi="Arial"/>
                <w:color w:val="000000"/>
                <w:sz w:val="22"/>
              </w:rPr>
              <w:t>Court of Bosnia and Herzegovina</w:t>
            </w:r>
          </w:p>
        </w:tc>
        <w:tc>
          <w:tcPr>
            <w:tcW w:w="1760" w:type="dxa"/>
            <w:tcBorders>
              <w:top w:val="nil"/>
              <w:left w:val="nil"/>
              <w:bottom w:val="single" w:sz="8" w:space="0" w:color="A6A6A6"/>
              <w:right w:val="single" w:sz="8" w:space="0" w:color="A6A6A6"/>
            </w:tcBorders>
            <w:shd w:val="clear" w:color="auto" w:fill="auto"/>
            <w:noWrap/>
            <w:vAlign w:val="center"/>
            <w:hideMark/>
          </w:tcPr>
          <w:p w14:paraId="0B9FF913"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95%</w:t>
            </w:r>
          </w:p>
        </w:tc>
        <w:tc>
          <w:tcPr>
            <w:tcW w:w="2960" w:type="dxa"/>
            <w:tcBorders>
              <w:top w:val="nil"/>
              <w:left w:val="nil"/>
              <w:bottom w:val="single" w:sz="8" w:space="0" w:color="A6A6A6"/>
              <w:right w:val="single" w:sz="8" w:space="0" w:color="A6A6A6"/>
            </w:tcBorders>
            <w:shd w:val="clear" w:color="auto" w:fill="auto"/>
            <w:noWrap/>
            <w:vAlign w:val="center"/>
            <w:hideMark/>
          </w:tcPr>
          <w:p w14:paraId="132315FD"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137%</w:t>
            </w:r>
          </w:p>
        </w:tc>
      </w:tr>
      <w:tr w:rsidR="003E7651" w:rsidRPr="004B3CF1" w14:paraId="208F5714"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1657FEF8" w14:textId="77777777" w:rsidR="003E7651" w:rsidRPr="004B3CF1" w:rsidRDefault="003E7651" w:rsidP="003E7651">
            <w:pPr>
              <w:rPr>
                <w:rFonts w:ascii="Arial" w:hAnsi="Arial" w:cs="Arial"/>
                <w:color w:val="000000"/>
                <w:sz w:val="22"/>
              </w:rPr>
            </w:pPr>
            <w:r w:rsidRPr="004B3CF1">
              <w:rPr>
                <w:rFonts w:ascii="Arial" w:hAnsi="Arial"/>
                <w:color w:val="000000"/>
                <w:sz w:val="22"/>
              </w:rPr>
              <w:t>Supreme Court of the Federation of BiH</w:t>
            </w:r>
          </w:p>
        </w:tc>
        <w:tc>
          <w:tcPr>
            <w:tcW w:w="1760" w:type="dxa"/>
            <w:tcBorders>
              <w:top w:val="nil"/>
              <w:left w:val="nil"/>
              <w:bottom w:val="single" w:sz="8" w:space="0" w:color="A6A6A6"/>
              <w:right w:val="single" w:sz="8" w:space="0" w:color="A6A6A6"/>
            </w:tcBorders>
            <w:shd w:val="clear" w:color="auto" w:fill="auto"/>
            <w:noWrap/>
            <w:vAlign w:val="center"/>
            <w:hideMark/>
          </w:tcPr>
          <w:p w14:paraId="48DD324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w:t>
            </w:r>
          </w:p>
        </w:tc>
        <w:tc>
          <w:tcPr>
            <w:tcW w:w="2960" w:type="dxa"/>
            <w:tcBorders>
              <w:top w:val="nil"/>
              <w:left w:val="nil"/>
              <w:bottom w:val="single" w:sz="8" w:space="0" w:color="A6A6A6"/>
              <w:right w:val="single" w:sz="8" w:space="0" w:color="A6A6A6"/>
            </w:tcBorders>
            <w:shd w:val="clear" w:color="auto" w:fill="auto"/>
            <w:noWrap/>
            <w:vAlign w:val="center"/>
            <w:hideMark/>
          </w:tcPr>
          <w:p w14:paraId="68DDD05C"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 xml:space="preserve">123% </w:t>
            </w:r>
          </w:p>
        </w:tc>
      </w:tr>
      <w:tr w:rsidR="003E7651" w:rsidRPr="004B3CF1" w14:paraId="050F3FC8"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360C6532" w14:textId="77777777" w:rsidR="003E7651" w:rsidRPr="004B3CF1" w:rsidRDefault="003E7651" w:rsidP="003E7651">
            <w:pPr>
              <w:rPr>
                <w:rFonts w:ascii="Arial" w:hAnsi="Arial" w:cs="Arial"/>
                <w:color w:val="000000"/>
                <w:sz w:val="22"/>
              </w:rPr>
            </w:pPr>
            <w:r w:rsidRPr="004B3CF1">
              <w:rPr>
                <w:rFonts w:ascii="Arial" w:hAnsi="Arial"/>
                <w:color w:val="000000"/>
                <w:sz w:val="22"/>
              </w:rPr>
              <w:t>Supreme Court of Republika Srpska</w:t>
            </w:r>
          </w:p>
        </w:tc>
        <w:tc>
          <w:tcPr>
            <w:tcW w:w="1760" w:type="dxa"/>
            <w:tcBorders>
              <w:top w:val="nil"/>
              <w:left w:val="nil"/>
              <w:bottom w:val="single" w:sz="8" w:space="0" w:color="A6A6A6"/>
              <w:right w:val="single" w:sz="8" w:space="0" w:color="A6A6A6"/>
            </w:tcBorders>
            <w:shd w:val="clear" w:color="auto" w:fill="auto"/>
            <w:noWrap/>
            <w:vAlign w:val="center"/>
            <w:hideMark/>
          </w:tcPr>
          <w:p w14:paraId="1492FB38"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w:t>
            </w:r>
          </w:p>
        </w:tc>
        <w:tc>
          <w:tcPr>
            <w:tcW w:w="2960" w:type="dxa"/>
            <w:tcBorders>
              <w:top w:val="nil"/>
              <w:left w:val="nil"/>
              <w:bottom w:val="single" w:sz="8" w:space="0" w:color="A6A6A6"/>
              <w:right w:val="single" w:sz="8" w:space="0" w:color="A6A6A6"/>
            </w:tcBorders>
            <w:shd w:val="clear" w:color="auto" w:fill="auto"/>
            <w:noWrap/>
            <w:vAlign w:val="center"/>
            <w:hideMark/>
          </w:tcPr>
          <w:p w14:paraId="65BC54D4"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125%</w:t>
            </w:r>
          </w:p>
        </w:tc>
      </w:tr>
      <w:tr w:rsidR="003E7651" w:rsidRPr="004B3CF1" w14:paraId="281A9CED"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350E8B50" w14:textId="77777777" w:rsidR="003E7651" w:rsidRPr="004B3CF1" w:rsidRDefault="003E7651" w:rsidP="003E7651">
            <w:pPr>
              <w:rPr>
                <w:rFonts w:ascii="Arial" w:hAnsi="Arial" w:cs="Arial"/>
                <w:color w:val="000000"/>
                <w:sz w:val="22"/>
              </w:rPr>
            </w:pPr>
            <w:r w:rsidRPr="004B3CF1">
              <w:rPr>
                <w:rFonts w:ascii="Arial" w:hAnsi="Arial"/>
                <w:color w:val="000000"/>
                <w:sz w:val="22"/>
              </w:rPr>
              <w:t>The Appellate Court of the Brcko District BiH</w:t>
            </w:r>
          </w:p>
        </w:tc>
        <w:tc>
          <w:tcPr>
            <w:tcW w:w="1760" w:type="dxa"/>
            <w:tcBorders>
              <w:top w:val="nil"/>
              <w:left w:val="nil"/>
              <w:bottom w:val="single" w:sz="8" w:space="0" w:color="A6A6A6"/>
              <w:right w:val="single" w:sz="8" w:space="0" w:color="A6A6A6"/>
            </w:tcBorders>
            <w:shd w:val="clear" w:color="auto" w:fill="auto"/>
            <w:noWrap/>
            <w:vAlign w:val="center"/>
            <w:hideMark/>
          </w:tcPr>
          <w:p w14:paraId="0A03439F"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w:t>
            </w:r>
          </w:p>
        </w:tc>
        <w:tc>
          <w:tcPr>
            <w:tcW w:w="2960" w:type="dxa"/>
            <w:tcBorders>
              <w:top w:val="nil"/>
              <w:left w:val="nil"/>
              <w:bottom w:val="single" w:sz="8" w:space="0" w:color="A6A6A6"/>
              <w:right w:val="single" w:sz="8" w:space="0" w:color="A6A6A6"/>
            </w:tcBorders>
            <w:shd w:val="clear" w:color="auto" w:fill="auto"/>
            <w:noWrap/>
            <w:vAlign w:val="center"/>
            <w:hideMark/>
          </w:tcPr>
          <w:p w14:paraId="3A45F025"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135%</w:t>
            </w:r>
          </w:p>
        </w:tc>
      </w:tr>
      <w:tr w:rsidR="003E7651" w:rsidRPr="004B3CF1" w14:paraId="412DF61E"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2002EFA4" w14:textId="77777777" w:rsidR="003E7651" w:rsidRPr="004B3CF1" w:rsidRDefault="003E7651" w:rsidP="003E7651">
            <w:pPr>
              <w:rPr>
                <w:rFonts w:ascii="Arial" w:hAnsi="Arial" w:cs="Arial"/>
                <w:color w:val="000000"/>
                <w:sz w:val="22"/>
              </w:rPr>
            </w:pPr>
            <w:r w:rsidRPr="004B3CF1">
              <w:rPr>
                <w:rFonts w:ascii="Arial" w:hAnsi="Arial"/>
                <w:color w:val="000000"/>
                <w:sz w:val="22"/>
              </w:rPr>
              <w:t>Banja Luka High Commercial Court</w:t>
            </w:r>
          </w:p>
        </w:tc>
        <w:tc>
          <w:tcPr>
            <w:tcW w:w="1760" w:type="dxa"/>
            <w:tcBorders>
              <w:top w:val="nil"/>
              <w:left w:val="nil"/>
              <w:bottom w:val="single" w:sz="8" w:space="0" w:color="A6A6A6"/>
              <w:right w:val="single" w:sz="8" w:space="0" w:color="A6A6A6"/>
            </w:tcBorders>
            <w:shd w:val="clear" w:color="auto" w:fill="auto"/>
            <w:noWrap/>
            <w:vAlign w:val="center"/>
            <w:hideMark/>
          </w:tcPr>
          <w:p w14:paraId="2BB01B4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89%</w:t>
            </w:r>
          </w:p>
        </w:tc>
        <w:tc>
          <w:tcPr>
            <w:tcW w:w="2960" w:type="dxa"/>
            <w:tcBorders>
              <w:top w:val="nil"/>
              <w:left w:val="nil"/>
              <w:bottom w:val="single" w:sz="8" w:space="0" w:color="A6A6A6"/>
              <w:right w:val="single" w:sz="8" w:space="0" w:color="A6A6A6"/>
            </w:tcBorders>
            <w:shd w:val="clear" w:color="auto" w:fill="auto"/>
            <w:noWrap/>
            <w:vAlign w:val="center"/>
            <w:hideMark/>
          </w:tcPr>
          <w:p w14:paraId="1E125AB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96%</w:t>
            </w:r>
          </w:p>
        </w:tc>
      </w:tr>
      <w:tr w:rsidR="003E7651" w:rsidRPr="004B3CF1" w14:paraId="67C2F615"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1B47B11F" w14:textId="77777777" w:rsidR="003E7651" w:rsidRPr="004B3CF1" w:rsidRDefault="003E7651" w:rsidP="003E7651">
            <w:pPr>
              <w:rPr>
                <w:rFonts w:ascii="Arial" w:hAnsi="Arial" w:cs="Arial"/>
                <w:color w:val="000000"/>
                <w:sz w:val="22"/>
              </w:rPr>
            </w:pPr>
            <w:r w:rsidRPr="004B3CF1">
              <w:rPr>
                <w:rFonts w:ascii="Arial" w:hAnsi="Arial"/>
                <w:color w:val="000000"/>
                <w:sz w:val="22"/>
              </w:rPr>
              <w:t>Cantonal courts</w:t>
            </w:r>
          </w:p>
        </w:tc>
        <w:tc>
          <w:tcPr>
            <w:tcW w:w="1760" w:type="dxa"/>
            <w:tcBorders>
              <w:top w:val="nil"/>
              <w:left w:val="nil"/>
              <w:bottom w:val="single" w:sz="8" w:space="0" w:color="A6A6A6"/>
              <w:right w:val="single" w:sz="8" w:space="0" w:color="A6A6A6"/>
            </w:tcBorders>
            <w:shd w:val="clear" w:color="auto" w:fill="auto"/>
            <w:noWrap/>
            <w:vAlign w:val="center"/>
            <w:hideMark/>
          </w:tcPr>
          <w:p w14:paraId="2862AC08"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89%</w:t>
            </w:r>
          </w:p>
        </w:tc>
        <w:tc>
          <w:tcPr>
            <w:tcW w:w="2960" w:type="dxa"/>
            <w:tcBorders>
              <w:top w:val="nil"/>
              <w:left w:val="nil"/>
              <w:bottom w:val="single" w:sz="8" w:space="0" w:color="A6A6A6"/>
              <w:right w:val="single" w:sz="8" w:space="0" w:color="A6A6A6"/>
            </w:tcBorders>
            <w:shd w:val="clear" w:color="auto" w:fill="auto"/>
            <w:noWrap/>
            <w:vAlign w:val="center"/>
            <w:hideMark/>
          </w:tcPr>
          <w:p w14:paraId="6C6E8A77"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103%</w:t>
            </w:r>
          </w:p>
        </w:tc>
      </w:tr>
      <w:tr w:rsidR="003E7651" w:rsidRPr="004B3CF1" w14:paraId="616B24E1"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3D677166" w14:textId="77777777" w:rsidR="003E7651" w:rsidRPr="004B3CF1" w:rsidRDefault="003E7651" w:rsidP="003E7651">
            <w:pPr>
              <w:rPr>
                <w:rFonts w:ascii="Arial" w:hAnsi="Arial" w:cs="Arial"/>
                <w:color w:val="000000"/>
                <w:sz w:val="22"/>
              </w:rPr>
            </w:pPr>
            <w:r w:rsidRPr="004B3CF1">
              <w:rPr>
                <w:rFonts w:ascii="Arial" w:hAnsi="Arial"/>
                <w:color w:val="000000"/>
                <w:sz w:val="22"/>
              </w:rPr>
              <w:t>District courts</w:t>
            </w:r>
          </w:p>
        </w:tc>
        <w:tc>
          <w:tcPr>
            <w:tcW w:w="1760" w:type="dxa"/>
            <w:tcBorders>
              <w:top w:val="nil"/>
              <w:left w:val="nil"/>
              <w:bottom w:val="single" w:sz="8" w:space="0" w:color="A6A6A6"/>
              <w:right w:val="single" w:sz="8" w:space="0" w:color="A6A6A6"/>
            </w:tcBorders>
            <w:shd w:val="clear" w:color="auto" w:fill="auto"/>
            <w:noWrap/>
            <w:vAlign w:val="center"/>
            <w:hideMark/>
          </w:tcPr>
          <w:p w14:paraId="447633DD" w14:textId="77777777" w:rsidR="003E7651" w:rsidRPr="004B3CF1" w:rsidRDefault="003E7651" w:rsidP="003E7651">
            <w:pPr>
              <w:jc w:val="center"/>
              <w:rPr>
                <w:rFonts w:ascii="Arial" w:hAnsi="Arial" w:cs="Arial"/>
                <w:sz w:val="22"/>
              </w:rPr>
            </w:pPr>
            <w:r w:rsidRPr="004B3CF1">
              <w:rPr>
                <w:rFonts w:ascii="Arial" w:hAnsi="Arial"/>
                <w:sz w:val="22"/>
              </w:rPr>
              <w:t>93%</w:t>
            </w:r>
          </w:p>
        </w:tc>
        <w:tc>
          <w:tcPr>
            <w:tcW w:w="2960" w:type="dxa"/>
            <w:tcBorders>
              <w:top w:val="nil"/>
              <w:left w:val="nil"/>
              <w:bottom w:val="single" w:sz="8" w:space="0" w:color="A6A6A6"/>
              <w:right w:val="single" w:sz="8" w:space="0" w:color="A6A6A6"/>
            </w:tcBorders>
            <w:shd w:val="clear" w:color="auto" w:fill="auto"/>
            <w:noWrap/>
            <w:vAlign w:val="center"/>
            <w:hideMark/>
          </w:tcPr>
          <w:p w14:paraId="05B08F03"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101%</w:t>
            </w:r>
          </w:p>
        </w:tc>
      </w:tr>
      <w:tr w:rsidR="003E7651" w:rsidRPr="004B3CF1" w14:paraId="3B8C8DCC"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6672ADD1" w14:textId="77777777" w:rsidR="003E7651" w:rsidRPr="004B3CF1" w:rsidRDefault="003E7651" w:rsidP="003E7651">
            <w:pPr>
              <w:rPr>
                <w:rFonts w:ascii="Arial" w:hAnsi="Arial" w:cs="Arial"/>
                <w:color w:val="000000"/>
                <w:sz w:val="22"/>
              </w:rPr>
            </w:pPr>
            <w:r w:rsidRPr="004B3CF1">
              <w:rPr>
                <w:rFonts w:ascii="Arial" w:hAnsi="Arial"/>
                <w:color w:val="000000"/>
                <w:sz w:val="22"/>
              </w:rPr>
              <w:lastRenderedPageBreak/>
              <w:t>District commercial courts</w:t>
            </w:r>
          </w:p>
        </w:tc>
        <w:tc>
          <w:tcPr>
            <w:tcW w:w="1760" w:type="dxa"/>
            <w:tcBorders>
              <w:top w:val="nil"/>
              <w:left w:val="nil"/>
              <w:bottom w:val="single" w:sz="8" w:space="0" w:color="A6A6A6"/>
              <w:right w:val="single" w:sz="8" w:space="0" w:color="A6A6A6"/>
            </w:tcBorders>
            <w:shd w:val="clear" w:color="auto" w:fill="auto"/>
            <w:noWrap/>
            <w:vAlign w:val="center"/>
            <w:hideMark/>
          </w:tcPr>
          <w:p w14:paraId="58832236"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90%</w:t>
            </w:r>
          </w:p>
        </w:tc>
        <w:tc>
          <w:tcPr>
            <w:tcW w:w="2960" w:type="dxa"/>
            <w:tcBorders>
              <w:top w:val="nil"/>
              <w:left w:val="nil"/>
              <w:bottom w:val="single" w:sz="8" w:space="0" w:color="A6A6A6"/>
              <w:right w:val="single" w:sz="8" w:space="0" w:color="A6A6A6"/>
            </w:tcBorders>
            <w:shd w:val="clear" w:color="auto" w:fill="auto"/>
            <w:noWrap/>
            <w:vAlign w:val="center"/>
            <w:hideMark/>
          </w:tcPr>
          <w:p w14:paraId="39C4520D"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132%</w:t>
            </w:r>
          </w:p>
        </w:tc>
      </w:tr>
      <w:tr w:rsidR="003E7651" w:rsidRPr="004B3CF1" w14:paraId="612CBC16"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1A28931E" w14:textId="77777777" w:rsidR="003E7651" w:rsidRPr="004B3CF1" w:rsidRDefault="003E7651" w:rsidP="003E7651">
            <w:pPr>
              <w:rPr>
                <w:rFonts w:ascii="Arial" w:hAnsi="Arial" w:cs="Arial"/>
                <w:color w:val="000000"/>
                <w:sz w:val="22"/>
              </w:rPr>
            </w:pPr>
            <w:r w:rsidRPr="004B3CF1">
              <w:rPr>
                <w:rFonts w:ascii="Arial" w:hAnsi="Arial"/>
                <w:color w:val="000000"/>
                <w:sz w:val="22"/>
              </w:rPr>
              <w:t>Municipal Courts</w:t>
            </w:r>
          </w:p>
        </w:tc>
        <w:tc>
          <w:tcPr>
            <w:tcW w:w="1760" w:type="dxa"/>
            <w:tcBorders>
              <w:top w:val="nil"/>
              <w:left w:val="nil"/>
              <w:bottom w:val="single" w:sz="8" w:space="0" w:color="A6A6A6"/>
              <w:right w:val="single" w:sz="8" w:space="0" w:color="A6A6A6"/>
            </w:tcBorders>
            <w:shd w:val="clear" w:color="auto" w:fill="auto"/>
            <w:noWrap/>
            <w:vAlign w:val="center"/>
            <w:hideMark/>
          </w:tcPr>
          <w:p w14:paraId="21A0AEBB"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91%</w:t>
            </w:r>
          </w:p>
        </w:tc>
        <w:tc>
          <w:tcPr>
            <w:tcW w:w="2960" w:type="dxa"/>
            <w:tcBorders>
              <w:top w:val="nil"/>
              <w:left w:val="nil"/>
              <w:bottom w:val="single" w:sz="8" w:space="0" w:color="A6A6A6"/>
              <w:right w:val="single" w:sz="8" w:space="0" w:color="A6A6A6"/>
            </w:tcBorders>
            <w:shd w:val="clear" w:color="auto" w:fill="auto"/>
            <w:noWrap/>
            <w:vAlign w:val="center"/>
            <w:hideMark/>
          </w:tcPr>
          <w:p w14:paraId="2C5C04B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104%</w:t>
            </w:r>
          </w:p>
        </w:tc>
      </w:tr>
      <w:tr w:rsidR="003E7651" w:rsidRPr="004B3CF1" w14:paraId="2619EEB8"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0C388444" w14:textId="77777777" w:rsidR="003E7651" w:rsidRPr="004B3CF1" w:rsidRDefault="003E7651" w:rsidP="003E7651">
            <w:pPr>
              <w:rPr>
                <w:rFonts w:ascii="Arial" w:hAnsi="Arial" w:cs="Arial"/>
                <w:color w:val="000000"/>
                <w:sz w:val="22"/>
              </w:rPr>
            </w:pPr>
            <w:r w:rsidRPr="004B3CF1">
              <w:rPr>
                <w:rFonts w:ascii="Arial" w:hAnsi="Arial"/>
                <w:color w:val="000000"/>
                <w:sz w:val="22"/>
              </w:rPr>
              <w:t>Basic courts</w:t>
            </w:r>
          </w:p>
        </w:tc>
        <w:tc>
          <w:tcPr>
            <w:tcW w:w="1760" w:type="dxa"/>
            <w:tcBorders>
              <w:top w:val="nil"/>
              <w:left w:val="nil"/>
              <w:bottom w:val="single" w:sz="8" w:space="0" w:color="A6A6A6"/>
              <w:right w:val="single" w:sz="8" w:space="0" w:color="A6A6A6"/>
            </w:tcBorders>
            <w:shd w:val="clear" w:color="auto" w:fill="auto"/>
            <w:noWrap/>
            <w:vAlign w:val="center"/>
            <w:hideMark/>
          </w:tcPr>
          <w:p w14:paraId="6F36EA3C"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85%</w:t>
            </w:r>
          </w:p>
        </w:tc>
        <w:tc>
          <w:tcPr>
            <w:tcW w:w="2960" w:type="dxa"/>
            <w:tcBorders>
              <w:top w:val="nil"/>
              <w:left w:val="nil"/>
              <w:bottom w:val="single" w:sz="8" w:space="0" w:color="A6A6A6"/>
              <w:right w:val="single" w:sz="8" w:space="0" w:color="A6A6A6"/>
            </w:tcBorders>
            <w:shd w:val="clear" w:color="auto" w:fill="auto"/>
            <w:noWrap/>
            <w:vAlign w:val="center"/>
            <w:hideMark/>
          </w:tcPr>
          <w:p w14:paraId="28C4EF38"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108%</w:t>
            </w:r>
          </w:p>
        </w:tc>
      </w:tr>
      <w:tr w:rsidR="003E7651" w:rsidRPr="004B3CF1" w14:paraId="74E34154" w14:textId="77777777" w:rsidTr="003E7651">
        <w:trPr>
          <w:trHeight w:val="315"/>
        </w:trPr>
        <w:tc>
          <w:tcPr>
            <w:tcW w:w="3600" w:type="dxa"/>
            <w:tcBorders>
              <w:top w:val="nil"/>
              <w:left w:val="single" w:sz="8" w:space="0" w:color="A6A6A6"/>
              <w:bottom w:val="single" w:sz="8" w:space="0" w:color="A6A6A6"/>
              <w:right w:val="single" w:sz="8" w:space="0" w:color="A6A6A6"/>
            </w:tcBorders>
            <w:shd w:val="clear" w:color="auto" w:fill="auto"/>
            <w:noWrap/>
            <w:vAlign w:val="center"/>
            <w:hideMark/>
          </w:tcPr>
          <w:p w14:paraId="4BE7C53C" w14:textId="77777777" w:rsidR="003E7651" w:rsidRPr="004B3CF1" w:rsidRDefault="003E7651" w:rsidP="003E7651">
            <w:pPr>
              <w:rPr>
                <w:rFonts w:ascii="Arial" w:hAnsi="Arial" w:cs="Arial"/>
                <w:color w:val="000000"/>
                <w:sz w:val="22"/>
              </w:rPr>
            </w:pPr>
            <w:r w:rsidRPr="004B3CF1">
              <w:rPr>
                <w:rFonts w:ascii="Arial" w:hAnsi="Arial"/>
                <w:color w:val="000000"/>
                <w:sz w:val="22"/>
              </w:rPr>
              <w:t>The Basic Court of the Brcko District BiH</w:t>
            </w:r>
          </w:p>
        </w:tc>
        <w:tc>
          <w:tcPr>
            <w:tcW w:w="1760" w:type="dxa"/>
            <w:tcBorders>
              <w:top w:val="nil"/>
              <w:left w:val="nil"/>
              <w:bottom w:val="single" w:sz="8" w:space="0" w:color="A6A6A6"/>
              <w:right w:val="single" w:sz="8" w:space="0" w:color="A6A6A6"/>
            </w:tcBorders>
            <w:shd w:val="clear" w:color="auto" w:fill="auto"/>
            <w:noWrap/>
            <w:vAlign w:val="center"/>
            <w:hideMark/>
          </w:tcPr>
          <w:p w14:paraId="15867813"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90%</w:t>
            </w:r>
          </w:p>
        </w:tc>
        <w:tc>
          <w:tcPr>
            <w:tcW w:w="2960" w:type="dxa"/>
            <w:tcBorders>
              <w:top w:val="nil"/>
              <w:left w:val="nil"/>
              <w:bottom w:val="single" w:sz="8" w:space="0" w:color="A6A6A6"/>
              <w:right w:val="single" w:sz="8" w:space="0" w:color="A6A6A6"/>
            </w:tcBorders>
            <w:shd w:val="clear" w:color="auto" w:fill="auto"/>
            <w:noWrap/>
            <w:vAlign w:val="center"/>
            <w:hideMark/>
          </w:tcPr>
          <w:p w14:paraId="62B92C3E"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 xml:space="preserve">146% </w:t>
            </w:r>
          </w:p>
        </w:tc>
      </w:tr>
    </w:tbl>
    <w:p w14:paraId="4A769EEF" w14:textId="767D689C" w:rsidR="003E7651" w:rsidRPr="004B3CF1" w:rsidRDefault="003E7651" w:rsidP="003E7651">
      <w:pPr>
        <w:pStyle w:val="TREINASLOV"/>
      </w:pPr>
      <w:bookmarkStart w:id="215" w:name="_Toc97722098"/>
      <w:bookmarkStart w:id="216" w:name="_Toc101944278"/>
      <w:bookmarkStart w:id="217" w:name="_Toc112852484"/>
      <w:r w:rsidRPr="004B3CF1">
        <w:t>Statute of limitations</w:t>
      </w:r>
      <w:bookmarkEnd w:id="215"/>
      <w:bookmarkEnd w:id="216"/>
      <w:bookmarkEnd w:id="217"/>
    </w:p>
    <w:p w14:paraId="43BC1E60" w14:textId="77777777" w:rsidR="003E7651" w:rsidRPr="004B3CF1" w:rsidRDefault="003E7651" w:rsidP="003E7651">
      <w:pPr>
        <w:pStyle w:val="Tekst"/>
      </w:pPr>
      <w:r w:rsidRPr="004B3CF1">
        <w:t>In 2021, there were 202 cases registered in the CMS that fell under the statute of limitations, as well as 55 cases in which the enforcement of criminal sanctions fell under the statute of limitations. The total number of cases that fell under the statute of limitations (after the indictment), including also the enforcement of criminal sanctions, increased by 19 cases or 8%, as in 2021, 257 cases were registered as completed by the courts as they fell under the statute of limitations, compared to 238 such cases in 2020.</w:t>
      </w:r>
    </w:p>
    <w:p w14:paraId="22E623C4" w14:textId="77777777" w:rsidR="003E7651" w:rsidRPr="004B3CF1" w:rsidRDefault="003E7651" w:rsidP="003E7651">
      <w:pPr>
        <w:pStyle w:val="Tekst"/>
      </w:pPr>
      <w:r w:rsidRPr="004B3CF1">
        <w:t>As in the past, the courts often registered the cases as completed because of the statute of limitations running out due to the accused being unavailable (159 cases or 62%), while in a number of cases such decisions were rendered because the case arrived to a court after the statute of limitations ran out (13 cases or 5%).</w:t>
      </w:r>
    </w:p>
    <w:p w14:paraId="71F6D657" w14:textId="77777777" w:rsidR="003E7651" w:rsidRPr="004B3CF1" w:rsidRDefault="003E7651" w:rsidP="003E7651">
      <w:pPr>
        <w:pStyle w:val="Tekst"/>
      </w:pPr>
      <w:r>
        <w:t>In 2021, the courts registered</w:t>
      </w:r>
      <w:r w:rsidRPr="004B3CF1">
        <w:t xml:space="preserve"> 112 cases as completed in the CMS, after the statutory deadline to initiate or conduct minor offence proceedings was</w:t>
      </w:r>
      <w:r>
        <w:t xml:space="preserve"> missed, which is</w:t>
      </w:r>
      <w:r w:rsidRPr="004B3CF1">
        <w:t xml:space="preserve"> 19 cases or 20% more than in 2020. The relative statute of limitations ran out in 38 minor offence cases, of which 33 were rece</w:t>
      </w:r>
      <w:r>
        <w:t>ived after having fallen under</w:t>
      </w:r>
      <w:r w:rsidRPr="004B3CF1">
        <w:t xml:space="preserve"> the statute of limitations to initiate and conduct the minor offence proceedings. The absolute statute of limitations ran out in 74 minor offence cases, out of which 30 or 41% were received after having fallen under the statute of limitations to initiate and conduct the minor offence proceedings. </w:t>
      </w:r>
    </w:p>
    <w:p w14:paraId="2589B407" w14:textId="77777777" w:rsidR="003E7651" w:rsidRPr="004B3CF1" w:rsidRDefault="003E7651" w:rsidP="003E7651">
      <w:pPr>
        <w:pStyle w:val="Tekst"/>
      </w:pPr>
    </w:p>
    <w:p w14:paraId="2ECC4417"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12</w:t>
      </w:r>
      <w:r w:rsidR="006D1459">
        <w:fldChar w:fldCharType="end"/>
      </w:r>
      <w:r w:rsidRPr="004B3CF1">
        <w:t>: Statute of limitations</w:t>
      </w:r>
    </w:p>
    <w:tbl>
      <w:tblPr>
        <w:tblW w:w="7315" w:type="dxa"/>
        <w:tblInd w:w="118" w:type="dxa"/>
        <w:tblLook w:val="04A0" w:firstRow="1" w:lastRow="0" w:firstColumn="1" w:lastColumn="0" w:noHBand="0" w:noVBand="1"/>
      </w:tblPr>
      <w:tblGrid>
        <w:gridCol w:w="2720"/>
        <w:gridCol w:w="1146"/>
        <w:gridCol w:w="1195"/>
        <w:gridCol w:w="1195"/>
        <w:gridCol w:w="1120"/>
      </w:tblGrid>
      <w:tr w:rsidR="003E7651" w:rsidRPr="004B3CF1" w14:paraId="179D2F0C" w14:textId="77777777" w:rsidTr="003E7651">
        <w:trPr>
          <w:trHeight w:val="600"/>
        </w:trPr>
        <w:tc>
          <w:tcPr>
            <w:tcW w:w="2720" w:type="dxa"/>
            <w:tcBorders>
              <w:top w:val="single" w:sz="8" w:space="0" w:color="A6A6A6"/>
              <w:left w:val="single" w:sz="8" w:space="0" w:color="A6A6A6"/>
              <w:bottom w:val="single" w:sz="8" w:space="0" w:color="A6A6A6"/>
              <w:right w:val="single" w:sz="8" w:space="0" w:color="A6A6A6"/>
            </w:tcBorders>
            <w:shd w:val="clear" w:color="000000" w:fill="D9D9D9"/>
            <w:noWrap/>
            <w:hideMark/>
          </w:tcPr>
          <w:p w14:paraId="6D5CEE22"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Case type</w:t>
            </w:r>
          </w:p>
        </w:tc>
        <w:tc>
          <w:tcPr>
            <w:tcW w:w="1146" w:type="dxa"/>
            <w:tcBorders>
              <w:top w:val="single" w:sz="8" w:space="0" w:color="A6A6A6"/>
              <w:left w:val="nil"/>
              <w:bottom w:val="single" w:sz="8" w:space="0" w:color="A6A6A6"/>
              <w:right w:val="single" w:sz="8" w:space="0" w:color="A6A6A6"/>
            </w:tcBorders>
            <w:shd w:val="clear" w:color="000000" w:fill="D9D9D9"/>
            <w:hideMark/>
          </w:tcPr>
          <w:p w14:paraId="21288F01"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Case type</w:t>
            </w:r>
          </w:p>
        </w:tc>
        <w:tc>
          <w:tcPr>
            <w:tcW w:w="1134" w:type="dxa"/>
            <w:tcBorders>
              <w:top w:val="single" w:sz="8" w:space="0" w:color="A6A6A6"/>
              <w:left w:val="nil"/>
              <w:bottom w:val="single" w:sz="8" w:space="0" w:color="A6A6A6"/>
              <w:right w:val="single" w:sz="8" w:space="0" w:color="A6A6A6"/>
            </w:tcBorders>
            <w:shd w:val="clear" w:color="000000" w:fill="D9D9D9"/>
            <w:hideMark/>
          </w:tcPr>
          <w:p w14:paraId="2C02EE8F"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Relative statute of limitations</w:t>
            </w:r>
          </w:p>
        </w:tc>
        <w:tc>
          <w:tcPr>
            <w:tcW w:w="1195" w:type="dxa"/>
            <w:tcBorders>
              <w:top w:val="single" w:sz="8" w:space="0" w:color="A6A6A6"/>
              <w:left w:val="nil"/>
              <w:bottom w:val="single" w:sz="8" w:space="0" w:color="A6A6A6"/>
              <w:right w:val="single" w:sz="8" w:space="0" w:color="A6A6A6"/>
            </w:tcBorders>
            <w:shd w:val="clear" w:color="000000" w:fill="D9D9D9"/>
            <w:hideMark/>
          </w:tcPr>
          <w:p w14:paraId="0786AB96"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Absolute statute of limitations</w:t>
            </w:r>
          </w:p>
        </w:tc>
        <w:tc>
          <w:tcPr>
            <w:tcW w:w="1120" w:type="dxa"/>
            <w:tcBorders>
              <w:top w:val="single" w:sz="8" w:space="0" w:color="A6A6A6"/>
              <w:left w:val="nil"/>
              <w:bottom w:val="single" w:sz="8" w:space="0" w:color="A6A6A6"/>
              <w:right w:val="single" w:sz="8" w:space="0" w:color="A6A6A6"/>
            </w:tcBorders>
            <w:shd w:val="clear" w:color="000000" w:fill="D9D9D9"/>
            <w:hideMark/>
          </w:tcPr>
          <w:p w14:paraId="54713F7B"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Total</w:t>
            </w:r>
          </w:p>
        </w:tc>
      </w:tr>
      <w:tr w:rsidR="003E7651" w:rsidRPr="004B3CF1" w14:paraId="4B23D8C9" w14:textId="77777777" w:rsidTr="003E7651">
        <w:trPr>
          <w:trHeight w:val="315"/>
        </w:trPr>
        <w:tc>
          <w:tcPr>
            <w:tcW w:w="2720" w:type="dxa"/>
            <w:vMerge w:val="restart"/>
            <w:tcBorders>
              <w:top w:val="nil"/>
              <w:left w:val="single" w:sz="8" w:space="0" w:color="A6A6A6"/>
              <w:bottom w:val="nil"/>
              <w:right w:val="single" w:sz="8" w:space="0" w:color="A6A6A6"/>
            </w:tcBorders>
            <w:shd w:val="clear" w:color="auto" w:fill="auto"/>
            <w:noWrap/>
            <w:hideMark/>
          </w:tcPr>
          <w:p w14:paraId="04229F47"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w:t>
            </w:r>
          </w:p>
          <w:p w14:paraId="3F4517F2" w14:textId="77777777" w:rsidR="003E7651" w:rsidRPr="004B3CF1" w:rsidRDefault="003E7651" w:rsidP="003E7651">
            <w:pPr>
              <w:autoSpaceDE w:val="0"/>
              <w:autoSpaceDN w:val="0"/>
              <w:adjustRightInd w:val="0"/>
              <w:rPr>
                <w:rFonts w:ascii="Arial" w:hAnsi="Arial" w:cs="Arial"/>
                <w:color w:val="000000"/>
                <w:sz w:val="22"/>
                <w:szCs w:val="22"/>
                <w:lang w:eastAsia="bs-Latn-BA"/>
              </w:rPr>
            </w:pPr>
          </w:p>
        </w:tc>
        <w:tc>
          <w:tcPr>
            <w:tcW w:w="1146" w:type="dxa"/>
            <w:tcBorders>
              <w:top w:val="nil"/>
              <w:left w:val="nil"/>
              <w:bottom w:val="single" w:sz="8" w:space="0" w:color="A6A6A6"/>
              <w:right w:val="single" w:sz="8" w:space="0" w:color="A6A6A6"/>
            </w:tcBorders>
            <w:shd w:val="clear" w:color="auto" w:fill="auto"/>
            <w:noWrap/>
            <w:hideMark/>
          </w:tcPr>
          <w:p w14:paraId="58B47EBF"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Iks</w:t>
            </w:r>
          </w:p>
        </w:tc>
        <w:tc>
          <w:tcPr>
            <w:tcW w:w="1134" w:type="dxa"/>
            <w:tcBorders>
              <w:top w:val="nil"/>
              <w:left w:val="nil"/>
              <w:bottom w:val="single" w:sz="8" w:space="0" w:color="A6A6A6"/>
              <w:right w:val="single" w:sz="8" w:space="0" w:color="A6A6A6"/>
            </w:tcBorders>
            <w:shd w:val="clear" w:color="auto" w:fill="auto"/>
            <w:noWrap/>
            <w:hideMark/>
          </w:tcPr>
          <w:p w14:paraId="1F6F4B7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195" w:type="dxa"/>
            <w:tcBorders>
              <w:top w:val="nil"/>
              <w:left w:val="nil"/>
              <w:bottom w:val="single" w:sz="8" w:space="0" w:color="A6A6A6"/>
              <w:right w:val="single" w:sz="8" w:space="0" w:color="A6A6A6"/>
            </w:tcBorders>
            <w:shd w:val="clear" w:color="auto" w:fill="auto"/>
            <w:noWrap/>
            <w:hideMark/>
          </w:tcPr>
          <w:p w14:paraId="0BADF0A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55</w:t>
            </w:r>
          </w:p>
        </w:tc>
        <w:tc>
          <w:tcPr>
            <w:tcW w:w="1120" w:type="dxa"/>
            <w:tcBorders>
              <w:top w:val="nil"/>
              <w:left w:val="nil"/>
              <w:bottom w:val="single" w:sz="8" w:space="0" w:color="A6A6A6"/>
              <w:right w:val="single" w:sz="8" w:space="0" w:color="A6A6A6"/>
            </w:tcBorders>
            <w:shd w:val="clear" w:color="000000" w:fill="FFFFFF"/>
            <w:noWrap/>
            <w:hideMark/>
          </w:tcPr>
          <w:p w14:paraId="2AF66F9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55</w:t>
            </w:r>
          </w:p>
        </w:tc>
      </w:tr>
      <w:tr w:rsidR="003E7651" w:rsidRPr="004B3CF1" w14:paraId="76EBD5A3" w14:textId="77777777" w:rsidTr="003E7651">
        <w:trPr>
          <w:trHeight w:val="315"/>
        </w:trPr>
        <w:tc>
          <w:tcPr>
            <w:tcW w:w="2720" w:type="dxa"/>
            <w:vMerge/>
            <w:tcBorders>
              <w:top w:val="nil"/>
              <w:left w:val="single" w:sz="8" w:space="0" w:color="A6A6A6"/>
              <w:bottom w:val="nil"/>
              <w:right w:val="single" w:sz="8" w:space="0" w:color="A6A6A6"/>
            </w:tcBorders>
            <w:hideMark/>
          </w:tcPr>
          <w:p w14:paraId="39406432"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7650AF72"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K</w:t>
            </w:r>
          </w:p>
        </w:tc>
        <w:tc>
          <w:tcPr>
            <w:tcW w:w="1134" w:type="dxa"/>
            <w:tcBorders>
              <w:top w:val="nil"/>
              <w:left w:val="nil"/>
              <w:bottom w:val="single" w:sz="8" w:space="0" w:color="A6A6A6"/>
              <w:right w:val="single" w:sz="8" w:space="0" w:color="A6A6A6"/>
            </w:tcBorders>
            <w:shd w:val="clear" w:color="auto" w:fill="auto"/>
            <w:noWrap/>
            <w:hideMark/>
          </w:tcPr>
          <w:p w14:paraId="1067AE1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w:t>
            </w:r>
          </w:p>
        </w:tc>
        <w:tc>
          <w:tcPr>
            <w:tcW w:w="1195" w:type="dxa"/>
            <w:tcBorders>
              <w:top w:val="nil"/>
              <w:left w:val="nil"/>
              <w:bottom w:val="single" w:sz="8" w:space="0" w:color="A6A6A6"/>
              <w:right w:val="single" w:sz="8" w:space="0" w:color="A6A6A6"/>
            </w:tcBorders>
            <w:shd w:val="clear" w:color="auto" w:fill="auto"/>
            <w:noWrap/>
            <w:hideMark/>
          </w:tcPr>
          <w:p w14:paraId="748E5DA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87</w:t>
            </w:r>
          </w:p>
        </w:tc>
        <w:tc>
          <w:tcPr>
            <w:tcW w:w="1120" w:type="dxa"/>
            <w:tcBorders>
              <w:top w:val="nil"/>
              <w:left w:val="nil"/>
              <w:bottom w:val="single" w:sz="8" w:space="0" w:color="A6A6A6"/>
              <w:right w:val="single" w:sz="8" w:space="0" w:color="A6A6A6"/>
            </w:tcBorders>
            <w:shd w:val="clear" w:color="000000" w:fill="FFFFFF"/>
            <w:noWrap/>
            <w:hideMark/>
          </w:tcPr>
          <w:p w14:paraId="14AAC8F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90</w:t>
            </w:r>
          </w:p>
        </w:tc>
      </w:tr>
      <w:tr w:rsidR="003E7651" w:rsidRPr="004B3CF1" w14:paraId="5D3BF793" w14:textId="77777777" w:rsidTr="003E7651">
        <w:trPr>
          <w:trHeight w:val="315"/>
        </w:trPr>
        <w:tc>
          <w:tcPr>
            <w:tcW w:w="2720" w:type="dxa"/>
            <w:vMerge/>
            <w:tcBorders>
              <w:top w:val="nil"/>
              <w:left w:val="single" w:sz="8" w:space="0" w:color="A6A6A6"/>
              <w:bottom w:val="nil"/>
              <w:right w:val="single" w:sz="8" w:space="0" w:color="A6A6A6"/>
            </w:tcBorders>
            <w:hideMark/>
          </w:tcPr>
          <w:p w14:paraId="506FB35E"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6840FF61"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Kps</w:t>
            </w:r>
          </w:p>
        </w:tc>
        <w:tc>
          <w:tcPr>
            <w:tcW w:w="1134" w:type="dxa"/>
            <w:tcBorders>
              <w:top w:val="nil"/>
              <w:left w:val="nil"/>
              <w:bottom w:val="single" w:sz="8" w:space="0" w:color="A6A6A6"/>
              <w:right w:val="single" w:sz="8" w:space="0" w:color="A6A6A6"/>
            </w:tcBorders>
            <w:shd w:val="clear" w:color="auto" w:fill="auto"/>
            <w:noWrap/>
            <w:hideMark/>
          </w:tcPr>
          <w:p w14:paraId="20920B1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195" w:type="dxa"/>
            <w:tcBorders>
              <w:top w:val="nil"/>
              <w:left w:val="nil"/>
              <w:bottom w:val="single" w:sz="8" w:space="0" w:color="A6A6A6"/>
              <w:right w:val="single" w:sz="8" w:space="0" w:color="A6A6A6"/>
            </w:tcBorders>
            <w:shd w:val="clear" w:color="auto" w:fill="auto"/>
            <w:noWrap/>
            <w:hideMark/>
          </w:tcPr>
          <w:p w14:paraId="1DC0964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55</w:t>
            </w:r>
          </w:p>
        </w:tc>
        <w:tc>
          <w:tcPr>
            <w:tcW w:w="1120" w:type="dxa"/>
            <w:tcBorders>
              <w:top w:val="nil"/>
              <w:left w:val="nil"/>
              <w:bottom w:val="single" w:sz="8" w:space="0" w:color="A6A6A6"/>
              <w:right w:val="single" w:sz="8" w:space="0" w:color="A6A6A6"/>
            </w:tcBorders>
            <w:shd w:val="clear" w:color="000000" w:fill="FFFFFF"/>
            <w:noWrap/>
            <w:hideMark/>
          </w:tcPr>
          <w:p w14:paraId="0051CD4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56</w:t>
            </w:r>
          </w:p>
        </w:tc>
      </w:tr>
      <w:tr w:rsidR="003E7651" w:rsidRPr="004B3CF1" w14:paraId="6A0B3724" w14:textId="77777777" w:rsidTr="003E7651">
        <w:trPr>
          <w:trHeight w:val="315"/>
        </w:trPr>
        <w:tc>
          <w:tcPr>
            <w:tcW w:w="2720" w:type="dxa"/>
            <w:vMerge/>
            <w:tcBorders>
              <w:top w:val="nil"/>
              <w:left w:val="single" w:sz="8" w:space="0" w:color="A6A6A6"/>
              <w:bottom w:val="nil"/>
              <w:right w:val="single" w:sz="8" w:space="0" w:color="A6A6A6"/>
            </w:tcBorders>
            <w:hideMark/>
          </w:tcPr>
          <w:p w14:paraId="6095AEC0"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695DD6A3"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Kv</w:t>
            </w:r>
          </w:p>
        </w:tc>
        <w:tc>
          <w:tcPr>
            <w:tcW w:w="1134" w:type="dxa"/>
            <w:tcBorders>
              <w:top w:val="nil"/>
              <w:left w:val="nil"/>
              <w:bottom w:val="single" w:sz="8" w:space="0" w:color="A6A6A6"/>
              <w:right w:val="single" w:sz="8" w:space="0" w:color="A6A6A6"/>
            </w:tcBorders>
            <w:shd w:val="clear" w:color="auto" w:fill="auto"/>
            <w:noWrap/>
            <w:hideMark/>
          </w:tcPr>
          <w:p w14:paraId="500011B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195" w:type="dxa"/>
            <w:tcBorders>
              <w:top w:val="nil"/>
              <w:left w:val="nil"/>
              <w:bottom w:val="single" w:sz="8" w:space="0" w:color="A6A6A6"/>
              <w:right w:val="single" w:sz="8" w:space="0" w:color="A6A6A6"/>
            </w:tcBorders>
            <w:shd w:val="clear" w:color="auto" w:fill="auto"/>
            <w:noWrap/>
            <w:hideMark/>
          </w:tcPr>
          <w:p w14:paraId="2DB485E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47</w:t>
            </w:r>
          </w:p>
        </w:tc>
        <w:tc>
          <w:tcPr>
            <w:tcW w:w="1120" w:type="dxa"/>
            <w:tcBorders>
              <w:top w:val="nil"/>
              <w:left w:val="nil"/>
              <w:bottom w:val="single" w:sz="8" w:space="0" w:color="A6A6A6"/>
              <w:right w:val="single" w:sz="8" w:space="0" w:color="A6A6A6"/>
            </w:tcBorders>
            <w:shd w:val="clear" w:color="000000" w:fill="FFFFFF"/>
            <w:noWrap/>
            <w:hideMark/>
          </w:tcPr>
          <w:p w14:paraId="0181C26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48</w:t>
            </w:r>
          </w:p>
        </w:tc>
      </w:tr>
      <w:tr w:rsidR="003E7651" w:rsidRPr="004B3CF1" w14:paraId="0375D051" w14:textId="77777777" w:rsidTr="003E7651">
        <w:trPr>
          <w:trHeight w:val="315"/>
        </w:trPr>
        <w:tc>
          <w:tcPr>
            <w:tcW w:w="2720" w:type="dxa"/>
            <w:vMerge/>
            <w:tcBorders>
              <w:top w:val="nil"/>
              <w:left w:val="single" w:sz="8" w:space="0" w:color="A6A6A6"/>
              <w:bottom w:val="nil"/>
              <w:right w:val="single" w:sz="8" w:space="0" w:color="A6A6A6"/>
            </w:tcBorders>
          </w:tcPr>
          <w:p w14:paraId="4B4F3E7D"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tcPr>
          <w:p w14:paraId="3A1D219E"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Kvlz</w:t>
            </w:r>
          </w:p>
        </w:tc>
        <w:tc>
          <w:tcPr>
            <w:tcW w:w="1134" w:type="dxa"/>
            <w:tcBorders>
              <w:top w:val="nil"/>
              <w:left w:val="nil"/>
              <w:bottom w:val="single" w:sz="8" w:space="0" w:color="A6A6A6"/>
              <w:right w:val="single" w:sz="8" w:space="0" w:color="A6A6A6"/>
            </w:tcBorders>
            <w:shd w:val="clear" w:color="auto" w:fill="auto"/>
            <w:noWrap/>
          </w:tcPr>
          <w:p w14:paraId="0A9F8CE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195" w:type="dxa"/>
            <w:tcBorders>
              <w:top w:val="nil"/>
              <w:left w:val="nil"/>
              <w:bottom w:val="single" w:sz="8" w:space="0" w:color="A6A6A6"/>
              <w:right w:val="single" w:sz="8" w:space="0" w:color="A6A6A6"/>
            </w:tcBorders>
            <w:shd w:val="clear" w:color="auto" w:fill="auto"/>
            <w:noWrap/>
          </w:tcPr>
          <w:p w14:paraId="25EE5AD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120" w:type="dxa"/>
            <w:tcBorders>
              <w:top w:val="nil"/>
              <w:left w:val="nil"/>
              <w:bottom w:val="single" w:sz="8" w:space="0" w:color="A6A6A6"/>
              <w:right w:val="single" w:sz="8" w:space="0" w:color="A6A6A6"/>
            </w:tcBorders>
            <w:shd w:val="clear" w:color="000000" w:fill="FFFFFF"/>
            <w:noWrap/>
          </w:tcPr>
          <w:p w14:paraId="441F651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r>
      <w:tr w:rsidR="003E7651" w:rsidRPr="004B3CF1" w14:paraId="457DC59C" w14:textId="77777777" w:rsidTr="003E7651">
        <w:trPr>
          <w:trHeight w:val="315"/>
        </w:trPr>
        <w:tc>
          <w:tcPr>
            <w:tcW w:w="2720" w:type="dxa"/>
            <w:vMerge/>
            <w:tcBorders>
              <w:top w:val="nil"/>
              <w:left w:val="single" w:sz="8" w:space="0" w:color="A6A6A6"/>
              <w:bottom w:val="nil"/>
              <w:right w:val="single" w:sz="8" w:space="0" w:color="A6A6A6"/>
            </w:tcBorders>
            <w:hideMark/>
          </w:tcPr>
          <w:p w14:paraId="59C5664D"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04F27EA1"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Kž</w:t>
            </w:r>
          </w:p>
        </w:tc>
        <w:tc>
          <w:tcPr>
            <w:tcW w:w="1134" w:type="dxa"/>
            <w:tcBorders>
              <w:top w:val="nil"/>
              <w:left w:val="nil"/>
              <w:bottom w:val="single" w:sz="8" w:space="0" w:color="A6A6A6"/>
              <w:right w:val="single" w:sz="8" w:space="0" w:color="A6A6A6"/>
            </w:tcBorders>
            <w:shd w:val="clear" w:color="auto" w:fill="auto"/>
            <w:noWrap/>
            <w:hideMark/>
          </w:tcPr>
          <w:p w14:paraId="65F0941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195" w:type="dxa"/>
            <w:tcBorders>
              <w:top w:val="nil"/>
              <w:left w:val="nil"/>
              <w:bottom w:val="single" w:sz="8" w:space="0" w:color="A6A6A6"/>
              <w:right w:val="single" w:sz="8" w:space="0" w:color="A6A6A6"/>
            </w:tcBorders>
            <w:shd w:val="clear" w:color="auto" w:fill="auto"/>
            <w:noWrap/>
            <w:hideMark/>
          </w:tcPr>
          <w:p w14:paraId="596F347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w:t>
            </w:r>
          </w:p>
        </w:tc>
        <w:tc>
          <w:tcPr>
            <w:tcW w:w="1120" w:type="dxa"/>
            <w:tcBorders>
              <w:top w:val="nil"/>
              <w:left w:val="nil"/>
              <w:bottom w:val="single" w:sz="8" w:space="0" w:color="A6A6A6"/>
              <w:right w:val="single" w:sz="8" w:space="0" w:color="A6A6A6"/>
            </w:tcBorders>
            <w:shd w:val="clear" w:color="000000" w:fill="FFFFFF"/>
            <w:noWrap/>
            <w:hideMark/>
          </w:tcPr>
          <w:p w14:paraId="1A3D875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w:t>
            </w:r>
          </w:p>
        </w:tc>
      </w:tr>
      <w:tr w:rsidR="003E7651" w:rsidRPr="004B3CF1" w14:paraId="78EE9CF0" w14:textId="77777777" w:rsidTr="003E7651">
        <w:trPr>
          <w:trHeight w:val="315"/>
        </w:trPr>
        <w:tc>
          <w:tcPr>
            <w:tcW w:w="2720" w:type="dxa"/>
            <w:vMerge/>
            <w:tcBorders>
              <w:top w:val="nil"/>
              <w:left w:val="single" w:sz="8" w:space="0" w:color="A6A6A6"/>
              <w:bottom w:val="nil"/>
              <w:right w:val="single" w:sz="8" w:space="0" w:color="A6A6A6"/>
            </w:tcBorders>
            <w:hideMark/>
          </w:tcPr>
          <w:p w14:paraId="0512C393"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3BE57FF9"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Kžk</w:t>
            </w:r>
          </w:p>
        </w:tc>
        <w:tc>
          <w:tcPr>
            <w:tcW w:w="1134" w:type="dxa"/>
            <w:tcBorders>
              <w:top w:val="nil"/>
              <w:left w:val="nil"/>
              <w:bottom w:val="single" w:sz="8" w:space="0" w:color="A6A6A6"/>
              <w:right w:val="single" w:sz="8" w:space="0" w:color="A6A6A6"/>
            </w:tcBorders>
            <w:shd w:val="clear" w:color="auto" w:fill="auto"/>
            <w:noWrap/>
            <w:hideMark/>
          </w:tcPr>
          <w:p w14:paraId="6E6B355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195" w:type="dxa"/>
            <w:tcBorders>
              <w:top w:val="nil"/>
              <w:left w:val="nil"/>
              <w:bottom w:val="single" w:sz="8" w:space="0" w:color="A6A6A6"/>
              <w:right w:val="single" w:sz="8" w:space="0" w:color="A6A6A6"/>
            </w:tcBorders>
            <w:shd w:val="clear" w:color="auto" w:fill="auto"/>
            <w:noWrap/>
            <w:hideMark/>
          </w:tcPr>
          <w:p w14:paraId="21E957A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w:t>
            </w:r>
          </w:p>
        </w:tc>
        <w:tc>
          <w:tcPr>
            <w:tcW w:w="1120" w:type="dxa"/>
            <w:tcBorders>
              <w:top w:val="nil"/>
              <w:left w:val="nil"/>
              <w:bottom w:val="single" w:sz="8" w:space="0" w:color="A6A6A6"/>
              <w:right w:val="single" w:sz="8" w:space="0" w:color="A6A6A6"/>
            </w:tcBorders>
            <w:shd w:val="clear" w:color="000000" w:fill="FFFFFF"/>
            <w:noWrap/>
            <w:hideMark/>
          </w:tcPr>
          <w:p w14:paraId="0FD4FCB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w:t>
            </w:r>
          </w:p>
        </w:tc>
      </w:tr>
      <w:tr w:rsidR="003E7651" w:rsidRPr="004B3CF1" w14:paraId="52F91C13" w14:textId="77777777" w:rsidTr="003E7651">
        <w:trPr>
          <w:trHeight w:val="315"/>
        </w:trPr>
        <w:tc>
          <w:tcPr>
            <w:tcW w:w="2720" w:type="dxa"/>
            <w:tcBorders>
              <w:top w:val="single" w:sz="8" w:space="0" w:color="A6A6A6"/>
              <w:left w:val="single" w:sz="8" w:space="0" w:color="A6A6A6"/>
              <w:bottom w:val="single" w:sz="8" w:space="0" w:color="A6A6A6"/>
              <w:right w:val="single" w:sz="8" w:space="0" w:color="A6A6A6"/>
            </w:tcBorders>
            <w:shd w:val="clear" w:color="000000" w:fill="F2F2F2"/>
            <w:noWrap/>
            <w:hideMark/>
          </w:tcPr>
          <w:p w14:paraId="75079B72"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Total criminal cases</w:t>
            </w:r>
          </w:p>
        </w:tc>
        <w:tc>
          <w:tcPr>
            <w:tcW w:w="1146" w:type="dxa"/>
            <w:tcBorders>
              <w:top w:val="nil"/>
              <w:left w:val="nil"/>
              <w:bottom w:val="single" w:sz="8" w:space="0" w:color="A6A6A6"/>
              <w:right w:val="single" w:sz="8" w:space="0" w:color="A6A6A6"/>
            </w:tcBorders>
            <w:shd w:val="clear" w:color="000000" w:fill="F2F2F2"/>
            <w:noWrap/>
            <w:hideMark/>
          </w:tcPr>
          <w:p w14:paraId="3FE352C9" w14:textId="77777777" w:rsidR="003E7651" w:rsidRPr="004B3CF1" w:rsidRDefault="003E7651" w:rsidP="003E7651">
            <w:pPr>
              <w:autoSpaceDE w:val="0"/>
              <w:autoSpaceDN w:val="0"/>
              <w:adjustRightInd w:val="0"/>
              <w:jc w:val="center"/>
              <w:rPr>
                <w:rFonts w:ascii="Arial" w:hAnsi="Arial" w:cs="Arial"/>
                <w:color w:val="000000"/>
                <w:sz w:val="22"/>
                <w:szCs w:val="22"/>
                <w:lang w:eastAsia="bs-Latn-BA"/>
              </w:rPr>
            </w:pPr>
          </w:p>
        </w:tc>
        <w:tc>
          <w:tcPr>
            <w:tcW w:w="1134" w:type="dxa"/>
            <w:tcBorders>
              <w:top w:val="nil"/>
              <w:left w:val="nil"/>
              <w:bottom w:val="single" w:sz="8" w:space="0" w:color="A6A6A6"/>
              <w:right w:val="single" w:sz="8" w:space="0" w:color="A6A6A6"/>
            </w:tcBorders>
            <w:shd w:val="clear" w:color="000000" w:fill="F2F2F2"/>
            <w:noWrap/>
            <w:hideMark/>
          </w:tcPr>
          <w:p w14:paraId="0EEBB1EE" w14:textId="77777777" w:rsidR="003E7651" w:rsidRPr="004B3CF1" w:rsidRDefault="003E7651" w:rsidP="003E7651">
            <w:pPr>
              <w:autoSpaceDE w:val="0"/>
              <w:autoSpaceDN w:val="0"/>
              <w:adjustRightInd w:val="0"/>
              <w:jc w:val="right"/>
              <w:rPr>
                <w:rFonts w:ascii="Arial" w:hAnsi="Arial" w:cs="Arial"/>
                <w:b/>
                <w:color w:val="000000"/>
                <w:sz w:val="22"/>
                <w:szCs w:val="22"/>
              </w:rPr>
            </w:pPr>
            <w:r w:rsidRPr="004B3CF1">
              <w:rPr>
                <w:rFonts w:ascii="Arial" w:hAnsi="Arial"/>
                <w:b/>
                <w:color w:val="000000"/>
                <w:sz w:val="22"/>
                <w:szCs w:val="22"/>
              </w:rPr>
              <w:t>5</w:t>
            </w:r>
          </w:p>
        </w:tc>
        <w:tc>
          <w:tcPr>
            <w:tcW w:w="1195" w:type="dxa"/>
            <w:tcBorders>
              <w:top w:val="nil"/>
              <w:left w:val="nil"/>
              <w:bottom w:val="single" w:sz="8" w:space="0" w:color="A6A6A6"/>
              <w:right w:val="single" w:sz="8" w:space="0" w:color="A6A6A6"/>
            </w:tcBorders>
            <w:shd w:val="clear" w:color="000000" w:fill="F2F2F2"/>
            <w:noWrap/>
            <w:hideMark/>
          </w:tcPr>
          <w:p w14:paraId="0315A0D3" w14:textId="77777777" w:rsidR="003E7651" w:rsidRPr="004B3CF1" w:rsidRDefault="003E7651" w:rsidP="003E7651">
            <w:pPr>
              <w:autoSpaceDE w:val="0"/>
              <w:autoSpaceDN w:val="0"/>
              <w:adjustRightInd w:val="0"/>
              <w:jc w:val="right"/>
              <w:rPr>
                <w:rFonts w:ascii="Arial" w:hAnsi="Arial" w:cs="Arial"/>
                <w:b/>
                <w:color w:val="000000"/>
                <w:sz w:val="22"/>
                <w:szCs w:val="22"/>
              </w:rPr>
            </w:pPr>
            <w:r w:rsidRPr="004B3CF1">
              <w:rPr>
                <w:rFonts w:ascii="Arial" w:hAnsi="Arial"/>
                <w:b/>
                <w:color w:val="000000"/>
                <w:sz w:val="22"/>
                <w:szCs w:val="22"/>
              </w:rPr>
              <w:t>252</w:t>
            </w:r>
          </w:p>
        </w:tc>
        <w:tc>
          <w:tcPr>
            <w:tcW w:w="1120" w:type="dxa"/>
            <w:tcBorders>
              <w:top w:val="nil"/>
              <w:left w:val="nil"/>
              <w:bottom w:val="single" w:sz="8" w:space="0" w:color="A6A6A6"/>
              <w:right w:val="single" w:sz="8" w:space="0" w:color="A6A6A6"/>
            </w:tcBorders>
            <w:shd w:val="clear" w:color="000000" w:fill="F2F2F2"/>
            <w:noWrap/>
            <w:hideMark/>
          </w:tcPr>
          <w:p w14:paraId="6FC77C51" w14:textId="77777777" w:rsidR="003E7651" w:rsidRPr="004B3CF1" w:rsidRDefault="003E7651" w:rsidP="003E7651">
            <w:pPr>
              <w:autoSpaceDE w:val="0"/>
              <w:autoSpaceDN w:val="0"/>
              <w:adjustRightInd w:val="0"/>
              <w:jc w:val="right"/>
              <w:rPr>
                <w:rFonts w:ascii="Arial" w:hAnsi="Arial" w:cs="Arial"/>
                <w:b/>
                <w:color w:val="000000"/>
                <w:sz w:val="22"/>
                <w:szCs w:val="22"/>
              </w:rPr>
            </w:pPr>
            <w:r w:rsidRPr="004B3CF1">
              <w:rPr>
                <w:rFonts w:ascii="Arial" w:hAnsi="Arial"/>
                <w:b/>
                <w:color w:val="000000"/>
                <w:sz w:val="22"/>
                <w:szCs w:val="22"/>
              </w:rPr>
              <w:t>257</w:t>
            </w:r>
          </w:p>
        </w:tc>
      </w:tr>
      <w:tr w:rsidR="003E7651" w:rsidRPr="004B3CF1" w14:paraId="358FA742" w14:textId="77777777" w:rsidTr="003E7651">
        <w:trPr>
          <w:trHeight w:val="315"/>
        </w:trPr>
        <w:tc>
          <w:tcPr>
            <w:tcW w:w="2720" w:type="dxa"/>
            <w:vMerge w:val="restart"/>
            <w:tcBorders>
              <w:top w:val="nil"/>
              <w:left w:val="single" w:sz="8" w:space="0" w:color="A6A6A6"/>
              <w:bottom w:val="nil"/>
              <w:right w:val="single" w:sz="8" w:space="0" w:color="A6A6A6"/>
            </w:tcBorders>
            <w:shd w:val="clear" w:color="auto" w:fill="auto"/>
            <w:noWrap/>
            <w:hideMark/>
          </w:tcPr>
          <w:p w14:paraId="39B6DDFE"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Minor offence cases</w:t>
            </w:r>
          </w:p>
          <w:p w14:paraId="376F31FD" w14:textId="77777777" w:rsidR="003E7651" w:rsidRPr="004B3CF1" w:rsidRDefault="003E7651" w:rsidP="003E7651">
            <w:pPr>
              <w:autoSpaceDE w:val="0"/>
              <w:autoSpaceDN w:val="0"/>
              <w:adjustRightInd w:val="0"/>
              <w:rPr>
                <w:rFonts w:ascii="Arial" w:hAnsi="Arial" w:cs="Arial"/>
                <w:color w:val="000000"/>
                <w:sz w:val="22"/>
                <w:szCs w:val="22"/>
                <w:lang w:eastAsia="bs-Latn-BA"/>
              </w:rPr>
            </w:pPr>
          </w:p>
        </w:tc>
        <w:tc>
          <w:tcPr>
            <w:tcW w:w="1146" w:type="dxa"/>
            <w:tcBorders>
              <w:top w:val="nil"/>
              <w:left w:val="nil"/>
              <w:bottom w:val="single" w:sz="8" w:space="0" w:color="A6A6A6"/>
              <w:right w:val="single" w:sz="8" w:space="0" w:color="A6A6A6"/>
            </w:tcBorders>
            <w:shd w:val="clear" w:color="auto" w:fill="auto"/>
            <w:noWrap/>
            <w:hideMark/>
          </w:tcPr>
          <w:p w14:paraId="3FDD9326"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Pr</w:t>
            </w:r>
          </w:p>
        </w:tc>
        <w:tc>
          <w:tcPr>
            <w:tcW w:w="1134" w:type="dxa"/>
            <w:tcBorders>
              <w:top w:val="nil"/>
              <w:left w:val="nil"/>
              <w:bottom w:val="single" w:sz="8" w:space="0" w:color="A6A6A6"/>
              <w:right w:val="single" w:sz="8" w:space="0" w:color="A6A6A6"/>
            </w:tcBorders>
            <w:shd w:val="clear" w:color="auto" w:fill="auto"/>
            <w:noWrap/>
            <w:hideMark/>
          </w:tcPr>
          <w:p w14:paraId="3262E34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35</w:t>
            </w:r>
          </w:p>
        </w:tc>
        <w:tc>
          <w:tcPr>
            <w:tcW w:w="1195" w:type="dxa"/>
            <w:tcBorders>
              <w:top w:val="nil"/>
              <w:left w:val="nil"/>
              <w:bottom w:val="single" w:sz="8" w:space="0" w:color="A6A6A6"/>
              <w:right w:val="single" w:sz="8" w:space="0" w:color="A6A6A6"/>
            </w:tcBorders>
            <w:shd w:val="clear" w:color="auto" w:fill="auto"/>
            <w:noWrap/>
            <w:hideMark/>
          </w:tcPr>
          <w:p w14:paraId="16B6302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48</w:t>
            </w:r>
          </w:p>
        </w:tc>
        <w:tc>
          <w:tcPr>
            <w:tcW w:w="1120" w:type="dxa"/>
            <w:tcBorders>
              <w:top w:val="nil"/>
              <w:left w:val="nil"/>
              <w:bottom w:val="single" w:sz="8" w:space="0" w:color="A6A6A6"/>
              <w:right w:val="single" w:sz="8" w:space="0" w:color="A6A6A6"/>
            </w:tcBorders>
            <w:shd w:val="clear" w:color="000000" w:fill="FFFFFF"/>
            <w:noWrap/>
            <w:hideMark/>
          </w:tcPr>
          <w:p w14:paraId="666115D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83</w:t>
            </w:r>
          </w:p>
        </w:tc>
      </w:tr>
      <w:tr w:rsidR="003E7651" w:rsidRPr="004B3CF1" w14:paraId="7757E9A7" w14:textId="77777777" w:rsidTr="003E7651">
        <w:trPr>
          <w:trHeight w:val="315"/>
        </w:trPr>
        <w:tc>
          <w:tcPr>
            <w:tcW w:w="2720" w:type="dxa"/>
            <w:vMerge/>
            <w:tcBorders>
              <w:top w:val="nil"/>
              <w:left w:val="single" w:sz="8" w:space="0" w:color="A6A6A6"/>
              <w:bottom w:val="nil"/>
              <w:right w:val="single" w:sz="8" w:space="0" w:color="A6A6A6"/>
            </w:tcBorders>
            <w:hideMark/>
          </w:tcPr>
          <w:p w14:paraId="631053C2"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046A2FF1"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Prm</w:t>
            </w:r>
          </w:p>
        </w:tc>
        <w:tc>
          <w:tcPr>
            <w:tcW w:w="1134" w:type="dxa"/>
            <w:tcBorders>
              <w:top w:val="nil"/>
              <w:left w:val="nil"/>
              <w:bottom w:val="single" w:sz="8" w:space="0" w:color="A6A6A6"/>
              <w:right w:val="single" w:sz="8" w:space="0" w:color="A6A6A6"/>
            </w:tcBorders>
            <w:shd w:val="clear" w:color="auto" w:fill="auto"/>
            <w:noWrap/>
            <w:hideMark/>
          </w:tcPr>
          <w:p w14:paraId="78BDEAB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195" w:type="dxa"/>
            <w:tcBorders>
              <w:top w:val="nil"/>
              <w:left w:val="nil"/>
              <w:bottom w:val="single" w:sz="8" w:space="0" w:color="A6A6A6"/>
              <w:right w:val="single" w:sz="8" w:space="0" w:color="A6A6A6"/>
            </w:tcBorders>
            <w:shd w:val="clear" w:color="auto" w:fill="auto"/>
            <w:noWrap/>
            <w:hideMark/>
          </w:tcPr>
          <w:p w14:paraId="28E186B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w:t>
            </w:r>
          </w:p>
        </w:tc>
        <w:tc>
          <w:tcPr>
            <w:tcW w:w="1120" w:type="dxa"/>
            <w:tcBorders>
              <w:top w:val="nil"/>
              <w:left w:val="nil"/>
              <w:bottom w:val="single" w:sz="8" w:space="0" w:color="A6A6A6"/>
              <w:right w:val="single" w:sz="8" w:space="0" w:color="A6A6A6"/>
            </w:tcBorders>
            <w:shd w:val="clear" w:color="000000" w:fill="FFFFFF"/>
            <w:noWrap/>
            <w:hideMark/>
          </w:tcPr>
          <w:p w14:paraId="6EF991B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w:t>
            </w:r>
          </w:p>
        </w:tc>
      </w:tr>
      <w:tr w:rsidR="003E7651" w:rsidRPr="004B3CF1" w14:paraId="4D5BCF7F" w14:textId="77777777" w:rsidTr="003E7651">
        <w:trPr>
          <w:trHeight w:val="315"/>
        </w:trPr>
        <w:tc>
          <w:tcPr>
            <w:tcW w:w="2720" w:type="dxa"/>
            <w:vMerge/>
            <w:tcBorders>
              <w:top w:val="nil"/>
              <w:left w:val="single" w:sz="8" w:space="0" w:color="A6A6A6"/>
              <w:bottom w:val="nil"/>
              <w:right w:val="single" w:sz="8" w:space="0" w:color="A6A6A6"/>
            </w:tcBorders>
            <w:hideMark/>
          </w:tcPr>
          <w:p w14:paraId="02AB934C" w14:textId="77777777" w:rsidR="003E7651" w:rsidRPr="004B3CF1" w:rsidRDefault="003E7651" w:rsidP="003E7651">
            <w:pPr>
              <w:rPr>
                <w:rFonts w:ascii="Arial" w:hAnsi="Arial" w:cs="Arial"/>
                <w:color w:val="000000"/>
                <w:sz w:val="22"/>
                <w:szCs w:val="22"/>
              </w:rPr>
            </w:pPr>
          </w:p>
        </w:tc>
        <w:tc>
          <w:tcPr>
            <w:tcW w:w="1146" w:type="dxa"/>
            <w:tcBorders>
              <w:top w:val="nil"/>
              <w:left w:val="nil"/>
              <w:bottom w:val="single" w:sz="8" w:space="0" w:color="A6A6A6"/>
              <w:right w:val="single" w:sz="8" w:space="0" w:color="A6A6A6"/>
            </w:tcBorders>
            <w:shd w:val="clear" w:color="auto" w:fill="auto"/>
            <w:noWrap/>
            <w:hideMark/>
          </w:tcPr>
          <w:p w14:paraId="0B3E862E" w14:textId="77777777" w:rsidR="003E7651" w:rsidRPr="004B3CF1" w:rsidRDefault="003E7651" w:rsidP="003E7651">
            <w:pPr>
              <w:autoSpaceDE w:val="0"/>
              <w:autoSpaceDN w:val="0"/>
              <w:adjustRightInd w:val="0"/>
              <w:jc w:val="center"/>
              <w:rPr>
                <w:rFonts w:ascii="Arial" w:hAnsi="Arial" w:cs="Arial"/>
                <w:color w:val="000000"/>
                <w:sz w:val="22"/>
                <w:szCs w:val="22"/>
              </w:rPr>
            </w:pPr>
            <w:r w:rsidRPr="004B3CF1">
              <w:rPr>
                <w:rFonts w:ascii="Arial" w:hAnsi="Arial"/>
                <w:color w:val="000000"/>
                <w:sz w:val="22"/>
                <w:szCs w:val="22"/>
              </w:rPr>
              <w:t>Pžp</w:t>
            </w:r>
          </w:p>
        </w:tc>
        <w:tc>
          <w:tcPr>
            <w:tcW w:w="1134" w:type="dxa"/>
            <w:tcBorders>
              <w:top w:val="nil"/>
              <w:left w:val="nil"/>
              <w:bottom w:val="single" w:sz="8" w:space="0" w:color="A6A6A6"/>
              <w:right w:val="single" w:sz="8" w:space="0" w:color="A6A6A6"/>
            </w:tcBorders>
            <w:shd w:val="clear" w:color="auto" w:fill="auto"/>
            <w:noWrap/>
            <w:hideMark/>
          </w:tcPr>
          <w:p w14:paraId="78AE55B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w:t>
            </w:r>
          </w:p>
        </w:tc>
        <w:tc>
          <w:tcPr>
            <w:tcW w:w="1195" w:type="dxa"/>
            <w:tcBorders>
              <w:top w:val="nil"/>
              <w:left w:val="nil"/>
              <w:bottom w:val="single" w:sz="8" w:space="0" w:color="A6A6A6"/>
              <w:right w:val="single" w:sz="8" w:space="0" w:color="A6A6A6"/>
            </w:tcBorders>
            <w:shd w:val="clear" w:color="auto" w:fill="auto"/>
            <w:noWrap/>
            <w:hideMark/>
          </w:tcPr>
          <w:p w14:paraId="531A8D5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24</w:t>
            </w:r>
          </w:p>
        </w:tc>
        <w:tc>
          <w:tcPr>
            <w:tcW w:w="1120" w:type="dxa"/>
            <w:tcBorders>
              <w:top w:val="nil"/>
              <w:left w:val="nil"/>
              <w:bottom w:val="single" w:sz="8" w:space="0" w:color="A6A6A6"/>
              <w:right w:val="single" w:sz="8" w:space="0" w:color="A6A6A6"/>
            </w:tcBorders>
            <w:shd w:val="clear" w:color="000000" w:fill="FFFFFF"/>
            <w:noWrap/>
            <w:hideMark/>
          </w:tcPr>
          <w:p w14:paraId="3CACD45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27</w:t>
            </w:r>
          </w:p>
        </w:tc>
      </w:tr>
      <w:tr w:rsidR="003E7651" w:rsidRPr="004B3CF1" w14:paraId="2A02E0BC" w14:textId="77777777" w:rsidTr="003E7651">
        <w:trPr>
          <w:trHeight w:val="315"/>
        </w:trPr>
        <w:tc>
          <w:tcPr>
            <w:tcW w:w="2720" w:type="dxa"/>
            <w:tcBorders>
              <w:top w:val="single" w:sz="8" w:space="0" w:color="A6A6A6"/>
              <w:left w:val="single" w:sz="8" w:space="0" w:color="A6A6A6"/>
              <w:bottom w:val="single" w:sz="8" w:space="0" w:color="A6A6A6"/>
              <w:right w:val="single" w:sz="8" w:space="0" w:color="A6A6A6"/>
            </w:tcBorders>
            <w:shd w:val="clear" w:color="000000" w:fill="F2F2F2"/>
            <w:noWrap/>
            <w:hideMark/>
          </w:tcPr>
          <w:p w14:paraId="56342190"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 xml:space="preserve">Total minor offence cases </w:t>
            </w:r>
          </w:p>
        </w:tc>
        <w:tc>
          <w:tcPr>
            <w:tcW w:w="1146" w:type="dxa"/>
            <w:tcBorders>
              <w:top w:val="nil"/>
              <w:left w:val="nil"/>
              <w:bottom w:val="single" w:sz="8" w:space="0" w:color="A6A6A6"/>
              <w:right w:val="single" w:sz="8" w:space="0" w:color="A6A6A6"/>
            </w:tcBorders>
            <w:shd w:val="clear" w:color="000000" w:fill="F2F2F2"/>
            <w:noWrap/>
            <w:hideMark/>
          </w:tcPr>
          <w:p w14:paraId="28F876C4" w14:textId="77777777" w:rsidR="003E7651" w:rsidRPr="004B3CF1" w:rsidRDefault="003E7651" w:rsidP="003E7651">
            <w:pPr>
              <w:autoSpaceDE w:val="0"/>
              <w:autoSpaceDN w:val="0"/>
              <w:adjustRightInd w:val="0"/>
              <w:jc w:val="center"/>
              <w:rPr>
                <w:rFonts w:ascii="Arial" w:hAnsi="Arial" w:cs="Arial"/>
                <w:color w:val="000000"/>
                <w:sz w:val="22"/>
                <w:szCs w:val="22"/>
                <w:lang w:eastAsia="bs-Latn-BA"/>
              </w:rPr>
            </w:pPr>
          </w:p>
        </w:tc>
        <w:tc>
          <w:tcPr>
            <w:tcW w:w="1134" w:type="dxa"/>
            <w:tcBorders>
              <w:top w:val="nil"/>
              <w:left w:val="nil"/>
              <w:bottom w:val="single" w:sz="8" w:space="0" w:color="A6A6A6"/>
              <w:right w:val="single" w:sz="8" w:space="0" w:color="A6A6A6"/>
            </w:tcBorders>
            <w:shd w:val="clear" w:color="000000" w:fill="F2F2F2"/>
            <w:noWrap/>
            <w:hideMark/>
          </w:tcPr>
          <w:p w14:paraId="5EF114CB" w14:textId="77777777" w:rsidR="003E7651" w:rsidRPr="004B3CF1" w:rsidRDefault="003E7651" w:rsidP="003E7651">
            <w:pPr>
              <w:autoSpaceDE w:val="0"/>
              <w:autoSpaceDN w:val="0"/>
              <w:adjustRightInd w:val="0"/>
              <w:jc w:val="right"/>
              <w:rPr>
                <w:rFonts w:ascii="Arial" w:hAnsi="Arial" w:cs="Arial"/>
                <w:b/>
                <w:color w:val="000000"/>
                <w:sz w:val="22"/>
                <w:szCs w:val="22"/>
              </w:rPr>
            </w:pPr>
            <w:r w:rsidRPr="004B3CF1">
              <w:rPr>
                <w:rFonts w:ascii="Arial" w:hAnsi="Arial"/>
                <w:b/>
                <w:color w:val="000000"/>
                <w:sz w:val="22"/>
                <w:szCs w:val="22"/>
              </w:rPr>
              <w:t>38</w:t>
            </w:r>
          </w:p>
        </w:tc>
        <w:tc>
          <w:tcPr>
            <w:tcW w:w="1195" w:type="dxa"/>
            <w:tcBorders>
              <w:top w:val="nil"/>
              <w:left w:val="nil"/>
              <w:bottom w:val="single" w:sz="8" w:space="0" w:color="A6A6A6"/>
              <w:right w:val="single" w:sz="8" w:space="0" w:color="A6A6A6"/>
            </w:tcBorders>
            <w:shd w:val="clear" w:color="000000" w:fill="F2F2F2"/>
            <w:noWrap/>
            <w:hideMark/>
          </w:tcPr>
          <w:p w14:paraId="61B7968C" w14:textId="77777777" w:rsidR="003E7651" w:rsidRPr="004B3CF1" w:rsidRDefault="003E7651" w:rsidP="003E7651">
            <w:pPr>
              <w:autoSpaceDE w:val="0"/>
              <w:autoSpaceDN w:val="0"/>
              <w:adjustRightInd w:val="0"/>
              <w:jc w:val="right"/>
              <w:rPr>
                <w:rFonts w:ascii="Arial" w:hAnsi="Arial" w:cs="Arial"/>
                <w:b/>
                <w:color w:val="000000"/>
                <w:sz w:val="22"/>
                <w:szCs w:val="22"/>
              </w:rPr>
            </w:pPr>
            <w:r w:rsidRPr="004B3CF1">
              <w:rPr>
                <w:rFonts w:ascii="Arial" w:hAnsi="Arial"/>
                <w:b/>
                <w:color w:val="000000"/>
                <w:sz w:val="22"/>
                <w:szCs w:val="22"/>
              </w:rPr>
              <w:t>74</w:t>
            </w:r>
          </w:p>
        </w:tc>
        <w:tc>
          <w:tcPr>
            <w:tcW w:w="1120" w:type="dxa"/>
            <w:tcBorders>
              <w:top w:val="nil"/>
              <w:left w:val="nil"/>
              <w:bottom w:val="single" w:sz="8" w:space="0" w:color="A6A6A6"/>
              <w:right w:val="single" w:sz="8" w:space="0" w:color="A6A6A6"/>
            </w:tcBorders>
            <w:shd w:val="clear" w:color="000000" w:fill="F2F2F2"/>
            <w:noWrap/>
            <w:hideMark/>
          </w:tcPr>
          <w:p w14:paraId="5B175ACA" w14:textId="77777777" w:rsidR="003E7651" w:rsidRPr="004B3CF1" w:rsidRDefault="003E7651" w:rsidP="003E7651">
            <w:pPr>
              <w:autoSpaceDE w:val="0"/>
              <w:autoSpaceDN w:val="0"/>
              <w:adjustRightInd w:val="0"/>
              <w:jc w:val="right"/>
              <w:rPr>
                <w:rFonts w:ascii="Arial" w:hAnsi="Arial" w:cs="Arial"/>
                <w:b/>
                <w:color w:val="000000"/>
                <w:sz w:val="22"/>
                <w:szCs w:val="22"/>
              </w:rPr>
            </w:pPr>
            <w:r w:rsidRPr="004B3CF1">
              <w:rPr>
                <w:rFonts w:ascii="Arial" w:hAnsi="Arial"/>
                <w:b/>
                <w:color w:val="000000"/>
                <w:sz w:val="22"/>
                <w:szCs w:val="22"/>
              </w:rPr>
              <w:t>112</w:t>
            </w:r>
          </w:p>
        </w:tc>
      </w:tr>
      <w:tr w:rsidR="003E7651" w:rsidRPr="004B3CF1" w14:paraId="347C26C9" w14:textId="77777777" w:rsidTr="003E7651">
        <w:trPr>
          <w:trHeight w:val="315"/>
        </w:trPr>
        <w:tc>
          <w:tcPr>
            <w:tcW w:w="2720" w:type="dxa"/>
            <w:tcBorders>
              <w:top w:val="nil"/>
              <w:left w:val="single" w:sz="8" w:space="0" w:color="A6A6A6"/>
              <w:bottom w:val="single" w:sz="8" w:space="0" w:color="A6A6A6"/>
              <w:right w:val="single" w:sz="8" w:space="0" w:color="A6A6A6"/>
            </w:tcBorders>
            <w:shd w:val="clear" w:color="000000" w:fill="BFBFBF"/>
            <w:noWrap/>
            <w:hideMark/>
          </w:tcPr>
          <w:p w14:paraId="4B744E9C" w14:textId="77777777" w:rsidR="003E7651" w:rsidRPr="004B3CF1" w:rsidRDefault="003E7651" w:rsidP="003E7651">
            <w:pPr>
              <w:autoSpaceDE w:val="0"/>
              <w:autoSpaceDN w:val="0"/>
              <w:adjustRightInd w:val="0"/>
              <w:rPr>
                <w:rFonts w:ascii="Arial" w:hAnsi="Arial" w:cs="Arial"/>
                <w:b/>
                <w:bCs/>
                <w:color w:val="000000"/>
                <w:sz w:val="22"/>
                <w:szCs w:val="22"/>
              </w:rPr>
            </w:pPr>
            <w:r w:rsidRPr="004B3CF1">
              <w:rPr>
                <w:rFonts w:ascii="Arial" w:hAnsi="Arial"/>
                <w:b/>
                <w:bCs/>
                <w:color w:val="000000"/>
                <w:sz w:val="22"/>
                <w:szCs w:val="22"/>
              </w:rPr>
              <w:lastRenderedPageBreak/>
              <w:t>TOTAL</w:t>
            </w:r>
          </w:p>
        </w:tc>
        <w:tc>
          <w:tcPr>
            <w:tcW w:w="1146" w:type="dxa"/>
            <w:tcBorders>
              <w:top w:val="nil"/>
              <w:left w:val="nil"/>
              <w:bottom w:val="single" w:sz="8" w:space="0" w:color="A6A6A6"/>
              <w:right w:val="single" w:sz="8" w:space="0" w:color="A6A6A6"/>
            </w:tcBorders>
            <w:shd w:val="clear" w:color="000000" w:fill="BFBFBF"/>
            <w:noWrap/>
            <w:hideMark/>
          </w:tcPr>
          <w:p w14:paraId="47F886FF" w14:textId="77777777" w:rsidR="003E7651" w:rsidRPr="004B3CF1" w:rsidRDefault="003E7651" w:rsidP="003E7651">
            <w:pPr>
              <w:autoSpaceDE w:val="0"/>
              <w:autoSpaceDN w:val="0"/>
              <w:adjustRightInd w:val="0"/>
              <w:jc w:val="center"/>
              <w:rPr>
                <w:rFonts w:ascii="Arial" w:hAnsi="Arial" w:cs="Arial"/>
                <w:b/>
                <w:bCs/>
                <w:color w:val="000000"/>
                <w:sz w:val="22"/>
                <w:szCs w:val="22"/>
                <w:lang w:eastAsia="bs-Latn-BA"/>
              </w:rPr>
            </w:pPr>
          </w:p>
        </w:tc>
        <w:tc>
          <w:tcPr>
            <w:tcW w:w="1134" w:type="dxa"/>
            <w:tcBorders>
              <w:top w:val="nil"/>
              <w:left w:val="nil"/>
              <w:bottom w:val="single" w:sz="8" w:space="0" w:color="A6A6A6"/>
              <w:right w:val="single" w:sz="8" w:space="0" w:color="A6A6A6"/>
            </w:tcBorders>
            <w:shd w:val="clear" w:color="000000" w:fill="BFBFBF"/>
            <w:noWrap/>
            <w:hideMark/>
          </w:tcPr>
          <w:p w14:paraId="245FB3B0"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43</w:t>
            </w:r>
          </w:p>
        </w:tc>
        <w:tc>
          <w:tcPr>
            <w:tcW w:w="1195" w:type="dxa"/>
            <w:tcBorders>
              <w:top w:val="nil"/>
              <w:left w:val="nil"/>
              <w:bottom w:val="single" w:sz="8" w:space="0" w:color="A6A6A6"/>
              <w:right w:val="single" w:sz="8" w:space="0" w:color="A6A6A6"/>
            </w:tcBorders>
            <w:shd w:val="clear" w:color="000000" w:fill="BFBFBF"/>
            <w:noWrap/>
            <w:hideMark/>
          </w:tcPr>
          <w:p w14:paraId="067D329E"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326</w:t>
            </w:r>
          </w:p>
        </w:tc>
        <w:tc>
          <w:tcPr>
            <w:tcW w:w="1120" w:type="dxa"/>
            <w:tcBorders>
              <w:top w:val="nil"/>
              <w:left w:val="nil"/>
              <w:bottom w:val="single" w:sz="8" w:space="0" w:color="A6A6A6"/>
              <w:right w:val="single" w:sz="8" w:space="0" w:color="A6A6A6"/>
            </w:tcBorders>
            <w:shd w:val="clear" w:color="000000" w:fill="BFBFBF"/>
            <w:noWrap/>
            <w:hideMark/>
          </w:tcPr>
          <w:p w14:paraId="0C0B9C69"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369</w:t>
            </w:r>
          </w:p>
        </w:tc>
      </w:tr>
    </w:tbl>
    <w:p w14:paraId="19E8C12B" w14:textId="77777777" w:rsidR="003E7651" w:rsidRPr="004B3CF1" w:rsidRDefault="003E7651" w:rsidP="003E7651">
      <w:pPr>
        <w:spacing w:before="80"/>
        <w:jc w:val="both"/>
        <w:rPr>
          <w:rFonts w:ascii="Arial" w:hAnsi="Arial" w:cs="Arial"/>
        </w:rPr>
      </w:pPr>
    </w:p>
    <w:p w14:paraId="1147416D" w14:textId="77777777" w:rsidR="003E7651" w:rsidRPr="004B3CF1" w:rsidRDefault="003E7651" w:rsidP="003E7651">
      <w:pPr>
        <w:pStyle w:val="Tekst"/>
      </w:pPr>
      <w:r w:rsidRPr="004B3CF1">
        <w:t xml:space="preserve">Decisions terminating prosecution or minor offence proceedings due to the statute of limitations are submitted to the Office of the Disciplinary Counsel to determine the potential liability of judges for such outcome in these cases. </w:t>
      </w:r>
    </w:p>
    <w:p w14:paraId="75A5ABEA" w14:textId="77777777" w:rsidR="003E7651" w:rsidRPr="004B3CF1" w:rsidRDefault="003E7651" w:rsidP="003E7651">
      <w:pPr>
        <w:pStyle w:val="Tekst"/>
      </w:pPr>
      <w:r w:rsidRPr="004B3CF1">
        <w:t>In 2021, the functionality with special indicators for monitoring the statute of limitations has been introduced in the CMS in order to alert judges about the approaching statute of limitations in criminal and minor offence cases.</w:t>
      </w:r>
    </w:p>
    <w:p w14:paraId="6FC12E7C" w14:textId="77777777" w:rsidR="003E7651" w:rsidRPr="0074621D" w:rsidRDefault="003E7651" w:rsidP="008D0A7D">
      <w:pPr>
        <w:pStyle w:val="PRVINASLOV"/>
      </w:pPr>
      <w:r w:rsidRPr="004B3CF1">
        <w:br w:type="page"/>
      </w:r>
      <w:bookmarkStart w:id="218" w:name="_Toc97722099"/>
      <w:bookmarkStart w:id="219" w:name="_Toc101944279"/>
      <w:bookmarkStart w:id="220" w:name="_Toc112852485"/>
      <w:r w:rsidRPr="0074621D">
        <w:lastRenderedPageBreak/>
        <w:t>ANNEX 3:</w:t>
      </w:r>
      <w:r w:rsidRPr="0074621D">
        <w:tab/>
        <w:t>PROSECUTOR'S OFFICES PERFORMANCE STATISTICS</w:t>
      </w:r>
      <w:bookmarkEnd w:id="218"/>
      <w:bookmarkEnd w:id="219"/>
      <w:bookmarkEnd w:id="220"/>
    </w:p>
    <w:p w14:paraId="61213C43" w14:textId="77777777" w:rsidR="003E7651" w:rsidRPr="004B3CF1" w:rsidRDefault="003E7651" w:rsidP="003E7651">
      <w:pPr>
        <w:pStyle w:val="DRUGINASLOV"/>
      </w:pPr>
      <w:bookmarkStart w:id="221" w:name="_Toc97722100"/>
      <w:bookmarkStart w:id="222" w:name="_Toc101944280"/>
      <w:bookmarkStart w:id="223" w:name="_Toc112852486"/>
      <w:r w:rsidRPr="004B3CF1">
        <w:t>Analysis of performance of prosecutor’s offices</w:t>
      </w:r>
      <w:bookmarkEnd w:id="221"/>
      <w:bookmarkEnd w:id="222"/>
      <w:bookmarkEnd w:id="223"/>
    </w:p>
    <w:p w14:paraId="5311C1DC" w14:textId="77777777" w:rsidR="003E7651" w:rsidRPr="004B3CF1" w:rsidRDefault="003E7651" w:rsidP="003E7651">
      <w:pPr>
        <w:pStyle w:val="Tekst"/>
      </w:pPr>
      <w:r w:rsidRPr="004B3CF1">
        <w:t>This chapter presents the work of prosecutor’s offices in 2021, through the aggr</w:t>
      </w:r>
      <w:r>
        <w:t>egate reports on the work of</w:t>
      </w:r>
      <w:r w:rsidRPr="004B3CF1">
        <w:t xml:space="preserve"> prosecutor's offices including: criminal reports, investigations, indictments filed and judgements rendered in Kt cases</w:t>
      </w:r>
      <w:r w:rsidRPr="004B3CF1">
        <w:rPr>
          <w:rStyle w:val="FootnoteReference"/>
          <w:rFonts w:cs="Arial"/>
        </w:rPr>
        <w:footnoteReference w:id="23"/>
      </w:r>
      <w:r w:rsidRPr="004B3CF1">
        <w:t xml:space="preserve">, Kt cases that fell under the statute of limitations for criminal prosecution as well as the results achieved in terms of quality and quantity of work in accordance with general regulations of the HJPC BiH. </w:t>
      </w:r>
    </w:p>
    <w:p w14:paraId="6B4707DC" w14:textId="77777777" w:rsidR="003E7651" w:rsidRPr="004B3CF1" w:rsidRDefault="003E7651" w:rsidP="003E7651">
      <w:pPr>
        <w:pStyle w:val="Tekst"/>
      </w:pPr>
      <w:r w:rsidRPr="004B3CF1">
        <w:t>Performance data for individual prosecutor’s office is a</w:t>
      </w:r>
      <w:r>
        <w:t>vailable at vsts.pravosudje.ba.</w:t>
      </w:r>
    </w:p>
    <w:p w14:paraId="1F057531" w14:textId="77777777" w:rsidR="003E7651" w:rsidRPr="004B3CF1" w:rsidRDefault="003E7651" w:rsidP="003E7651">
      <w:pPr>
        <w:pStyle w:val="TREINASLOV"/>
      </w:pPr>
      <w:bookmarkStart w:id="224" w:name="_Toc97722101"/>
      <w:bookmarkStart w:id="225" w:name="_Toc101944281"/>
      <w:bookmarkStart w:id="226" w:name="_Toc112852487"/>
      <w:r w:rsidRPr="004B3CF1">
        <w:t>Crime reports</w:t>
      </w:r>
      <w:bookmarkEnd w:id="224"/>
      <w:bookmarkEnd w:id="225"/>
      <w:bookmarkEnd w:id="226"/>
    </w:p>
    <w:p w14:paraId="2F6D8C6D" w14:textId="77777777" w:rsidR="003E7651" w:rsidRPr="004B3CF1" w:rsidRDefault="003E7651" w:rsidP="003E7651">
      <w:pPr>
        <w:pStyle w:val="Tekst"/>
      </w:pPr>
      <w:r w:rsidRPr="004B3CF1">
        <w:t>In 2021, there were 33,397 reports processed by the prosecutor's offices against 53,487 persons. Compared to 2020, the number of reports received increased by 945 or 4.6%. Compared to the beginning of 2019, the number of crimes reported increased by</w:t>
      </w:r>
      <w:r>
        <w:t xml:space="preserve"> 2.099 or 21,8%, so the</w:t>
      </w:r>
      <w:r w:rsidRPr="004B3CF1">
        <w:t xml:space="preserve"> total number of reports or cases increased by 3,044 or 10.0%, or 5,267 or 10.9% more persons were reported. When comparing the 2021 and the 2019 influx (the year preceding the pandemic and limitations in the operations of prosecutor's offices associated with it), the number of reports received was slightly lower, that is by 182 or 0.8% observed by cases, or slightly higher, that is by 658 or 2.2% observed by persons. </w:t>
      </w:r>
    </w:p>
    <w:p w14:paraId="18B11135" w14:textId="77777777" w:rsidR="003E7651" w:rsidRPr="004B3CF1" w:rsidRDefault="003E7651" w:rsidP="003E7651">
      <w:pPr>
        <w:pStyle w:val="Tekst"/>
      </w:pPr>
      <w:r w:rsidRPr="004B3CF1">
        <w:t xml:space="preserve">Compared to 2020, the total number of reports processed in 2021 in terms of cases increased by 2.575 or 13,8%, meaning that there were more reports processed against 4,394 or 17.1% persons, while compared to 2019 the number of reports processed in 2021 was almost the same as in 2019. In 2021, fewer reports were processed than received, and there was an increase in the number of pending reports by 480 or 4.1% observed by cases, or by 833 or 3.7% observed by persons.   </w:t>
      </w:r>
    </w:p>
    <w:p w14:paraId="5BEDEF66" w14:textId="77777777" w:rsidR="003E7651" w:rsidRPr="004B3CF1" w:rsidRDefault="003E7651" w:rsidP="003E7651">
      <w:pPr>
        <w:pStyle w:val="Tekst"/>
      </w:pPr>
      <w:r w:rsidRPr="004B3CF1">
        <w:t xml:space="preserve">Out of the total number of reports, observed by cases, 63% were processed, which is 9% more than in 2020 with 37% of reports remaining pending. </w:t>
      </w:r>
    </w:p>
    <w:p w14:paraId="52061164" w14:textId="77777777" w:rsidR="003E7651" w:rsidRPr="004B3CF1" w:rsidRDefault="003E7651" w:rsidP="003E7651">
      <w:pPr>
        <w:pStyle w:val="Tekst"/>
      </w:pPr>
      <w:r w:rsidRPr="004B3CF1">
        <w:t>In 2021, 21,172 reports against 30,042 persons were processed. From the table below showing the breakdown of processed reports it can be seen that most reports resulte</w:t>
      </w:r>
      <w:r>
        <w:t xml:space="preserve">d in a decision to investigate, </w:t>
      </w:r>
      <w:r w:rsidRPr="004B3CF1">
        <w:t xml:space="preserve">that is 68% of reports, observed by cases, against 62% reported persons. A significant number of reports resulted in an order not to investigate, that is 28% of reports, observed by cases, against 32% persons. </w:t>
      </w:r>
    </w:p>
    <w:p w14:paraId="4DD61466" w14:textId="77777777" w:rsidR="003E7651" w:rsidRPr="004B3CF1" w:rsidRDefault="003E7651" w:rsidP="003E7651">
      <w:pPr>
        <w:spacing w:before="80"/>
        <w:jc w:val="both"/>
        <w:rPr>
          <w:rFonts w:ascii="Arial" w:hAnsi="Arial" w:cs="Arial"/>
          <w:b/>
        </w:rPr>
      </w:pPr>
    </w:p>
    <w:p w14:paraId="28D97C8D" w14:textId="77777777" w:rsidR="003E7651" w:rsidRPr="004B3CF1" w:rsidRDefault="003E7651" w:rsidP="003E7651">
      <w:pPr>
        <w:pStyle w:val="Caption"/>
      </w:pPr>
      <w:bookmarkStart w:id="227" w:name="OLE_LINK1"/>
      <w:r w:rsidRPr="004B3CF1">
        <w:lastRenderedPageBreak/>
        <w:t xml:space="preserve">Table </w:t>
      </w:r>
      <w:r w:rsidR="006D1459">
        <w:fldChar w:fldCharType="begin"/>
      </w:r>
      <w:r w:rsidR="006D1459">
        <w:instrText xml:space="preserve"> SEQ Tablica \* ARABIC </w:instrText>
      </w:r>
      <w:r w:rsidR="006D1459">
        <w:fldChar w:fldCharType="separate"/>
      </w:r>
      <w:r w:rsidRPr="004B3CF1">
        <w:t>13</w:t>
      </w:r>
      <w:r w:rsidR="006D1459">
        <w:fldChar w:fldCharType="end"/>
      </w:r>
      <w:r w:rsidRPr="004B3CF1">
        <w:t xml:space="preserve">: Flow of reports and breakdown of resolved reports </w:t>
      </w:r>
    </w:p>
    <w:tbl>
      <w:tblPr>
        <w:tblW w:w="9158" w:type="dxa"/>
        <w:tblInd w:w="113" w:type="dxa"/>
        <w:tblCellMar>
          <w:left w:w="57" w:type="dxa"/>
          <w:right w:w="57" w:type="dxa"/>
        </w:tblCellMar>
        <w:tblLook w:val="04A0" w:firstRow="1" w:lastRow="0" w:firstColumn="1" w:lastColumn="0" w:noHBand="0" w:noVBand="1"/>
      </w:tblPr>
      <w:tblGrid>
        <w:gridCol w:w="1220"/>
        <w:gridCol w:w="743"/>
        <w:gridCol w:w="768"/>
        <w:gridCol w:w="835"/>
        <w:gridCol w:w="927"/>
        <w:gridCol w:w="850"/>
        <w:gridCol w:w="768"/>
        <w:gridCol w:w="750"/>
        <w:gridCol w:w="768"/>
        <w:gridCol w:w="747"/>
        <w:gridCol w:w="782"/>
      </w:tblGrid>
      <w:tr w:rsidR="003E7651" w:rsidRPr="004B3CF1" w14:paraId="2647EAF9" w14:textId="77777777" w:rsidTr="003E7651">
        <w:trPr>
          <w:trHeight w:val="300"/>
        </w:trPr>
        <w:tc>
          <w:tcPr>
            <w:tcW w:w="1015" w:type="dxa"/>
            <w:vMerge w:val="restart"/>
            <w:tcBorders>
              <w:top w:val="single" w:sz="4" w:space="0" w:color="979991"/>
              <w:left w:val="single" w:sz="4" w:space="0" w:color="979991"/>
              <w:bottom w:val="single" w:sz="4" w:space="0" w:color="979991"/>
              <w:right w:val="single" w:sz="4" w:space="0" w:color="979991"/>
            </w:tcBorders>
            <w:shd w:val="clear" w:color="auto" w:fill="auto"/>
            <w:vAlign w:val="center"/>
            <w:hideMark/>
          </w:tcPr>
          <w:p w14:paraId="3A8BEB7D"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Prosecutor's offices</w:t>
            </w:r>
          </w:p>
        </w:tc>
        <w:tc>
          <w:tcPr>
            <w:tcW w:w="1561" w:type="dxa"/>
            <w:gridSpan w:val="2"/>
            <w:vMerge w:val="restart"/>
            <w:tcBorders>
              <w:top w:val="single" w:sz="4" w:space="0" w:color="979991"/>
              <w:left w:val="single" w:sz="4" w:space="0" w:color="979991"/>
              <w:bottom w:val="single" w:sz="4" w:space="0" w:color="979991"/>
              <w:right w:val="single" w:sz="4" w:space="0" w:color="979991"/>
            </w:tcBorders>
            <w:shd w:val="clear" w:color="auto" w:fill="auto"/>
            <w:vAlign w:val="center"/>
            <w:hideMark/>
          </w:tcPr>
          <w:p w14:paraId="24D5F214"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Total number of reports in 2021</w:t>
            </w:r>
          </w:p>
        </w:tc>
        <w:tc>
          <w:tcPr>
            <w:tcW w:w="4881" w:type="dxa"/>
            <w:gridSpan w:val="6"/>
            <w:tcBorders>
              <w:top w:val="single" w:sz="4" w:space="0" w:color="979991"/>
              <w:left w:val="nil"/>
              <w:bottom w:val="single" w:sz="4" w:space="0" w:color="979991"/>
              <w:right w:val="single" w:sz="4" w:space="0" w:color="979991"/>
            </w:tcBorders>
            <w:shd w:val="clear" w:color="auto" w:fill="auto"/>
            <w:noWrap/>
            <w:vAlign w:val="center"/>
            <w:hideMark/>
          </w:tcPr>
          <w:p w14:paraId="3EB4B0AC"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Resolved reports in 2021</w:t>
            </w:r>
          </w:p>
        </w:tc>
        <w:tc>
          <w:tcPr>
            <w:tcW w:w="1701" w:type="dxa"/>
            <w:gridSpan w:val="2"/>
            <w:vMerge w:val="restart"/>
            <w:tcBorders>
              <w:top w:val="single" w:sz="4" w:space="0" w:color="979991"/>
              <w:left w:val="single" w:sz="4" w:space="0" w:color="979991"/>
              <w:bottom w:val="single" w:sz="4" w:space="0" w:color="979991"/>
              <w:right w:val="single" w:sz="4" w:space="0" w:color="979991"/>
            </w:tcBorders>
            <w:shd w:val="clear" w:color="auto" w:fill="auto"/>
            <w:vAlign w:val="center"/>
            <w:hideMark/>
          </w:tcPr>
          <w:p w14:paraId="34EA944C"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Pending reports as at 31/12/2021</w:t>
            </w:r>
          </w:p>
        </w:tc>
      </w:tr>
      <w:tr w:rsidR="003E7651" w:rsidRPr="004B3CF1" w14:paraId="646C23E8" w14:textId="77777777" w:rsidTr="003E7651">
        <w:trPr>
          <w:trHeight w:val="555"/>
        </w:trPr>
        <w:tc>
          <w:tcPr>
            <w:tcW w:w="1015" w:type="dxa"/>
            <w:vMerge/>
            <w:tcBorders>
              <w:top w:val="single" w:sz="4" w:space="0" w:color="979991"/>
              <w:left w:val="single" w:sz="4" w:space="0" w:color="979991"/>
              <w:bottom w:val="single" w:sz="4" w:space="0" w:color="979991"/>
              <w:right w:val="single" w:sz="4" w:space="0" w:color="979991"/>
            </w:tcBorders>
            <w:vAlign w:val="center"/>
            <w:hideMark/>
          </w:tcPr>
          <w:p w14:paraId="300E1140" w14:textId="77777777" w:rsidR="003E7651" w:rsidRPr="004B3CF1" w:rsidRDefault="003E7651" w:rsidP="003E7651">
            <w:pPr>
              <w:rPr>
                <w:rFonts w:ascii="Arial" w:hAnsi="Arial" w:cs="Arial"/>
                <w:color w:val="000000"/>
                <w:sz w:val="20"/>
                <w:szCs w:val="20"/>
                <w:lang w:eastAsia="bs-Latn-BA"/>
              </w:rPr>
            </w:pPr>
          </w:p>
        </w:tc>
        <w:tc>
          <w:tcPr>
            <w:tcW w:w="1561" w:type="dxa"/>
            <w:gridSpan w:val="2"/>
            <w:vMerge/>
            <w:tcBorders>
              <w:top w:val="single" w:sz="4" w:space="0" w:color="979991"/>
              <w:left w:val="single" w:sz="4" w:space="0" w:color="979991"/>
              <w:bottom w:val="single" w:sz="4" w:space="0" w:color="979991"/>
              <w:right w:val="single" w:sz="4" w:space="0" w:color="979991"/>
            </w:tcBorders>
            <w:vAlign w:val="center"/>
            <w:hideMark/>
          </w:tcPr>
          <w:p w14:paraId="26B87FF8" w14:textId="77777777" w:rsidR="003E7651" w:rsidRPr="004B3CF1" w:rsidRDefault="003E7651" w:rsidP="003E7651">
            <w:pPr>
              <w:rPr>
                <w:rFonts w:ascii="Arial" w:hAnsi="Arial" w:cs="Arial"/>
                <w:color w:val="000000"/>
                <w:sz w:val="20"/>
                <w:szCs w:val="20"/>
                <w:lang w:eastAsia="bs-Latn-BA"/>
              </w:rPr>
            </w:pPr>
          </w:p>
        </w:tc>
        <w:tc>
          <w:tcPr>
            <w:tcW w:w="1762" w:type="dxa"/>
            <w:gridSpan w:val="2"/>
            <w:tcBorders>
              <w:top w:val="single" w:sz="4" w:space="0" w:color="979991"/>
              <w:left w:val="nil"/>
              <w:bottom w:val="single" w:sz="4" w:space="0" w:color="979991"/>
              <w:right w:val="single" w:sz="4" w:space="0" w:color="979991"/>
            </w:tcBorders>
            <w:shd w:val="clear" w:color="auto" w:fill="auto"/>
            <w:vAlign w:val="center"/>
            <w:hideMark/>
          </w:tcPr>
          <w:p w14:paraId="0F121E05"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order not to investigate</w:t>
            </w:r>
          </w:p>
        </w:tc>
        <w:tc>
          <w:tcPr>
            <w:tcW w:w="1576" w:type="dxa"/>
            <w:gridSpan w:val="2"/>
            <w:tcBorders>
              <w:top w:val="single" w:sz="4" w:space="0" w:color="979991"/>
              <w:left w:val="nil"/>
              <w:bottom w:val="single" w:sz="4" w:space="0" w:color="979991"/>
              <w:right w:val="single" w:sz="4" w:space="0" w:color="979991"/>
            </w:tcBorders>
            <w:shd w:val="clear" w:color="auto" w:fill="auto"/>
            <w:vAlign w:val="center"/>
            <w:hideMark/>
          </w:tcPr>
          <w:p w14:paraId="45165FE3"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order to investigate</w:t>
            </w:r>
          </w:p>
        </w:tc>
        <w:tc>
          <w:tcPr>
            <w:tcW w:w="1543" w:type="dxa"/>
            <w:gridSpan w:val="2"/>
            <w:tcBorders>
              <w:top w:val="single" w:sz="4" w:space="0" w:color="979991"/>
              <w:left w:val="nil"/>
              <w:bottom w:val="single" w:sz="4" w:space="0" w:color="979991"/>
              <w:right w:val="single" w:sz="4" w:space="0" w:color="979991"/>
            </w:tcBorders>
            <w:shd w:val="clear" w:color="auto" w:fill="auto"/>
            <w:vAlign w:val="center"/>
            <w:hideMark/>
          </w:tcPr>
          <w:p w14:paraId="0669588B"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other</w:t>
            </w:r>
          </w:p>
        </w:tc>
        <w:tc>
          <w:tcPr>
            <w:tcW w:w="1701" w:type="dxa"/>
            <w:gridSpan w:val="2"/>
            <w:vMerge/>
            <w:tcBorders>
              <w:top w:val="single" w:sz="4" w:space="0" w:color="979991"/>
              <w:left w:val="single" w:sz="4" w:space="0" w:color="979991"/>
              <w:bottom w:val="single" w:sz="4" w:space="0" w:color="979991"/>
              <w:right w:val="single" w:sz="4" w:space="0" w:color="979991"/>
            </w:tcBorders>
            <w:vAlign w:val="center"/>
            <w:hideMark/>
          </w:tcPr>
          <w:p w14:paraId="12766E24" w14:textId="77777777" w:rsidR="003E7651" w:rsidRPr="004B3CF1" w:rsidRDefault="003E7651" w:rsidP="003E7651">
            <w:pPr>
              <w:rPr>
                <w:rFonts w:ascii="Arial" w:hAnsi="Arial" w:cs="Arial"/>
                <w:color w:val="000000"/>
                <w:sz w:val="20"/>
                <w:szCs w:val="20"/>
                <w:lang w:eastAsia="bs-Latn-BA"/>
              </w:rPr>
            </w:pPr>
          </w:p>
        </w:tc>
      </w:tr>
      <w:tr w:rsidR="003E7651" w:rsidRPr="004B3CF1" w14:paraId="357973AD" w14:textId="77777777" w:rsidTr="003E7651">
        <w:trPr>
          <w:trHeight w:val="390"/>
        </w:trPr>
        <w:tc>
          <w:tcPr>
            <w:tcW w:w="1015" w:type="dxa"/>
            <w:vMerge/>
            <w:tcBorders>
              <w:top w:val="single" w:sz="4" w:space="0" w:color="979991"/>
              <w:left w:val="single" w:sz="4" w:space="0" w:color="979991"/>
              <w:bottom w:val="single" w:sz="4" w:space="0" w:color="979991"/>
              <w:right w:val="single" w:sz="4" w:space="0" w:color="979991"/>
            </w:tcBorders>
            <w:vAlign w:val="center"/>
            <w:hideMark/>
          </w:tcPr>
          <w:p w14:paraId="23AA6A67" w14:textId="77777777" w:rsidR="003E7651" w:rsidRPr="004B3CF1" w:rsidRDefault="003E7651" w:rsidP="003E7651">
            <w:pPr>
              <w:rPr>
                <w:rFonts w:ascii="Arial" w:hAnsi="Arial" w:cs="Arial"/>
                <w:color w:val="000000"/>
                <w:sz w:val="20"/>
                <w:szCs w:val="20"/>
                <w:lang w:eastAsia="bs-Latn-BA"/>
              </w:rPr>
            </w:pPr>
          </w:p>
        </w:tc>
        <w:tc>
          <w:tcPr>
            <w:tcW w:w="835"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5BC0B334"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726"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0AA7BE2A"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35"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603716CA"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927"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3C7232CD"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50"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0413C023"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726"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04BEB425"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35"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2311901D"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708"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73D26380"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51"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694023D4"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850" w:type="dxa"/>
            <w:tcBorders>
              <w:top w:val="nil"/>
              <w:left w:val="nil"/>
              <w:bottom w:val="single" w:sz="4" w:space="0" w:color="979991"/>
              <w:right w:val="single" w:sz="4" w:space="0" w:color="979991"/>
            </w:tcBorders>
            <w:shd w:val="clear" w:color="auto" w:fill="auto"/>
            <w:tcMar>
              <w:left w:w="28" w:type="dxa"/>
              <w:right w:w="28" w:type="dxa"/>
            </w:tcMar>
            <w:vAlign w:val="center"/>
            <w:hideMark/>
          </w:tcPr>
          <w:p w14:paraId="5CAB5F72"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r>
      <w:tr w:rsidR="003E7651" w:rsidRPr="004B3CF1" w14:paraId="12090864" w14:textId="77777777" w:rsidTr="003E7651">
        <w:trPr>
          <w:trHeight w:val="300"/>
        </w:trPr>
        <w:tc>
          <w:tcPr>
            <w:tcW w:w="101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0F5796D5"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BiH</w:t>
            </w:r>
          </w:p>
        </w:tc>
        <w:tc>
          <w:tcPr>
            <w:tcW w:w="83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2E421AD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1,498</w:t>
            </w:r>
          </w:p>
        </w:tc>
        <w:tc>
          <w:tcPr>
            <w:tcW w:w="726"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390C32B9"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6,825</w:t>
            </w:r>
          </w:p>
        </w:tc>
        <w:tc>
          <w:tcPr>
            <w:tcW w:w="835" w:type="dxa"/>
            <w:tcBorders>
              <w:top w:val="nil"/>
              <w:left w:val="nil"/>
              <w:bottom w:val="single" w:sz="4" w:space="0" w:color="979991"/>
              <w:right w:val="single" w:sz="4" w:space="0" w:color="979991"/>
            </w:tcBorders>
            <w:shd w:val="clear" w:color="auto" w:fill="auto"/>
            <w:vAlign w:val="center"/>
            <w:hideMark/>
          </w:tcPr>
          <w:p w14:paraId="2402B8C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229</w:t>
            </w:r>
          </w:p>
        </w:tc>
        <w:tc>
          <w:tcPr>
            <w:tcW w:w="927" w:type="dxa"/>
            <w:tcBorders>
              <w:top w:val="nil"/>
              <w:left w:val="nil"/>
              <w:bottom w:val="single" w:sz="4" w:space="0" w:color="979991"/>
              <w:right w:val="single" w:sz="4" w:space="0" w:color="979991"/>
            </w:tcBorders>
            <w:shd w:val="clear" w:color="auto" w:fill="auto"/>
            <w:vAlign w:val="center"/>
            <w:hideMark/>
          </w:tcPr>
          <w:p w14:paraId="17776E6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692</w:t>
            </w:r>
          </w:p>
        </w:tc>
        <w:tc>
          <w:tcPr>
            <w:tcW w:w="850" w:type="dxa"/>
            <w:tcBorders>
              <w:top w:val="nil"/>
              <w:left w:val="nil"/>
              <w:bottom w:val="single" w:sz="4" w:space="0" w:color="979991"/>
              <w:right w:val="single" w:sz="4" w:space="0" w:color="979991"/>
            </w:tcBorders>
            <w:shd w:val="clear" w:color="auto" w:fill="auto"/>
            <w:vAlign w:val="center"/>
            <w:hideMark/>
          </w:tcPr>
          <w:p w14:paraId="5BD3438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298</w:t>
            </w:r>
          </w:p>
        </w:tc>
        <w:tc>
          <w:tcPr>
            <w:tcW w:w="726" w:type="dxa"/>
            <w:tcBorders>
              <w:top w:val="nil"/>
              <w:left w:val="nil"/>
              <w:bottom w:val="single" w:sz="4" w:space="0" w:color="979991"/>
              <w:right w:val="single" w:sz="4" w:space="0" w:color="979991"/>
            </w:tcBorders>
            <w:shd w:val="clear" w:color="auto" w:fill="auto"/>
            <w:vAlign w:val="center"/>
            <w:hideMark/>
          </w:tcPr>
          <w:p w14:paraId="52D2714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816</w:t>
            </w:r>
          </w:p>
        </w:tc>
        <w:tc>
          <w:tcPr>
            <w:tcW w:w="835" w:type="dxa"/>
            <w:tcBorders>
              <w:top w:val="nil"/>
              <w:left w:val="nil"/>
              <w:bottom w:val="single" w:sz="4" w:space="0" w:color="979991"/>
              <w:right w:val="single" w:sz="4" w:space="0" w:color="979991"/>
            </w:tcBorders>
            <w:shd w:val="clear" w:color="auto" w:fill="auto"/>
            <w:vAlign w:val="center"/>
            <w:hideMark/>
          </w:tcPr>
          <w:p w14:paraId="6E508576"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74</w:t>
            </w:r>
          </w:p>
        </w:tc>
        <w:tc>
          <w:tcPr>
            <w:tcW w:w="708" w:type="dxa"/>
            <w:tcBorders>
              <w:top w:val="nil"/>
              <w:left w:val="nil"/>
              <w:bottom w:val="single" w:sz="4" w:space="0" w:color="979991"/>
              <w:right w:val="single" w:sz="4" w:space="0" w:color="979991"/>
            </w:tcBorders>
            <w:shd w:val="clear" w:color="auto" w:fill="auto"/>
            <w:vAlign w:val="center"/>
            <w:hideMark/>
          </w:tcPr>
          <w:p w14:paraId="221CE373"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223</w:t>
            </w:r>
          </w:p>
        </w:tc>
        <w:tc>
          <w:tcPr>
            <w:tcW w:w="851"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494E75B0"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894</w:t>
            </w:r>
          </w:p>
        </w:tc>
        <w:tc>
          <w:tcPr>
            <w:tcW w:w="850"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6205C2A4"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5,090</w:t>
            </w:r>
          </w:p>
        </w:tc>
      </w:tr>
      <w:tr w:rsidR="003E7651" w:rsidRPr="004B3CF1" w14:paraId="2CCD09CB" w14:textId="77777777" w:rsidTr="003E7651">
        <w:trPr>
          <w:trHeight w:val="300"/>
        </w:trPr>
        <w:tc>
          <w:tcPr>
            <w:tcW w:w="1015" w:type="dxa"/>
            <w:vMerge/>
            <w:tcBorders>
              <w:top w:val="nil"/>
              <w:left w:val="single" w:sz="4" w:space="0" w:color="979991"/>
              <w:bottom w:val="single" w:sz="4" w:space="0" w:color="979991"/>
              <w:right w:val="single" w:sz="4" w:space="0" w:color="979991"/>
            </w:tcBorders>
            <w:vAlign w:val="center"/>
            <w:hideMark/>
          </w:tcPr>
          <w:p w14:paraId="7F938CA3" w14:textId="77777777" w:rsidR="003E7651" w:rsidRPr="004B3CF1" w:rsidRDefault="003E7651" w:rsidP="003E7651">
            <w:pPr>
              <w:rPr>
                <w:rFonts w:ascii="Arial" w:hAnsi="Arial" w:cs="Arial"/>
                <w:color w:val="000000"/>
                <w:sz w:val="20"/>
                <w:szCs w:val="20"/>
                <w:lang w:eastAsia="bs-Latn-BA"/>
              </w:rPr>
            </w:pPr>
          </w:p>
        </w:tc>
        <w:tc>
          <w:tcPr>
            <w:tcW w:w="835" w:type="dxa"/>
            <w:vMerge/>
            <w:tcBorders>
              <w:top w:val="nil"/>
              <w:left w:val="single" w:sz="4" w:space="0" w:color="979991"/>
              <w:bottom w:val="single" w:sz="4" w:space="0" w:color="979991"/>
              <w:right w:val="single" w:sz="4" w:space="0" w:color="979991"/>
            </w:tcBorders>
            <w:vAlign w:val="center"/>
            <w:hideMark/>
          </w:tcPr>
          <w:p w14:paraId="5A873EC7" w14:textId="77777777" w:rsidR="003E7651" w:rsidRPr="004B3CF1" w:rsidRDefault="003E7651" w:rsidP="003E7651">
            <w:pPr>
              <w:rPr>
                <w:rFonts w:ascii="Arial" w:hAnsi="Arial" w:cs="Arial"/>
                <w:color w:val="000000"/>
                <w:sz w:val="20"/>
                <w:szCs w:val="20"/>
                <w:lang w:eastAsia="bs-Latn-BA"/>
              </w:rPr>
            </w:pPr>
          </w:p>
        </w:tc>
        <w:tc>
          <w:tcPr>
            <w:tcW w:w="726" w:type="dxa"/>
            <w:vMerge/>
            <w:tcBorders>
              <w:top w:val="nil"/>
              <w:left w:val="single" w:sz="4" w:space="0" w:color="979991"/>
              <w:bottom w:val="single" w:sz="4" w:space="0" w:color="979991"/>
              <w:right w:val="single" w:sz="4" w:space="0" w:color="979991"/>
            </w:tcBorders>
            <w:vAlign w:val="center"/>
            <w:hideMark/>
          </w:tcPr>
          <w:p w14:paraId="118031FC" w14:textId="77777777" w:rsidR="003E7651" w:rsidRPr="004B3CF1" w:rsidRDefault="003E7651" w:rsidP="003E7651">
            <w:pPr>
              <w:rPr>
                <w:rFonts w:ascii="Arial" w:hAnsi="Arial" w:cs="Arial"/>
                <w:color w:val="000000"/>
                <w:sz w:val="20"/>
                <w:szCs w:val="20"/>
                <w:lang w:eastAsia="bs-Latn-BA"/>
              </w:rPr>
            </w:pPr>
          </w:p>
        </w:tc>
        <w:tc>
          <w:tcPr>
            <w:tcW w:w="835" w:type="dxa"/>
            <w:tcBorders>
              <w:top w:val="nil"/>
              <w:left w:val="nil"/>
              <w:bottom w:val="single" w:sz="4" w:space="0" w:color="979991"/>
              <w:right w:val="single" w:sz="4" w:space="0" w:color="979991"/>
            </w:tcBorders>
            <w:shd w:val="clear" w:color="000000" w:fill="D9D9D9"/>
            <w:vAlign w:val="center"/>
            <w:hideMark/>
          </w:tcPr>
          <w:p w14:paraId="7E0A544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38%</w:t>
            </w:r>
          </w:p>
        </w:tc>
        <w:tc>
          <w:tcPr>
            <w:tcW w:w="927" w:type="dxa"/>
            <w:tcBorders>
              <w:top w:val="nil"/>
              <w:left w:val="nil"/>
              <w:bottom w:val="single" w:sz="4" w:space="0" w:color="979991"/>
              <w:right w:val="single" w:sz="4" w:space="0" w:color="979991"/>
            </w:tcBorders>
            <w:shd w:val="clear" w:color="000000" w:fill="D9D9D9"/>
            <w:vAlign w:val="center"/>
            <w:hideMark/>
          </w:tcPr>
          <w:p w14:paraId="6D502FC9"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40%</w:t>
            </w:r>
          </w:p>
        </w:tc>
        <w:tc>
          <w:tcPr>
            <w:tcW w:w="850" w:type="dxa"/>
            <w:tcBorders>
              <w:top w:val="nil"/>
              <w:left w:val="nil"/>
              <w:bottom w:val="single" w:sz="4" w:space="0" w:color="979991"/>
              <w:right w:val="single" w:sz="4" w:space="0" w:color="979991"/>
            </w:tcBorders>
            <w:shd w:val="clear" w:color="000000" w:fill="D9D9D9"/>
            <w:vAlign w:val="center"/>
            <w:hideMark/>
          </w:tcPr>
          <w:p w14:paraId="384625EF"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50%</w:t>
            </w:r>
          </w:p>
        </w:tc>
        <w:tc>
          <w:tcPr>
            <w:tcW w:w="726" w:type="dxa"/>
            <w:tcBorders>
              <w:top w:val="nil"/>
              <w:left w:val="nil"/>
              <w:bottom w:val="single" w:sz="4" w:space="0" w:color="979991"/>
              <w:right w:val="single" w:sz="4" w:space="0" w:color="979991"/>
            </w:tcBorders>
            <w:shd w:val="clear" w:color="000000" w:fill="D9D9D9"/>
            <w:vAlign w:val="center"/>
            <w:hideMark/>
          </w:tcPr>
          <w:p w14:paraId="762A1BA9"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47%</w:t>
            </w:r>
          </w:p>
        </w:tc>
        <w:tc>
          <w:tcPr>
            <w:tcW w:w="835" w:type="dxa"/>
            <w:tcBorders>
              <w:top w:val="nil"/>
              <w:left w:val="nil"/>
              <w:bottom w:val="single" w:sz="4" w:space="0" w:color="979991"/>
              <w:right w:val="single" w:sz="4" w:space="0" w:color="979991"/>
            </w:tcBorders>
            <w:shd w:val="clear" w:color="000000" w:fill="D9D9D9"/>
            <w:vAlign w:val="center"/>
            <w:hideMark/>
          </w:tcPr>
          <w:p w14:paraId="48741A6E"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12%</w:t>
            </w:r>
          </w:p>
        </w:tc>
        <w:tc>
          <w:tcPr>
            <w:tcW w:w="708" w:type="dxa"/>
            <w:tcBorders>
              <w:top w:val="nil"/>
              <w:left w:val="nil"/>
              <w:bottom w:val="single" w:sz="4" w:space="0" w:color="979991"/>
              <w:right w:val="single" w:sz="4" w:space="0" w:color="979991"/>
            </w:tcBorders>
            <w:shd w:val="clear" w:color="000000" w:fill="D9D9D9"/>
            <w:vAlign w:val="center"/>
            <w:hideMark/>
          </w:tcPr>
          <w:p w14:paraId="2926C781"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13%</w:t>
            </w:r>
          </w:p>
        </w:tc>
        <w:tc>
          <w:tcPr>
            <w:tcW w:w="851" w:type="dxa"/>
            <w:vMerge/>
            <w:tcBorders>
              <w:top w:val="nil"/>
              <w:left w:val="single" w:sz="4" w:space="0" w:color="979991"/>
              <w:bottom w:val="single" w:sz="4" w:space="0" w:color="979991"/>
              <w:right w:val="single" w:sz="4" w:space="0" w:color="979991"/>
            </w:tcBorders>
            <w:vAlign w:val="center"/>
            <w:hideMark/>
          </w:tcPr>
          <w:p w14:paraId="4FC055A9" w14:textId="77777777" w:rsidR="003E7651" w:rsidRPr="004B3CF1" w:rsidRDefault="003E7651" w:rsidP="003E7651">
            <w:pPr>
              <w:rPr>
                <w:rFonts w:ascii="Arial" w:hAnsi="Arial" w:cs="Arial"/>
                <w:b/>
                <w:bCs/>
                <w:color w:val="000000"/>
                <w:sz w:val="20"/>
                <w:szCs w:val="20"/>
                <w:lang w:eastAsia="bs-Latn-BA"/>
              </w:rPr>
            </w:pPr>
          </w:p>
        </w:tc>
        <w:tc>
          <w:tcPr>
            <w:tcW w:w="850" w:type="dxa"/>
            <w:vMerge/>
            <w:tcBorders>
              <w:top w:val="nil"/>
              <w:left w:val="single" w:sz="4" w:space="0" w:color="979991"/>
              <w:bottom w:val="single" w:sz="4" w:space="0" w:color="979991"/>
              <w:right w:val="single" w:sz="4" w:space="0" w:color="979991"/>
            </w:tcBorders>
            <w:vAlign w:val="center"/>
            <w:hideMark/>
          </w:tcPr>
          <w:p w14:paraId="20A31E45" w14:textId="77777777" w:rsidR="003E7651" w:rsidRPr="004B3CF1" w:rsidRDefault="003E7651" w:rsidP="003E7651">
            <w:pPr>
              <w:rPr>
                <w:rFonts w:ascii="Arial" w:hAnsi="Arial" w:cs="Arial"/>
                <w:b/>
                <w:bCs/>
                <w:color w:val="000000"/>
                <w:sz w:val="20"/>
                <w:szCs w:val="20"/>
                <w:lang w:eastAsia="bs-Latn-BA"/>
              </w:rPr>
            </w:pPr>
          </w:p>
        </w:tc>
      </w:tr>
      <w:tr w:rsidR="003E7651" w:rsidRPr="004B3CF1" w14:paraId="5DD822D7" w14:textId="77777777" w:rsidTr="003E7651">
        <w:trPr>
          <w:trHeight w:val="300"/>
        </w:trPr>
        <w:tc>
          <w:tcPr>
            <w:tcW w:w="101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50FD8A96"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FBiH</w:t>
            </w:r>
          </w:p>
        </w:tc>
        <w:tc>
          <w:tcPr>
            <w:tcW w:w="83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29BA6E2A"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20,538</w:t>
            </w:r>
          </w:p>
        </w:tc>
        <w:tc>
          <w:tcPr>
            <w:tcW w:w="726"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70211AA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31,213</w:t>
            </w:r>
          </w:p>
        </w:tc>
        <w:tc>
          <w:tcPr>
            <w:tcW w:w="835" w:type="dxa"/>
            <w:tcBorders>
              <w:top w:val="nil"/>
              <w:left w:val="nil"/>
              <w:bottom w:val="single" w:sz="4" w:space="0" w:color="979991"/>
              <w:right w:val="single" w:sz="4" w:space="0" w:color="979991"/>
            </w:tcBorders>
            <w:shd w:val="clear" w:color="auto" w:fill="auto"/>
            <w:vAlign w:val="center"/>
            <w:hideMark/>
          </w:tcPr>
          <w:p w14:paraId="4108208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4,216</w:t>
            </w:r>
          </w:p>
        </w:tc>
        <w:tc>
          <w:tcPr>
            <w:tcW w:w="927" w:type="dxa"/>
            <w:tcBorders>
              <w:top w:val="nil"/>
              <w:left w:val="nil"/>
              <w:bottom w:val="single" w:sz="4" w:space="0" w:color="979991"/>
              <w:right w:val="single" w:sz="4" w:space="0" w:color="979991"/>
            </w:tcBorders>
            <w:shd w:val="clear" w:color="auto" w:fill="auto"/>
            <w:vAlign w:val="center"/>
            <w:hideMark/>
          </w:tcPr>
          <w:p w14:paraId="6FD4CD2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6,754</w:t>
            </w:r>
          </w:p>
        </w:tc>
        <w:tc>
          <w:tcPr>
            <w:tcW w:w="850" w:type="dxa"/>
            <w:tcBorders>
              <w:top w:val="nil"/>
              <w:left w:val="nil"/>
              <w:bottom w:val="single" w:sz="4" w:space="0" w:color="979991"/>
              <w:right w:val="single" w:sz="4" w:space="0" w:color="979991"/>
            </w:tcBorders>
            <w:shd w:val="clear" w:color="auto" w:fill="auto"/>
            <w:vAlign w:val="center"/>
            <w:hideMark/>
          </w:tcPr>
          <w:p w14:paraId="51CF69DF"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8,726</w:t>
            </w:r>
          </w:p>
        </w:tc>
        <w:tc>
          <w:tcPr>
            <w:tcW w:w="726" w:type="dxa"/>
            <w:tcBorders>
              <w:top w:val="nil"/>
              <w:left w:val="nil"/>
              <w:bottom w:val="single" w:sz="4" w:space="0" w:color="979991"/>
              <w:right w:val="single" w:sz="4" w:space="0" w:color="979991"/>
            </w:tcBorders>
            <w:shd w:val="clear" w:color="auto" w:fill="auto"/>
            <w:vAlign w:val="center"/>
            <w:hideMark/>
          </w:tcPr>
          <w:p w14:paraId="1D1D710C"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11,256</w:t>
            </w:r>
          </w:p>
        </w:tc>
        <w:tc>
          <w:tcPr>
            <w:tcW w:w="835" w:type="dxa"/>
            <w:tcBorders>
              <w:top w:val="nil"/>
              <w:left w:val="nil"/>
              <w:bottom w:val="single" w:sz="4" w:space="0" w:color="979991"/>
              <w:right w:val="single" w:sz="4" w:space="0" w:color="979991"/>
            </w:tcBorders>
            <w:shd w:val="clear" w:color="auto" w:fill="auto"/>
            <w:vAlign w:val="center"/>
            <w:hideMark/>
          </w:tcPr>
          <w:p w14:paraId="0D86957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394</w:t>
            </w:r>
          </w:p>
        </w:tc>
        <w:tc>
          <w:tcPr>
            <w:tcW w:w="708" w:type="dxa"/>
            <w:tcBorders>
              <w:top w:val="nil"/>
              <w:left w:val="nil"/>
              <w:bottom w:val="single" w:sz="4" w:space="0" w:color="979991"/>
              <w:right w:val="single" w:sz="4" w:space="0" w:color="979991"/>
            </w:tcBorders>
            <w:shd w:val="clear" w:color="auto" w:fill="auto"/>
            <w:vAlign w:val="center"/>
            <w:hideMark/>
          </w:tcPr>
          <w:p w14:paraId="7F20508A"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786</w:t>
            </w:r>
          </w:p>
        </w:tc>
        <w:tc>
          <w:tcPr>
            <w:tcW w:w="851"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15BEB054"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7,179</w:t>
            </w:r>
          </w:p>
        </w:tc>
        <w:tc>
          <w:tcPr>
            <w:tcW w:w="850"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4F7F3319"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12,386</w:t>
            </w:r>
          </w:p>
        </w:tc>
      </w:tr>
      <w:tr w:rsidR="003E7651" w:rsidRPr="004B3CF1" w14:paraId="60FF0F3C" w14:textId="77777777" w:rsidTr="003E7651">
        <w:trPr>
          <w:trHeight w:val="300"/>
        </w:trPr>
        <w:tc>
          <w:tcPr>
            <w:tcW w:w="1015" w:type="dxa"/>
            <w:vMerge/>
            <w:tcBorders>
              <w:top w:val="nil"/>
              <w:left w:val="single" w:sz="4" w:space="0" w:color="979991"/>
              <w:bottom w:val="single" w:sz="4" w:space="0" w:color="979991"/>
              <w:right w:val="single" w:sz="4" w:space="0" w:color="979991"/>
            </w:tcBorders>
            <w:vAlign w:val="center"/>
            <w:hideMark/>
          </w:tcPr>
          <w:p w14:paraId="47BD8D5D" w14:textId="77777777" w:rsidR="003E7651" w:rsidRPr="004B3CF1" w:rsidRDefault="003E7651" w:rsidP="003E7651">
            <w:pPr>
              <w:rPr>
                <w:rFonts w:ascii="Arial" w:hAnsi="Arial" w:cs="Arial"/>
                <w:color w:val="000000"/>
                <w:sz w:val="20"/>
                <w:szCs w:val="20"/>
                <w:lang w:eastAsia="bs-Latn-BA"/>
              </w:rPr>
            </w:pPr>
          </w:p>
        </w:tc>
        <w:tc>
          <w:tcPr>
            <w:tcW w:w="835" w:type="dxa"/>
            <w:vMerge/>
            <w:tcBorders>
              <w:top w:val="nil"/>
              <w:left w:val="single" w:sz="4" w:space="0" w:color="979991"/>
              <w:bottom w:val="single" w:sz="4" w:space="0" w:color="979991"/>
              <w:right w:val="single" w:sz="4" w:space="0" w:color="979991"/>
            </w:tcBorders>
            <w:vAlign w:val="center"/>
            <w:hideMark/>
          </w:tcPr>
          <w:p w14:paraId="4DE4FAE8" w14:textId="77777777" w:rsidR="003E7651" w:rsidRPr="004B3CF1" w:rsidRDefault="003E7651" w:rsidP="003E7651">
            <w:pPr>
              <w:rPr>
                <w:rFonts w:ascii="Arial" w:hAnsi="Arial" w:cs="Arial"/>
                <w:color w:val="000000"/>
                <w:sz w:val="20"/>
                <w:szCs w:val="20"/>
                <w:lang w:eastAsia="bs-Latn-BA"/>
              </w:rPr>
            </w:pPr>
          </w:p>
        </w:tc>
        <w:tc>
          <w:tcPr>
            <w:tcW w:w="726" w:type="dxa"/>
            <w:vMerge/>
            <w:tcBorders>
              <w:top w:val="nil"/>
              <w:left w:val="single" w:sz="4" w:space="0" w:color="979991"/>
              <w:bottom w:val="single" w:sz="4" w:space="0" w:color="979991"/>
              <w:right w:val="single" w:sz="4" w:space="0" w:color="979991"/>
            </w:tcBorders>
            <w:vAlign w:val="center"/>
            <w:hideMark/>
          </w:tcPr>
          <w:p w14:paraId="647A731E" w14:textId="77777777" w:rsidR="003E7651" w:rsidRPr="004B3CF1" w:rsidRDefault="003E7651" w:rsidP="003E7651">
            <w:pPr>
              <w:rPr>
                <w:rFonts w:ascii="Arial" w:hAnsi="Arial" w:cs="Arial"/>
                <w:color w:val="000000"/>
                <w:sz w:val="20"/>
                <w:szCs w:val="20"/>
                <w:lang w:eastAsia="bs-Latn-BA"/>
              </w:rPr>
            </w:pPr>
          </w:p>
        </w:tc>
        <w:tc>
          <w:tcPr>
            <w:tcW w:w="835" w:type="dxa"/>
            <w:tcBorders>
              <w:top w:val="nil"/>
              <w:left w:val="nil"/>
              <w:bottom w:val="single" w:sz="4" w:space="0" w:color="979991"/>
              <w:right w:val="single" w:sz="4" w:space="0" w:color="979991"/>
            </w:tcBorders>
            <w:shd w:val="clear" w:color="000000" w:fill="D9D9D9"/>
            <w:vAlign w:val="center"/>
            <w:hideMark/>
          </w:tcPr>
          <w:p w14:paraId="489F21C3"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32%</w:t>
            </w:r>
          </w:p>
        </w:tc>
        <w:tc>
          <w:tcPr>
            <w:tcW w:w="927" w:type="dxa"/>
            <w:tcBorders>
              <w:top w:val="nil"/>
              <w:left w:val="nil"/>
              <w:bottom w:val="single" w:sz="4" w:space="0" w:color="979991"/>
              <w:right w:val="single" w:sz="4" w:space="0" w:color="979991"/>
            </w:tcBorders>
            <w:shd w:val="clear" w:color="000000" w:fill="D9D9D9"/>
            <w:vAlign w:val="center"/>
            <w:hideMark/>
          </w:tcPr>
          <w:p w14:paraId="1BDF03D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36%</w:t>
            </w:r>
          </w:p>
        </w:tc>
        <w:tc>
          <w:tcPr>
            <w:tcW w:w="850" w:type="dxa"/>
            <w:tcBorders>
              <w:top w:val="nil"/>
              <w:left w:val="nil"/>
              <w:bottom w:val="single" w:sz="4" w:space="0" w:color="979991"/>
              <w:right w:val="single" w:sz="4" w:space="0" w:color="979991"/>
            </w:tcBorders>
            <w:shd w:val="clear" w:color="000000" w:fill="D9D9D9"/>
            <w:vAlign w:val="center"/>
            <w:hideMark/>
          </w:tcPr>
          <w:p w14:paraId="55A32C51"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65%</w:t>
            </w:r>
          </w:p>
        </w:tc>
        <w:tc>
          <w:tcPr>
            <w:tcW w:w="726" w:type="dxa"/>
            <w:tcBorders>
              <w:top w:val="nil"/>
              <w:left w:val="nil"/>
              <w:bottom w:val="single" w:sz="4" w:space="0" w:color="979991"/>
              <w:right w:val="single" w:sz="4" w:space="0" w:color="979991"/>
            </w:tcBorders>
            <w:shd w:val="clear" w:color="000000" w:fill="D9D9D9"/>
            <w:vAlign w:val="center"/>
            <w:hideMark/>
          </w:tcPr>
          <w:p w14:paraId="6FE7F7C3"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60%</w:t>
            </w:r>
          </w:p>
        </w:tc>
        <w:tc>
          <w:tcPr>
            <w:tcW w:w="835" w:type="dxa"/>
            <w:tcBorders>
              <w:top w:val="nil"/>
              <w:left w:val="nil"/>
              <w:bottom w:val="single" w:sz="4" w:space="0" w:color="979991"/>
              <w:right w:val="single" w:sz="4" w:space="0" w:color="979991"/>
            </w:tcBorders>
            <w:shd w:val="clear" w:color="000000" w:fill="D9D9D9"/>
            <w:vAlign w:val="center"/>
            <w:hideMark/>
          </w:tcPr>
          <w:p w14:paraId="3118F9F6"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w:t>
            </w:r>
          </w:p>
        </w:tc>
        <w:tc>
          <w:tcPr>
            <w:tcW w:w="708" w:type="dxa"/>
            <w:tcBorders>
              <w:top w:val="nil"/>
              <w:left w:val="nil"/>
              <w:bottom w:val="single" w:sz="4" w:space="0" w:color="979991"/>
              <w:right w:val="single" w:sz="4" w:space="0" w:color="979991"/>
            </w:tcBorders>
            <w:shd w:val="clear" w:color="000000" w:fill="D9D9D9"/>
            <w:vAlign w:val="center"/>
            <w:hideMark/>
          </w:tcPr>
          <w:p w14:paraId="263A319A"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w:t>
            </w:r>
          </w:p>
        </w:tc>
        <w:tc>
          <w:tcPr>
            <w:tcW w:w="851" w:type="dxa"/>
            <w:vMerge/>
            <w:tcBorders>
              <w:top w:val="nil"/>
              <w:left w:val="single" w:sz="4" w:space="0" w:color="979991"/>
              <w:bottom w:val="single" w:sz="4" w:space="0" w:color="979991"/>
              <w:right w:val="single" w:sz="4" w:space="0" w:color="979991"/>
            </w:tcBorders>
            <w:vAlign w:val="center"/>
            <w:hideMark/>
          </w:tcPr>
          <w:p w14:paraId="218DB59E" w14:textId="77777777" w:rsidR="003E7651" w:rsidRPr="004B3CF1" w:rsidRDefault="003E7651" w:rsidP="003E7651">
            <w:pPr>
              <w:rPr>
                <w:rFonts w:ascii="Arial" w:hAnsi="Arial" w:cs="Arial"/>
                <w:b/>
                <w:bCs/>
                <w:color w:val="000000"/>
                <w:sz w:val="20"/>
                <w:szCs w:val="20"/>
                <w:lang w:eastAsia="bs-Latn-BA"/>
              </w:rPr>
            </w:pPr>
          </w:p>
        </w:tc>
        <w:tc>
          <w:tcPr>
            <w:tcW w:w="850" w:type="dxa"/>
            <w:vMerge/>
            <w:tcBorders>
              <w:top w:val="nil"/>
              <w:left w:val="single" w:sz="4" w:space="0" w:color="979991"/>
              <w:bottom w:val="single" w:sz="4" w:space="0" w:color="979991"/>
              <w:right w:val="single" w:sz="4" w:space="0" w:color="979991"/>
            </w:tcBorders>
            <w:vAlign w:val="center"/>
            <w:hideMark/>
          </w:tcPr>
          <w:p w14:paraId="547D2B9D" w14:textId="77777777" w:rsidR="003E7651" w:rsidRPr="004B3CF1" w:rsidRDefault="003E7651" w:rsidP="003E7651">
            <w:pPr>
              <w:rPr>
                <w:rFonts w:ascii="Arial" w:hAnsi="Arial" w:cs="Arial"/>
                <w:b/>
                <w:bCs/>
                <w:color w:val="000000"/>
                <w:sz w:val="20"/>
                <w:szCs w:val="20"/>
                <w:lang w:eastAsia="bs-Latn-BA"/>
              </w:rPr>
            </w:pPr>
          </w:p>
        </w:tc>
      </w:tr>
      <w:tr w:rsidR="003E7651" w:rsidRPr="004B3CF1" w14:paraId="1CFC1576" w14:textId="77777777" w:rsidTr="003E7651">
        <w:trPr>
          <w:trHeight w:val="300"/>
        </w:trPr>
        <w:tc>
          <w:tcPr>
            <w:tcW w:w="101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33F84B89"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RS</w:t>
            </w:r>
          </w:p>
        </w:tc>
        <w:tc>
          <w:tcPr>
            <w:tcW w:w="83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57769F5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11,102</w:t>
            </w:r>
          </w:p>
        </w:tc>
        <w:tc>
          <w:tcPr>
            <w:tcW w:w="726"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7CCB748A"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15,116</w:t>
            </w:r>
          </w:p>
        </w:tc>
        <w:tc>
          <w:tcPr>
            <w:tcW w:w="835" w:type="dxa"/>
            <w:tcBorders>
              <w:top w:val="nil"/>
              <w:left w:val="nil"/>
              <w:bottom w:val="single" w:sz="4" w:space="0" w:color="979991"/>
              <w:right w:val="single" w:sz="4" w:space="0" w:color="979991"/>
            </w:tcBorders>
            <w:shd w:val="clear" w:color="auto" w:fill="auto"/>
            <w:vAlign w:val="center"/>
            <w:hideMark/>
          </w:tcPr>
          <w:p w14:paraId="2442CB3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1,474</w:t>
            </w:r>
          </w:p>
        </w:tc>
        <w:tc>
          <w:tcPr>
            <w:tcW w:w="927" w:type="dxa"/>
            <w:tcBorders>
              <w:top w:val="nil"/>
              <w:left w:val="nil"/>
              <w:bottom w:val="single" w:sz="4" w:space="0" w:color="979991"/>
              <w:right w:val="single" w:sz="4" w:space="0" w:color="979991"/>
            </w:tcBorders>
            <w:shd w:val="clear" w:color="auto" w:fill="auto"/>
            <w:vAlign w:val="center"/>
            <w:hideMark/>
          </w:tcPr>
          <w:p w14:paraId="317AEB34"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2,150</w:t>
            </w:r>
          </w:p>
        </w:tc>
        <w:tc>
          <w:tcPr>
            <w:tcW w:w="850" w:type="dxa"/>
            <w:tcBorders>
              <w:top w:val="nil"/>
              <w:left w:val="nil"/>
              <w:bottom w:val="single" w:sz="4" w:space="0" w:color="979991"/>
              <w:right w:val="single" w:sz="4" w:space="0" w:color="979991"/>
            </w:tcBorders>
            <w:shd w:val="clear" w:color="auto" w:fill="auto"/>
            <w:vAlign w:val="center"/>
            <w:hideMark/>
          </w:tcPr>
          <w:p w14:paraId="539DE4C9"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5,164</w:t>
            </w:r>
          </w:p>
        </w:tc>
        <w:tc>
          <w:tcPr>
            <w:tcW w:w="726" w:type="dxa"/>
            <w:tcBorders>
              <w:top w:val="nil"/>
              <w:left w:val="nil"/>
              <w:bottom w:val="single" w:sz="4" w:space="0" w:color="979991"/>
              <w:right w:val="single" w:sz="4" w:space="0" w:color="979991"/>
            </w:tcBorders>
            <w:shd w:val="clear" w:color="auto" w:fill="auto"/>
            <w:vAlign w:val="center"/>
            <w:hideMark/>
          </w:tcPr>
          <w:p w14:paraId="6B5EC404"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6,366</w:t>
            </w:r>
          </w:p>
        </w:tc>
        <w:tc>
          <w:tcPr>
            <w:tcW w:w="835" w:type="dxa"/>
            <w:tcBorders>
              <w:top w:val="nil"/>
              <w:left w:val="nil"/>
              <w:bottom w:val="single" w:sz="4" w:space="0" w:color="979991"/>
              <w:right w:val="single" w:sz="4" w:space="0" w:color="979991"/>
            </w:tcBorders>
            <w:shd w:val="clear" w:color="auto" w:fill="auto"/>
            <w:vAlign w:val="center"/>
            <w:hideMark/>
          </w:tcPr>
          <w:p w14:paraId="2D92B4DB"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338</w:t>
            </w:r>
          </w:p>
        </w:tc>
        <w:tc>
          <w:tcPr>
            <w:tcW w:w="708" w:type="dxa"/>
            <w:tcBorders>
              <w:top w:val="nil"/>
              <w:left w:val="nil"/>
              <w:bottom w:val="single" w:sz="4" w:space="0" w:color="979991"/>
              <w:right w:val="single" w:sz="4" w:space="0" w:color="979991"/>
            </w:tcBorders>
            <w:shd w:val="clear" w:color="auto" w:fill="auto"/>
            <w:vAlign w:val="center"/>
            <w:hideMark/>
          </w:tcPr>
          <w:p w14:paraId="70310282"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666</w:t>
            </w:r>
          </w:p>
        </w:tc>
        <w:tc>
          <w:tcPr>
            <w:tcW w:w="851"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233A23F9"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4,117</w:t>
            </w:r>
          </w:p>
        </w:tc>
        <w:tc>
          <w:tcPr>
            <w:tcW w:w="850"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0882CCEB"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5,920</w:t>
            </w:r>
          </w:p>
        </w:tc>
      </w:tr>
      <w:tr w:rsidR="003E7651" w:rsidRPr="004B3CF1" w14:paraId="2B0AFAD1" w14:textId="77777777" w:rsidTr="003E7651">
        <w:trPr>
          <w:trHeight w:val="300"/>
        </w:trPr>
        <w:tc>
          <w:tcPr>
            <w:tcW w:w="1015" w:type="dxa"/>
            <w:vMerge/>
            <w:tcBorders>
              <w:top w:val="nil"/>
              <w:left w:val="single" w:sz="4" w:space="0" w:color="979991"/>
              <w:bottom w:val="single" w:sz="4" w:space="0" w:color="979991"/>
              <w:right w:val="single" w:sz="4" w:space="0" w:color="979991"/>
            </w:tcBorders>
            <w:vAlign w:val="center"/>
            <w:hideMark/>
          </w:tcPr>
          <w:p w14:paraId="0DD00B4A" w14:textId="77777777" w:rsidR="003E7651" w:rsidRPr="004B3CF1" w:rsidRDefault="003E7651" w:rsidP="003E7651">
            <w:pPr>
              <w:rPr>
                <w:rFonts w:ascii="Arial" w:hAnsi="Arial" w:cs="Arial"/>
                <w:color w:val="000000"/>
                <w:sz w:val="20"/>
                <w:szCs w:val="20"/>
                <w:lang w:eastAsia="bs-Latn-BA"/>
              </w:rPr>
            </w:pPr>
          </w:p>
        </w:tc>
        <w:tc>
          <w:tcPr>
            <w:tcW w:w="835" w:type="dxa"/>
            <w:vMerge/>
            <w:tcBorders>
              <w:top w:val="nil"/>
              <w:left w:val="single" w:sz="4" w:space="0" w:color="979991"/>
              <w:bottom w:val="single" w:sz="4" w:space="0" w:color="979991"/>
              <w:right w:val="single" w:sz="4" w:space="0" w:color="979991"/>
            </w:tcBorders>
            <w:vAlign w:val="center"/>
            <w:hideMark/>
          </w:tcPr>
          <w:p w14:paraId="014DCAF0" w14:textId="77777777" w:rsidR="003E7651" w:rsidRPr="004B3CF1" w:rsidRDefault="003E7651" w:rsidP="003E7651">
            <w:pPr>
              <w:rPr>
                <w:rFonts w:ascii="Arial" w:hAnsi="Arial" w:cs="Arial"/>
                <w:color w:val="000000"/>
                <w:sz w:val="20"/>
                <w:szCs w:val="20"/>
                <w:lang w:eastAsia="bs-Latn-BA"/>
              </w:rPr>
            </w:pPr>
          </w:p>
        </w:tc>
        <w:tc>
          <w:tcPr>
            <w:tcW w:w="726" w:type="dxa"/>
            <w:vMerge/>
            <w:tcBorders>
              <w:top w:val="nil"/>
              <w:left w:val="single" w:sz="4" w:space="0" w:color="979991"/>
              <w:bottom w:val="single" w:sz="4" w:space="0" w:color="979991"/>
              <w:right w:val="single" w:sz="4" w:space="0" w:color="979991"/>
            </w:tcBorders>
            <w:vAlign w:val="center"/>
            <w:hideMark/>
          </w:tcPr>
          <w:p w14:paraId="206EFD61" w14:textId="77777777" w:rsidR="003E7651" w:rsidRPr="004B3CF1" w:rsidRDefault="003E7651" w:rsidP="003E7651">
            <w:pPr>
              <w:rPr>
                <w:rFonts w:ascii="Arial" w:hAnsi="Arial" w:cs="Arial"/>
                <w:color w:val="000000"/>
                <w:sz w:val="20"/>
                <w:szCs w:val="20"/>
                <w:lang w:eastAsia="bs-Latn-BA"/>
              </w:rPr>
            </w:pPr>
          </w:p>
        </w:tc>
        <w:tc>
          <w:tcPr>
            <w:tcW w:w="835" w:type="dxa"/>
            <w:tcBorders>
              <w:top w:val="nil"/>
              <w:left w:val="nil"/>
              <w:bottom w:val="single" w:sz="4" w:space="0" w:color="979991"/>
              <w:right w:val="single" w:sz="4" w:space="0" w:color="979991"/>
            </w:tcBorders>
            <w:shd w:val="clear" w:color="000000" w:fill="D9D9D9"/>
            <w:vAlign w:val="center"/>
            <w:hideMark/>
          </w:tcPr>
          <w:p w14:paraId="5CFB41D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21%</w:t>
            </w:r>
          </w:p>
        </w:tc>
        <w:tc>
          <w:tcPr>
            <w:tcW w:w="927" w:type="dxa"/>
            <w:tcBorders>
              <w:top w:val="nil"/>
              <w:left w:val="nil"/>
              <w:bottom w:val="single" w:sz="4" w:space="0" w:color="979991"/>
              <w:right w:val="single" w:sz="4" w:space="0" w:color="979991"/>
            </w:tcBorders>
            <w:shd w:val="clear" w:color="000000" w:fill="D9D9D9"/>
            <w:vAlign w:val="center"/>
            <w:hideMark/>
          </w:tcPr>
          <w:p w14:paraId="2E18AA2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23%</w:t>
            </w:r>
          </w:p>
        </w:tc>
        <w:tc>
          <w:tcPr>
            <w:tcW w:w="850" w:type="dxa"/>
            <w:tcBorders>
              <w:top w:val="nil"/>
              <w:left w:val="nil"/>
              <w:bottom w:val="single" w:sz="4" w:space="0" w:color="979991"/>
              <w:right w:val="single" w:sz="4" w:space="0" w:color="979991"/>
            </w:tcBorders>
            <w:shd w:val="clear" w:color="000000" w:fill="D9D9D9"/>
            <w:vAlign w:val="center"/>
            <w:hideMark/>
          </w:tcPr>
          <w:p w14:paraId="03449DBF"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74%</w:t>
            </w:r>
          </w:p>
        </w:tc>
        <w:tc>
          <w:tcPr>
            <w:tcW w:w="726" w:type="dxa"/>
            <w:tcBorders>
              <w:top w:val="nil"/>
              <w:left w:val="nil"/>
              <w:bottom w:val="single" w:sz="4" w:space="0" w:color="979991"/>
              <w:right w:val="single" w:sz="4" w:space="0" w:color="979991"/>
            </w:tcBorders>
            <w:shd w:val="clear" w:color="000000" w:fill="D9D9D9"/>
            <w:vAlign w:val="center"/>
            <w:hideMark/>
          </w:tcPr>
          <w:p w14:paraId="7A645A5C"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69%</w:t>
            </w:r>
          </w:p>
        </w:tc>
        <w:tc>
          <w:tcPr>
            <w:tcW w:w="835" w:type="dxa"/>
            <w:tcBorders>
              <w:top w:val="nil"/>
              <w:left w:val="nil"/>
              <w:bottom w:val="single" w:sz="4" w:space="0" w:color="979991"/>
              <w:right w:val="single" w:sz="4" w:space="0" w:color="979991"/>
            </w:tcBorders>
            <w:shd w:val="clear" w:color="000000" w:fill="D9D9D9"/>
            <w:vAlign w:val="center"/>
            <w:hideMark/>
          </w:tcPr>
          <w:p w14:paraId="76EB818B"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5%</w:t>
            </w:r>
          </w:p>
        </w:tc>
        <w:tc>
          <w:tcPr>
            <w:tcW w:w="708" w:type="dxa"/>
            <w:tcBorders>
              <w:top w:val="nil"/>
              <w:left w:val="nil"/>
              <w:bottom w:val="single" w:sz="4" w:space="0" w:color="979991"/>
              <w:right w:val="single" w:sz="4" w:space="0" w:color="979991"/>
            </w:tcBorders>
            <w:shd w:val="clear" w:color="000000" w:fill="D9D9D9"/>
            <w:vAlign w:val="center"/>
            <w:hideMark/>
          </w:tcPr>
          <w:p w14:paraId="43D5A7A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w:t>
            </w:r>
          </w:p>
        </w:tc>
        <w:tc>
          <w:tcPr>
            <w:tcW w:w="851" w:type="dxa"/>
            <w:vMerge/>
            <w:tcBorders>
              <w:top w:val="nil"/>
              <w:left w:val="single" w:sz="4" w:space="0" w:color="979991"/>
              <w:bottom w:val="single" w:sz="4" w:space="0" w:color="979991"/>
              <w:right w:val="single" w:sz="4" w:space="0" w:color="979991"/>
            </w:tcBorders>
            <w:vAlign w:val="center"/>
            <w:hideMark/>
          </w:tcPr>
          <w:p w14:paraId="768DC31A" w14:textId="77777777" w:rsidR="003E7651" w:rsidRPr="004B3CF1" w:rsidRDefault="003E7651" w:rsidP="003E7651">
            <w:pPr>
              <w:rPr>
                <w:rFonts w:ascii="Arial" w:hAnsi="Arial" w:cs="Arial"/>
                <w:b/>
                <w:bCs/>
                <w:color w:val="000000"/>
                <w:sz w:val="20"/>
                <w:szCs w:val="20"/>
                <w:lang w:eastAsia="bs-Latn-BA"/>
              </w:rPr>
            </w:pPr>
          </w:p>
        </w:tc>
        <w:tc>
          <w:tcPr>
            <w:tcW w:w="850" w:type="dxa"/>
            <w:vMerge/>
            <w:tcBorders>
              <w:top w:val="nil"/>
              <w:left w:val="single" w:sz="4" w:space="0" w:color="979991"/>
              <w:bottom w:val="single" w:sz="4" w:space="0" w:color="979991"/>
              <w:right w:val="single" w:sz="4" w:space="0" w:color="979991"/>
            </w:tcBorders>
            <w:vAlign w:val="center"/>
            <w:hideMark/>
          </w:tcPr>
          <w:p w14:paraId="3782ABF0" w14:textId="77777777" w:rsidR="003E7651" w:rsidRPr="004B3CF1" w:rsidRDefault="003E7651" w:rsidP="003E7651">
            <w:pPr>
              <w:rPr>
                <w:rFonts w:ascii="Arial" w:hAnsi="Arial" w:cs="Arial"/>
                <w:b/>
                <w:bCs/>
                <w:color w:val="000000"/>
                <w:sz w:val="20"/>
                <w:szCs w:val="20"/>
                <w:lang w:eastAsia="bs-Latn-BA"/>
              </w:rPr>
            </w:pPr>
          </w:p>
        </w:tc>
      </w:tr>
      <w:tr w:rsidR="003E7651" w:rsidRPr="004B3CF1" w14:paraId="189B567B" w14:textId="77777777" w:rsidTr="003E7651">
        <w:trPr>
          <w:trHeight w:val="300"/>
        </w:trPr>
        <w:tc>
          <w:tcPr>
            <w:tcW w:w="101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5F44FB97"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Brcko District BiH</w:t>
            </w:r>
          </w:p>
        </w:tc>
        <w:tc>
          <w:tcPr>
            <w:tcW w:w="83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7474BD9F"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259</w:t>
            </w:r>
          </w:p>
        </w:tc>
        <w:tc>
          <w:tcPr>
            <w:tcW w:w="726"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3D9B80F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333</w:t>
            </w:r>
          </w:p>
        </w:tc>
        <w:tc>
          <w:tcPr>
            <w:tcW w:w="835" w:type="dxa"/>
            <w:tcBorders>
              <w:top w:val="nil"/>
              <w:left w:val="nil"/>
              <w:bottom w:val="single" w:sz="4" w:space="0" w:color="979991"/>
              <w:right w:val="single" w:sz="4" w:space="0" w:color="979991"/>
            </w:tcBorders>
            <w:shd w:val="clear" w:color="auto" w:fill="auto"/>
            <w:vAlign w:val="center"/>
            <w:hideMark/>
          </w:tcPr>
          <w:p w14:paraId="11AE3A8D"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w:t>
            </w:r>
          </w:p>
        </w:tc>
        <w:tc>
          <w:tcPr>
            <w:tcW w:w="927" w:type="dxa"/>
            <w:tcBorders>
              <w:top w:val="nil"/>
              <w:left w:val="nil"/>
              <w:bottom w:val="single" w:sz="4" w:space="0" w:color="979991"/>
              <w:right w:val="single" w:sz="4" w:space="0" w:color="979991"/>
            </w:tcBorders>
            <w:shd w:val="clear" w:color="auto" w:fill="auto"/>
            <w:vAlign w:val="center"/>
            <w:hideMark/>
          </w:tcPr>
          <w:p w14:paraId="6408F203"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w:t>
            </w:r>
          </w:p>
        </w:tc>
        <w:tc>
          <w:tcPr>
            <w:tcW w:w="850" w:type="dxa"/>
            <w:tcBorders>
              <w:top w:val="nil"/>
              <w:left w:val="nil"/>
              <w:bottom w:val="single" w:sz="4" w:space="0" w:color="979991"/>
              <w:right w:val="single" w:sz="4" w:space="0" w:color="979991"/>
            </w:tcBorders>
            <w:shd w:val="clear" w:color="auto" w:fill="auto"/>
            <w:vAlign w:val="center"/>
            <w:hideMark/>
          </w:tcPr>
          <w:p w14:paraId="46393F2C"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248</w:t>
            </w:r>
          </w:p>
        </w:tc>
        <w:tc>
          <w:tcPr>
            <w:tcW w:w="726" w:type="dxa"/>
            <w:tcBorders>
              <w:top w:val="nil"/>
              <w:left w:val="nil"/>
              <w:bottom w:val="single" w:sz="4" w:space="0" w:color="979991"/>
              <w:right w:val="single" w:sz="4" w:space="0" w:color="979991"/>
            </w:tcBorders>
            <w:shd w:val="clear" w:color="auto" w:fill="auto"/>
            <w:vAlign w:val="center"/>
            <w:hideMark/>
          </w:tcPr>
          <w:p w14:paraId="1D394BE9"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311</w:t>
            </w:r>
          </w:p>
        </w:tc>
        <w:tc>
          <w:tcPr>
            <w:tcW w:w="835" w:type="dxa"/>
            <w:tcBorders>
              <w:top w:val="nil"/>
              <w:left w:val="nil"/>
              <w:bottom w:val="single" w:sz="4" w:space="0" w:color="979991"/>
              <w:right w:val="single" w:sz="4" w:space="0" w:color="979991"/>
            </w:tcBorders>
            <w:shd w:val="clear" w:color="auto" w:fill="auto"/>
            <w:vAlign w:val="center"/>
            <w:hideMark/>
          </w:tcPr>
          <w:p w14:paraId="3A21E3B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10</w:t>
            </w:r>
          </w:p>
        </w:tc>
        <w:tc>
          <w:tcPr>
            <w:tcW w:w="708" w:type="dxa"/>
            <w:tcBorders>
              <w:top w:val="nil"/>
              <w:left w:val="nil"/>
              <w:bottom w:val="single" w:sz="4" w:space="0" w:color="979991"/>
              <w:right w:val="single" w:sz="4" w:space="0" w:color="979991"/>
            </w:tcBorders>
            <w:shd w:val="clear" w:color="auto" w:fill="auto"/>
            <w:vAlign w:val="center"/>
            <w:hideMark/>
          </w:tcPr>
          <w:p w14:paraId="4129B48E"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18</w:t>
            </w:r>
          </w:p>
        </w:tc>
        <w:tc>
          <w:tcPr>
            <w:tcW w:w="851"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78007397"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0</w:t>
            </w:r>
          </w:p>
        </w:tc>
        <w:tc>
          <w:tcPr>
            <w:tcW w:w="850"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445F570D"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0</w:t>
            </w:r>
          </w:p>
        </w:tc>
      </w:tr>
      <w:tr w:rsidR="003E7651" w:rsidRPr="004B3CF1" w14:paraId="3D2F9FE0" w14:textId="77777777" w:rsidTr="003E7651">
        <w:trPr>
          <w:trHeight w:val="300"/>
        </w:trPr>
        <w:tc>
          <w:tcPr>
            <w:tcW w:w="1015" w:type="dxa"/>
            <w:vMerge/>
            <w:tcBorders>
              <w:top w:val="nil"/>
              <w:left w:val="single" w:sz="4" w:space="0" w:color="979991"/>
              <w:bottom w:val="single" w:sz="4" w:space="0" w:color="979991"/>
              <w:right w:val="single" w:sz="4" w:space="0" w:color="979991"/>
            </w:tcBorders>
            <w:vAlign w:val="center"/>
            <w:hideMark/>
          </w:tcPr>
          <w:p w14:paraId="1A516E79" w14:textId="77777777" w:rsidR="003E7651" w:rsidRPr="004B3CF1" w:rsidRDefault="003E7651" w:rsidP="003E7651">
            <w:pPr>
              <w:rPr>
                <w:rFonts w:ascii="Arial" w:hAnsi="Arial" w:cs="Arial"/>
                <w:color w:val="000000"/>
                <w:sz w:val="20"/>
                <w:szCs w:val="20"/>
                <w:lang w:eastAsia="bs-Latn-BA"/>
              </w:rPr>
            </w:pPr>
          </w:p>
        </w:tc>
        <w:tc>
          <w:tcPr>
            <w:tcW w:w="835" w:type="dxa"/>
            <w:vMerge/>
            <w:tcBorders>
              <w:top w:val="nil"/>
              <w:left w:val="single" w:sz="4" w:space="0" w:color="979991"/>
              <w:bottom w:val="single" w:sz="4" w:space="0" w:color="979991"/>
              <w:right w:val="single" w:sz="4" w:space="0" w:color="979991"/>
            </w:tcBorders>
            <w:vAlign w:val="center"/>
            <w:hideMark/>
          </w:tcPr>
          <w:p w14:paraId="4107DDDE" w14:textId="77777777" w:rsidR="003E7651" w:rsidRPr="004B3CF1" w:rsidRDefault="003E7651" w:rsidP="003E7651">
            <w:pPr>
              <w:rPr>
                <w:rFonts w:ascii="Arial" w:hAnsi="Arial" w:cs="Arial"/>
                <w:color w:val="000000"/>
                <w:sz w:val="20"/>
                <w:szCs w:val="20"/>
                <w:lang w:eastAsia="bs-Latn-BA"/>
              </w:rPr>
            </w:pPr>
          </w:p>
        </w:tc>
        <w:tc>
          <w:tcPr>
            <w:tcW w:w="726" w:type="dxa"/>
            <w:vMerge/>
            <w:tcBorders>
              <w:top w:val="nil"/>
              <w:left w:val="single" w:sz="4" w:space="0" w:color="979991"/>
              <w:bottom w:val="single" w:sz="4" w:space="0" w:color="979991"/>
              <w:right w:val="single" w:sz="4" w:space="0" w:color="979991"/>
            </w:tcBorders>
            <w:vAlign w:val="center"/>
            <w:hideMark/>
          </w:tcPr>
          <w:p w14:paraId="65D7532E" w14:textId="77777777" w:rsidR="003E7651" w:rsidRPr="004B3CF1" w:rsidRDefault="003E7651" w:rsidP="003E7651">
            <w:pPr>
              <w:rPr>
                <w:rFonts w:ascii="Arial" w:hAnsi="Arial" w:cs="Arial"/>
                <w:color w:val="000000"/>
                <w:sz w:val="20"/>
                <w:szCs w:val="20"/>
                <w:lang w:eastAsia="bs-Latn-BA"/>
              </w:rPr>
            </w:pPr>
          </w:p>
        </w:tc>
        <w:tc>
          <w:tcPr>
            <w:tcW w:w="835" w:type="dxa"/>
            <w:tcBorders>
              <w:top w:val="nil"/>
              <w:left w:val="nil"/>
              <w:bottom w:val="single" w:sz="4" w:space="0" w:color="979991"/>
              <w:right w:val="single" w:sz="4" w:space="0" w:color="979991"/>
            </w:tcBorders>
            <w:shd w:val="clear" w:color="000000" w:fill="D9D9D9"/>
            <w:vAlign w:val="center"/>
            <w:hideMark/>
          </w:tcPr>
          <w:p w14:paraId="109EFB22"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0%</w:t>
            </w:r>
          </w:p>
        </w:tc>
        <w:tc>
          <w:tcPr>
            <w:tcW w:w="927" w:type="dxa"/>
            <w:tcBorders>
              <w:top w:val="nil"/>
              <w:left w:val="nil"/>
              <w:bottom w:val="single" w:sz="4" w:space="0" w:color="979991"/>
              <w:right w:val="single" w:sz="4" w:space="0" w:color="979991"/>
            </w:tcBorders>
            <w:shd w:val="clear" w:color="000000" w:fill="D9D9D9"/>
            <w:vAlign w:val="center"/>
            <w:hideMark/>
          </w:tcPr>
          <w:p w14:paraId="3E14FEA6"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w:t>
            </w:r>
          </w:p>
        </w:tc>
        <w:tc>
          <w:tcPr>
            <w:tcW w:w="850" w:type="dxa"/>
            <w:tcBorders>
              <w:top w:val="nil"/>
              <w:left w:val="nil"/>
              <w:bottom w:val="single" w:sz="4" w:space="0" w:color="979991"/>
              <w:right w:val="single" w:sz="4" w:space="0" w:color="979991"/>
            </w:tcBorders>
            <w:shd w:val="clear" w:color="000000" w:fill="D9D9D9"/>
            <w:vAlign w:val="center"/>
            <w:hideMark/>
          </w:tcPr>
          <w:p w14:paraId="467A021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96%</w:t>
            </w:r>
          </w:p>
        </w:tc>
        <w:tc>
          <w:tcPr>
            <w:tcW w:w="726" w:type="dxa"/>
            <w:tcBorders>
              <w:top w:val="nil"/>
              <w:left w:val="nil"/>
              <w:bottom w:val="single" w:sz="4" w:space="0" w:color="979991"/>
              <w:right w:val="single" w:sz="4" w:space="0" w:color="979991"/>
            </w:tcBorders>
            <w:shd w:val="clear" w:color="000000" w:fill="D9D9D9"/>
            <w:vAlign w:val="center"/>
            <w:hideMark/>
          </w:tcPr>
          <w:p w14:paraId="51AF19C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93%</w:t>
            </w:r>
          </w:p>
        </w:tc>
        <w:tc>
          <w:tcPr>
            <w:tcW w:w="835" w:type="dxa"/>
            <w:tcBorders>
              <w:top w:val="nil"/>
              <w:left w:val="nil"/>
              <w:bottom w:val="single" w:sz="4" w:space="0" w:color="979991"/>
              <w:right w:val="single" w:sz="4" w:space="0" w:color="979991"/>
            </w:tcBorders>
            <w:shd w:val="clear" w:color="000000" w:fill="D9D9D9"/>
            <w:vAlign w:val="center"/>
            <w:hideMark/>
          </w:tcPr>
          <w:p w14:paraId="457BBC1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w:t>
            </w:r>
          </w:p>
        </w:tc>
        <w:tc>
          <w:tcPr>
            <w:tcW w:w="708" w:type="dxa"/>
            <w:tcBorders>
              <w:top w:val="nil"/>
              <w:left w:val="nil"/>
              <w:bottom w:val="single" w:sz="4" w:space="0" w:color="979991"/>
              <w:right w:val="single" w:sz="4" w:space="0" w:color="979991"/>
            </w:tcBorders>
            <w:shd w:val="clear" w:color="000000" w:fill="D9D9D9"/>
            <w:vAlign w:val="center"/>
            <w:hideMark/>
          </w:tcPr>
          <w:p w14:paraId="36EB499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5%</w:t>
            </w:r>
          </w:p>
        </w:tc>
        <w:tc>
          <w:tcPr>
            <w:tcW w:w="851" w:type="dxa"/>
            <w:vMerge/>
            <w:tcBorders>
              <w:top w:val="nil"/>
              <w:left w:val="single" w:sz="4" w:space="0" w:color="979991"/>
              <w:bottom w:val="single" w:sz="4" w:space="0" w:color="979991"/>
              <w:right w:val="single" w:sz="4" w:space="0" w:color="979991"/>
            </w:tcBorders>
            <w:vAlign w:val="center"/>
            <w:hideMark/>
          </w:tcPr>
          <w:p w14:paraId="7B732F7F" w14:textId="77777777" w:rsidR="003E7651" w:rsidRPr="004B3CF1" w:rsidRDefault="003E7651" w:rsidP="003E7651">
            <w:pPr>
              <w:rPr>
                <w:rFonts w:ascii="Arial" w:hAnsi="Arial" w:cs="Arial"/>
                <w:b/>
                <w:bCs/>
                <w:color w:val="000000"/>
                <w:sz w:val="20"/>
                <w:szCs w:val="20"/>
                <w:lang w:eastAsia="bs-Latn-BA"/>
              </w:rPr>
            </w:pPr>
          </w:p>
        </w:tc>
        <w:tc>
          <w:tcPr>
            <w:tcW w:w="850" w:type="dxa"/>
            <w:vMerge/>
            <w:tcBorders>
              <w:top w:val="nil"/>
              <w:left w:val="single" w:sz="4" w:space="0" w:color="979991"/>
              <w:bottom w:val="single" w:sz="4" w:space="0" w:color="979991"/>
              <w:right w:val="single" w:sz="4" w:space="0" w:color="979991"/>
            </w:tcBorders>
            <w:vAlign w:val="center"/>
            <w:hideMark/>
          </w:tcPr>
          <w:p w14:paraId="0CF20ED4" w14:textId="77777777" w:rsidR="003E7651" w:rsidRPr="004B3CF1" w:rsidRDefault="003E7651" w:rsidP="003E7651">
            <w:pPr>
              <w:rPr>
                <w:rFonts w:ascii="Arial" w:hAnsi="Arial" w:cs="Arial"/>
                <w:b/>
                <w:bCs/>
                <w:color w:val="000000"/>
                <w:sz w:val="20"/>
                <w:szCs w:val="20"/>
                <w:lang w:eastAsia="bs-Latn-BA"/>
              </w:rPr>
            </w:pPr>
          </w:p>
        </w:tc>
      </w:tr>
      <w:tr w:rsidR="003E7651" w:rsidRPr="004B3CF1" w14:paraId="489975C3" w14:textId="77777777" w:rsidTr="003E7651">
        <w:trPr>
          <w:trHeight w:val="300"/>
        </w:trPr>
        <w:tc>
          <w:tcPr>
            <w:tcW w:w="101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67152B71" w14:textId="77777777" w:rsidR="003E7651" w:rsidRPr="004B3CF1" w:rsidRDefault="003E7651" w:rsidP="003E7651">
            <w:pPr>
              <w:rPr>
                <w:rFonts w:ascii="Arial" w:hAnsi="Arial" w:cs="Arial"/>
                <w:b/>
                <w:bCs/>
                <w:color w:val="000000"/>
                <w:sz w:val="20"/>
                <w:szCs w:val="20"/>
              </w:rPr>
            </w:pPr>
            <w:r w:rsidRPr="004B3CF1">
              <w:rPr>
                <w:rFonts w:ascii="Arial" w:hAnsi="Arial"/>
                <w:b/>
                <w:bCs/>
                <w:color w:val="000000"/>
                <w:sz w:val="20"/>
                <w:szCs w:val="20"/>
              </w:rPr>
              <w:t>TOTAL</w:t>
            </w:r>
          </w:p>
        </w:tc>
        <w:tc>
          <w:tcPr>
            <w:tcW w:w="835"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32306A70"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33,397</w:t>
            </w:r>
          </w:p>
        </w:tc>
        <w:tc>
          <w:tcPr>
            <w:tcW w:w="726"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0670231B"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53,487</w:t>
            </w:r>
          </w:p>
        </w:tc>
        <w:tc>
          <w:tcPr>
            <w:tcW w:w="835" w:type="dxa"/>
            <w:tcBorders>
              <w:top w:val="nil"/>
              <w:left w:val="nil"/>
              <w:bottom w:val="single" w:sz="4" w:space="0" w:color="979991"/>
              <w:right w:val="single" w:sz="4" w:space="0" w:color="979991"/>
            </w:tcBorders>
            <w:shd w:val="clear" w:color="auto" w:fill="auto"/>
            <w:vAlign w:val="center"/>
            <w:hideMark/>
          </w:tcPr>
          <w:p w14:paraId="16FF832D"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5,920</w:t>
            </w:r>
          </w:p>
        </w:tc>
        <w:tc>
          <w:tcPr>
            <w:tcW w:w="927" w:type="dxa"/>
            <w:tcBorders>
              <w:top w:val="nil"/>
              <w:left w:val="nil"/>
              <w:bottom w:val="single" w:sz="4" w:space="0" w:color="979991"/>
              <w:right w:val="single" w:sz="4" w:space="0" w:color="979991"/>
            </w:tcBorders>
            <w:shd w:val="clear" w:color="auto" w:fill="auto"/>
            <w:vAlign w:val="center"/>
            <w:hideMark/>
          </w:tcPr>
          <w:p w14:paraId="635809F2"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9,600</w:t>
            </w:r>
          </w:p>
        </w:tc>
        <w:tc>
          <w:tcPr>
            <w:tcW w:w="850" w:type="dxa"/>
            <w:tcBorders>
              <w:top w:val="nil"/>
              <w:left w:val="nil"/>
              <w:bottom w:val="single" w:sz="4" w:space="0" w:color="979991"/>
              <w:right w:val="single" w:sz="4" w:space="0" w:color="979991"/>
            </w:tcBorders>
            <w:shd w:val="clear" w:color="auto" w:fill="auto"/>
            <w:vAlign w:val="center"/>
            <w:hideMark/>
          </w:tcPr>
          <w:p w14:paraId="43827662"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14,436</w:t>
            </w:r>
          </w:p>
        </w:tc>
        <w:tc>
          <w:tcPr>
            <w:tcW w:w="726" w:type="dxa"/>
            <w:tcBorders>
              <w:top w:val="nil"/>
              <w:left w:val="nil"/>
              <w:bottom w:val="single" w:sz="4" w:space="0" w:color="979991"/>
              <w:right w:val="single" w:sz="4" w:space="0" w:color="979991"/>
            </w:tcBorders>
            <w:shd w:val="clear" w:color="auto" w:fill="auto"/>
            <w:vAlign w:val="center"/>
            <w:hideMark/>
          </w:tcPr>
          <w:p w14:paraId="7F0475E6"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18,749</w:t>
            </w:r>
          </w:p>
        </w:tc>
        <w:tc>
          <w:tcPr>
            <w:tcW w:w="835" w:type="dxa"/>
            <w:tcBorders>
              <w:top w:val="nil"/>
              <w:left w:val="nil"/>
              <w:bottom w:val="single" w:sz="4" w:space="0" w:color="979991"/>
              <w:right w:val="single" w:sz="4" w:space="0" w:color="979991"/>
            </w:tcBorders>
            <w:shd w:val="clear" w:color="auto" w:fill="auto"/>
            <w:vAlign w:val="center"/>
            <w:hideMark/>
          </w:tcPr>
          <w:p w14:paraId="692BF2C3"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816</w:t>
            </w:r>
          </w:p>
        </w:tc>
        <w:tc>
          <w:tcPr>
            <w:tcW w:w="708" w:type="dxa"/>
            <w:tcBorders>
              <w:top w:val="nil"/>
              <w:left w:val="nil"/>
              <w:bottom w:val="single" w:sz="4" w:space="0" w:color="979991"/>
              <w:right w:val="single" w:sz="4" w:space="0" w:color="979991"/>
            </w:tcBorders>
            <w:shd w:val="clear" w:color="auto" w:fill="auto"/>
            <w:vAlign w:val="center"/>
            <w:hideMark/>
          </w:tcPr>
          <w:p w14:paraId="560D0692"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1,693</w:t>
            </w:r>
          </w:p>
        </w:tc>
        <w:tc>
          <w:tcPr>
            <w:tcW w:w="851"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4CC1DFD0"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12,190</w:t>
            </w:r>
          </w:p>
        </w:tc>
        <w:tc>
          <w:tcPr>
            <w:tcW w:w="850" w:type="dxa"/>
            <w:vMerge w:val="restart"/>
            <w:tcBorders>
              <w:top w:val="nil"/>
              <w:left w:val="single" w:sz="4" w:space="0" w:color="979991"/>
              <w:bottom w:val="single" w:sz="4" w:space="0" w:color="979991"/>
              <w:right w:val="single" w:sz="4" w:space="0" w:color="979991"/>
            </w:tcBorders>
            <w:shd w:val="clear" w:color="auto" w:fill="auto"/>
            <w:vAlign w:val="center"/>
            <w:hideMark/>
          </w:tcPr>
          <w:p w14:paraId="44B4010F" w14:textId="77777777" w:rsidR="003E7651" w:rsidRPr="004B3CF1" w:rsidRDefault="003E7651" w:rsidP="003E7651">
            <w:pPr>
              <w:jc w:val="right"/>
              <w:rPr>
                <w:rFonts w:ascii="Arial" w:hAnsi="Arial" w:cs="Arial"/>
                <w:b/>
                <w:bCs/>
                <w:color w:val="000000"/>
                <w:sz w:val="20"/>
                <w:szCs w:val="20"/>
              </w:rPr>
            </w:pPr>
            <w:r w:rsidRPr="004B3CF1">
              <w:rPr>
                <w:rFonts w:ascii="Arial" w:hAnsi="Arial"/>
                <w:b/>
                <w:bCs/>
                <w:color w:val="000000"/>
                <w:sz w:val="20"/>
                <w:szCs w:val="20"/>
              </w:rPr>
              <w:t>23,396</w:t>
            </w:r>
          </w:p>
        </w:tc>
      </w:tr>
      <w:tr w:rsidR="003E7651" w:rsidRPr="004B3CF1" w14:paraId="3758C552" w14:textId="77777777" w:rsidTr="003E7651">
        <w:trPr>
          <w:trHeight w:val="300"/>
        </w:trPr>
        <w:tc>
          <w:tcPr>
            <w:tcW w:w="1015" w:type="dxa"/>
            <w:vMerge/>
            <w:tcBorders>
              <w:top w:val="nil"/>
              <w:left w:val="single" w:sz="4" w:space="0" w:color="979991"/>
              <w:bottom w:val="single" w:sz="4" w:space="0" w:color="979991"/>
              <w:right w:val="single" w:sz="4" w:space="0" w:color="979991"/>
            </w:tcBorders>
            <w:vAlign w:val="center"/>
            <w:hideMark/>
          </w:tcPr>
          <w:p w14:paraId="4247A776" w14:textId="77777777" w:rsidR="003E7651" w:rsidRPr="004B3CF1" w:rsidRDefault="003E7651" w:rsidP="003E7651">
            <w:pPr>
              <w:rPr>
                <w:rFonts w:ascii="Arial" w:hAnsi="Arial" w:cs="Arial"/>
                <w:b/>
                <w:bCs/>
                <w:color w:val="000000"/>
                <w:sz w:val="20"/>
                <w:szCs w:val="20"/>
                <w:lang w:eastAsia="bs-Latn-BA"/>
              </w:rPr>
            </w:pPr>
          </w:p>
        </w:tc>
        <w:tc>
          <w:tcPr>
            <w:tcW w:w="835" w:type="dxa"/>
            <w:vMerge/>
            <w:tcBorders>
              <w:top w:val="nil"/>
              <w:left w:val="single" w:sz="4" w:space="0" w:color="979991"/>
              <w:bottom w:val="single" w:sz="4" w:space="0" w:color="979991"/>
              <w:right w:val="single" w:sz="4" w:space="0" w:color="979991"/>
            </w:tcBorders>
            <w:vAlign w:val="center"/>
            <w:hideMark/>
          </w:tcPr>
          <w:p w14:paraId="51F029BD" w14:textId="77777777" w:rsidR="003E7651" w:rsidRPr="004B3CF1" w:rsidRDefault="003E7651" w:rsidP="003E7651">
            <w:pPr>
              <w:rPr>
                <w:rFonts w:ascii="Arial" w:hAnsi="Arial" w:cs="Arial"/>
                <w:b/>
                <w:bCs/>
                <w:color w:val="000000"/>
                <w:sz w:val="20"/>
                <w:szCs w:val="20"/>
                <w:lang w:eastAsia="bs-Latn-BA"/>
              </w:rPr>
            </w:pPr>
          </w:p>
        </w:tc>
        <w:tc>
          <w:tcPr>
            <w:tcW w:w="726" w:type="dxa"/>
            <w:vMerge/>
            <w:tcBorders>
              <w:top w:val="nil"/>
              <w:left w:val="single" w:sz="4" w:space="0" w:color="979991"/>
              <w:bottom w:val="single" w:sz="4" w:space="0" w:color="979991"/>
              <w:right w:val="single" w:sz="4" w:space="0" w:color="979991"/>
            </w:tcBorders>
            <w:vAlign w:val="center"/>
            <w:hideMark/>
          </w:tcPr>
          <w:p w14:paraId="057E29A1" w14:textId="77777777" w:rsidR="003E7651" w:rsidRPr="004B3CF1" w:rsidRDefault="003E7651" w:rsidP="003E7651">
            <w:pPr>
              <w:rPr>
                <w:rFonts w:ascii="Arial" w:hAnsi="Arial" w:cs="Arial"/>
                <w:b/>
                <w:bCs/>
                <w:color w:val="000000"/>
                <w:sz w:val="20"/>
                <w:szCs w:val="20"/>
                <w:lang w:eastAsia="bs-Latn-BA"/>
              </w:rPr>
            </w:pPr>
          </w:p>
        </w:tc>
        <w:tc>
          <w:tcPr>
            <w:tcW w:w="835" w:type="dxa"/>
            <w:tcBorders>
              <w:top w:val="nil"/>
              <w:left w:val="nil"/>
              <w:bottom w:val="single" w:sz="4" w:space="0" w:color="979991"/>
              <w:right w:val="single" w:sz="4" w:space="0" w:color="979991"/>
            </w:tcBorders>
            <w:shd w:val="clear" w:color="000000" w:fill="D9D9D9"/>
            <w:vAlign w:val="center"/>
            <w:hideMark/>
          </w:tcPr>
          <w:p w14:paraId="540FC38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28%</w:t>
            </w:r>
          </w:p>
        </w:tc>
        <w:tc>
          <w:tcPr>
            <w:tcW w:w="927" w:type="dxa"/>
            <w:tcBorders>
              <w:top w:val="nil"/>
              <w:left w:val="nil"/>
              <w:bottom w:val="single" w:sz="4" w:space="0" w:color="979991"/>
              <w:right w:val="single" w:sz="4" w:space="0" w:color="979991"/>
            </w:tcBorders>
            <w:shd w:val="clear" w:color="000000" w:fill="D9D9D9"/>
            <w:vAlign w:val="center"/>
            <w:hideMark/>
          </w:tcPr>
          <w:p w14:paraId="7BCCFB2A"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32%</w:t>
            </w:r>
          </w:p>
        </w:tc>
        <w:tc>
          <w:tcPr>
            <w:tcW w:w="850" w:type="dxa"/>
            <w:tcBorders>
              <w:top w:val="nil"/>
              <w:left w:val="nil"/>
              <w:bottom w:val="single" w:sz="4" w:space="0" w:color="979991"/>
              <w:right w:val="single" w:sz="4" w:space="0" w:color="979991"/>
            </w:tcBorders>
            <w:shd w:val="clear" w:color="000000" w:fill="D9D9D9"/>
            <w:vAlign w:val="center"/>
            <w:hideMark/>
          </w:tcPr>
          <w:p w14:paraId="01CC746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68%</w:t>
            </w:r>
          </w:p>
        </w:tc>
        <w:tc>
          <w:tcPr>
            <w:tcW w:w="726" w:type="dxa"/>
            <w:tcBorders>
              <w:top w:val="nil"/>
              <w:left w:val="nil"/>
              <w:bottom w:val="single" w:sz="4" w:space="0" w:color="979991"/>
              <w:right w:val="single" w:sz="4" w:space="0" w:color="979991"/>
            </w:tcBorders>
            <w:shd w:val="clear" w:color="000000" w:fill="D9D9D9"/>
            <w:vAlign w:val="center"/>
            <w:hideMark/>
          </w:tcPr>
          <w:p w14:paraId="1B99FD2B"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62%</w:t>
            </w:r>
          </w:p>
        </w:tc>
        <w:tc>
          <w:tcPr>
            <w:tcW w:w="835" w:type="dxa"/>
            <w:tcBorders>
              <w:top w:val="nil"/>
              <w:left w:val="nil"/>
              <w:bottom w:val="single" w:sz="4" w:space="0" w:color="979991"/>
              <w:right w:val="single" w:sz="4" w:space="0" w:color="979991"/>
            </w:tcBorders>
            <w:shd w:val="clear" w:color="000000" w:fill="D9D9D9"/>
            <w:vAlign w:val="center"/>
            <w:hideMark/>
          </w:tcPr>
          <w:p w14:paraId="7D92101E"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w:t>
            </w:r>
          </w:p>
        </w:tc>
        <w:tc>
          <w:tcPr>
            <w:tcW w:w="708" w:type="dxa"/>
            <w:tcBorders>
              <w:top w:val="nil"/>
              <w:left w:val="nil"/>
              <w:bottom w:val="single" w:sz="4" w:space="0" w:color="979991"/>
              <w:right w:val="single" w:sz="4" w:space="0" w:color="979991"/>
            </w:tcBorders>
            <w:shd w:val="clear" w:color="000000" w:fill="D9D9D9"/>
            <w:vAlign w:val="center"/>
            <w:hideMark/>
          </w:tcPr>
          <w:p w14:paraId="67815A43"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w:t>
            </w:r>
          </w:p>
        </w:tc>
        <w:tc>
          <w:tcPr>
            <w:tcW w:w="851" w:type="dxa"/>
            <w:vMerge/>
            <w:tcBorders>
              <w:top w:val="nil"/>
              <w:left w:val="single" w:sz="4" w:space="0" w:color="979991"/>
              <w:bottom w:val="single" w:sz="4" w:space="0" w:color="979991"/>
              <w:right w:val="single" w:sz="4" w:space="0" w:color="979991"/>
            </w:tcBorders>
            <w:vAlign w:val="center"/>
            <w:hideMark/>
          </w:tcPr>
          <w:p w14:paraId="6870B6D8" w14:textId="77777777" w:rsidR="003E7651" w:rsidRPr="004B3CF1" w:rsidRDefault="003E7651" w:rsidP="003E7651">
            <w:pPr>
              <w:rPr>
                <w:rFonts w:ascii="Arial" w:hAnsi="Arial" w:cs="Arial"/>
                <w:b/>
                <w:bCs/>
                <w:color w:val="000000"/>
                <w:sz w:val="20"/>
                <w:szCs w:val="20"/>
                <w:lang w:eastAsia="bs-Latn-BA"/>
              </w:rPr>
            </w:pPr>
          </w:p>
        </w:tc>
        <w:tc>
          <w:tcPr>
            <w:tcW w:w="850" w:type="dxa"/>
            <w:vMerge/>
            <w:tcBorders>
              <w:top w:val="nil"/>
              <w:left w:val="single" w:sz="4" w:space="0" w:color="979991"/>
              <w:bottom w:val="single" w:sz="4" w:space="0" w:color="979991"/>
              <w:right w:val="single" w:sz="4" w:space="0" w:color="979991"/>
            </w:tcBorders>
            <w:vAlign w:val="center"/>
            <w:hideMark/>
          </w:tcPr>
          <w:p w14:paraId="47237BFF" w14:textId="77777777" w:rsidR="003E7651" w:rsidRPr="004B3CF1" w:rsidRDefault="003E7651" w:rsidP="003E7651">
            <w:pPr>
              <w:rPr>
                <w:rFonts w:ascii="Arial" w:hAnsi="Arial" w:cs="Arial"/>
                <w:b/>
                <w:bCs/>
                <w:color w:val="000000"/>
                <w:sz w:val="20"/>
                <w:szCs w:val="20"/>
                <w:lang w:eastAsia="bs-Latn-BA"/>
              </w:rPr>
            </w:pPr>
          </w:p>
        </w:tc>
      </w:tr>
    </w:tbl>
    <w:p w14:paraId="6396B2E7" w14:textId="77777777" w:rsidR="003E7651" w:rsidRPr="004B3CF1" w:rsidRDefault="003E7651" w:rsidP="003E7651">
      <w:pPr>
        <w:pStyle w:val="TREINASLOV"/>
      </w:pPr>
      <w:bookmarkStart w:id="228" w:name="_Toc97722102"/>
      <w:bookmarkStart w:id="229" w:name="_Toc101944282"/>
      <w:bookmarkStart w:id="230" w:name="_Toc112852488"/>
      <w:bookmarkEnd w:id="227"/>
      <w:r w:rsidRPr="004B3CF1">
        <w:t>Investigations</w:t>
      </w:r>
      <w:bookmarkEnd w:id="228"/>
      <w:bookmarkEnd w:id="229"/>
      <w:bookmarkEnd w:id="230"/>
    </w:p>
    <w:p w14:paraId="275A3923" w14:textId="77777777" w:rsidR="003E7651" w:rsidRPr="004B3CF1" w:rsidRDefault="003E7651" w:rsidP="003E7651">
      <w:pPr>
        <w:pStyle w:val="Tekst"/>
      </w:pPr>
      <w:r w:rsidRPr="004B3CF1">
        <w:t xml:space="preserve">There were 18,296 cases i.e. 26,548 persons under investigation in 2021 in the prosecutor's offices. Compared to 2020, there were more orders to investigate issued, and the total number of investigations, observed by cases, was higher by 1,541 cases or 9.2%, that is by 2,797 persons or 11.8%. When comparing the number of orders to investigate in 2021 with that in 2019 (the year preceding the pandemic and limitations in the operations of prosecutor's offices associated with it), the number of investigations ordered in 2021 was lower by 780 or 5.1%, observed by cases, that is by 837 or 4.3%, observed by persons. </w:t>
      </w:r>
    </w:p>
    <w:p w14:paraId="4B4EB8CC" w14:textId="77777777" w:rsidR="003E7651" w:rsidRPr="004B3CF1" w:rsidRDefault="003E7651" w:rsidP="003E7651">
      <w:pPr>
        <w:pStyle w:val="Tekst"/>
      </w:pPr>
      <w:r w:rsidRPr="004B3CF1">
        <w:t>Compared to 2020, the total number of completed investigations in 2021 was higher by 1,701 cases or 13.2%, that is the number of persons investigated was higher by 2.710 persons or 16.9%. However, compared to 2019, there were 858 or 5.5% l</w:t>
      </w:r>
      <w:r>
        <w:t xml:space="preserve">ess investigations completed, </w:t>
      </w:r>
      <w:r w:rsidRPr="004B3CF1">
        <w:t xml:space="preserve"> observed</w:t>
      </w:r>
      <w:r>
        <w:t xml:space="preserve"> by cases, or 1,293 or 6.5%, </w:t>
      </w:r>
      <w:r w:rsidRPr="004B3CF1">
        <w:t xml:space="preserve">observed by persons. In 2021, 175 investigations were completed or 1.2% more than ordered, and the number of pending investigations decreased by 5% at the end of the year. </w:t>
      </w:r>
    </w:p>
    <w:p w14:paraId="26145615" w14:textId="77777777" w:rsidR="003E7651" w:rsidRPr="004B3CF1" w:rsidRDefault="003E7651" w:rsidP="003E7651">
      <w:pPr>
        <w:pStyle w:val="Tekst"/>
      </w:pPr>
      <w:r w:rsidRPr="004B3CF1">
        <w:t>Unlike the previous year, when 77% of the total number of invest</w:t>
      </w:r>
      <w:r>
        <w:t xml:space="preserve">igations observed by cases were </w:t>
      </w:r>
      <w:r w:rsidRPr="004B3CF1">
        <w:t>completed, in 2021, 80% of investigations were completed, meaning that 20% of investigations remained pending.</w:t>
      </w:r>
    </w:p>
    <w:p w14:paraId="753733A6" w14:textId="77777777" w:rsidR="003E7651" w:rsidRPr="004B3CF1" w:rsidRDefault="003E7651" w:rsidP="003E7651">
      <w:pPr>
        <w:pStyle w:val="Tekst"/>
      </w:pPr>
      <w:r w:rsidRPr="004B3CF1">
        <w:t>In 2021, a total of 14,611 investigations against</w:t>
      </w:r>
      <w:r>
        <w:t xml:space="preserve"> 18,733 persons were completed. </w:t>
      </w:r>
      <w:r w:rsidRPr="004B3CF1">
        <w:t xml:space="preserve">The breakdown of investigations completed, presented in the table below, shows that most investigations resulted in an indictment, that is 75% of investigations or cases against 70% of persons. A significant number </w:t>
      </w:r>
      <w:r>
        <w:t xml:space="preserve">of </w:t>
      </w:r>
      <w:r w:rsidRPr="004B3CF1">
        <w:t xml:space="preserve">investigations resulted in an order to discontinue investigation, that is 23% of investigated cases against 26% investigated persons. </w:t>
      </w:r>
    </w:p>
    <w:p w14:paraId="61C56735" w14:textId="77777777" w:rsidR="003E7651" w:rsidRPr="004B3CF1" w:rsidRDefault="003E7651" w:rsidP="003E7651">
      <w:pPr>
        <w:spacing w:before="80"/>
        <w:jc w:val="both"/>
        <w:rPr>
          <w:rFonts w:ascii="Arial" w:hAnsi="Arial" w:cs="Arial"/>
          <w:b/>
        </w:rPr>
      </w:pPr>
    </w:p>
    <w:p w14:paraId="6D15387D"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14</w:t>
      </w:r>
      <w:r w:rsidR="006D1459">
        <w:fldChar w:fldCharType="end"/>
      </w:r>
      <w:r w:rsidRPr="004B3CF1">
        <w:t>: Flow of investigations and breakdown of completed investigations</w:t>
      </w:r>
    </w:p>
    <w:tbl>
      <w:tblPr>
        <w:tblW w:w="9072" w:type="dxa"/>
        <w:tblInd w:w="5" w:type="dxa"/>
        <w:tblCellMar>
          <w:left w:w="57" w:type="dxa"/>
          <w:right w:w="57" w:type="dxa"/>
        </w:tblCellMar>
        <w:tblLook w:val="04A0" w:firstRow="1" w:lastRow="0" w:firstColumn="1" w:lastColumn="0" w:noHBand="0" w:noVBand="1"/>
      </w:tblPr>
      <w:tblGrid>
        <w:gridCol w:w="1116"/>
        <w:gridCol w:w="789"/>
        <w:gridCol w:w="726"/>
        <w:gridCol w:w="871"/>
        <w:gridCol w:w="849"/>
        <w:gridCol w:w="990"/>
        <w:gridCol w:w="726"/>
        <w:gridCol w:w="842"/>
        <w:gridCol w:w="722"/>
        <w:gridCol w:w="719"/>
        <w:gridCol w:w="722"/>
      </w:tblGrid>
      <w:tr w:rsidR="003E7651" w:rsidRPr="004B3CF1" w14:paraId="5D69A6A2" w14:textId="77777777" w:rsidTr="003E7651">
        <w:trPr>
          <w:trHeight w:val="300"/>
        </w:trPr>
        <w:tc>
          <w:tcPr>
            <w:tcW w:w="999" w:type="dxa"/>
            <w:vMerge w:val="restart"/>
            <w:tcBorders>
              <w:top w:val="single" w:sz="4" w:space="0" w:color="979991"/>
              <w:left w:val="single" w:sz="4" w:space="0" w:color="979991"/>
              <w:bottom w:val="single" w:sz="4" w:space="0" w:color="979991"/>
              <w:right w:val="single" w:sz="4" w:space="0" w:color="979991"/>
            </w:tcBorders>
            <w:shd w:val="clear" w:color="auto" w:fill="auto"/>
            <w:tcMar>
              <w:left w:w="0" w:type="dxa"/>
              <w:right w:w="0" w:type="dxa"/>
            </w:tcMar>
            <w:vAlign w:val="center"/>
            <w:hideMark/>
          </w:tcPr>
          <w:p w14:paraId="62250440"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lastRenderedPageBreak/>
              <w:t>Prosecutor's offices</w:t>
            </w:r>
          </w:p>
        </w:tc>
        <w:tc>
          <w:tcPr>
            <w:tcW w:w="1581" w:type="dxa"/>
            <w:gridSpan w:val="2"/>
            <w:vMerge w:val="restart"/>
            <w:tcBorders>
              <w:top w:val="single" w:sz="4" w:space="0" w:color="979991"/>
              <w:left w:val="single" w:sz="4" w:space="0" w:color="979991"/>
              <w:bottom w:val="single" w:sz="4" w:space="0" w:color="979991"/>
              <w:right w:val="single" w:sz="4" w:space="0" w:color="979991"/>
            </w:tcBorders>
            <w:shd w:val="clear" w:color="auto" w:fill="auto"/>
            <w:tcMar>
              <w:left w:w="0" w:type="dxa"/>
              <w:right w:w="0" w:type="dxa"/>
            </w:tcMar>
            <w:vAlign w:val="center"/>
            <w:hideMark/>
          </w:tcPr>
          <w:p w14:paraId="4120FA5E"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Total number of investigations in 2021</w:t>
            </w:r>
          </w:p>
        </w:tc>
        <w:tc>
          <w:tcPr>
            <w:tcW w:w="4993" w:type="dxa"/>
            <w:gridSpan w:val="6"/>
            <w:tcBorders>
              <w:top w:val="single" w:sz="4" w:space="0" w:color="979991"/>
              <w:left w:val="nil"/>
              <w:bottom w:val="single" w:sz="4" w:space="0" w:color="979991"/>
              <w:right w:val="single" w:sz="4" w:space="0" w:color="979991"/>
            </w:tcBorders>
            <w:shd w:val="clear" w:color="auto" w:fill="auto"/>
            <w:noWrap/>
            <w:tcMar>
              <w:left w:w="0" w:type="dxa"/>
              <w:right w:w="0" w:type="dxa"/>
            </w:tcMar>
            <w:vAlign w:val="center"/>
            <w:hideMark/>
          </w:tcPr>
          <w:p w14:paraId="2931D04D"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Completed investigations in 2021</w:t>
            </w:r>
          </w:p>
        </w:tc>
        <w:tc>
          <w:tcPr>
            <w:tcW w:w="1499" w:type="dxa"/>
            <w:gridSpan w:val="2"/>
            <w:vMerge w:val="restart"/>
            <w:tcBorders>
              <w:top w:val="single" w:sz="4" w:space="0" w:color="979991"/>
              <w:left w:val="single" w:sz="4" w:space="0" w:color="979991"/>
              <w:bottom w:val="single" w:sz="4" w:space="0" w:color="979991"/>
              <w:right w:val="single" w:sz="4" w:space="0" w:color="979991"/>
            </w:tcBorders>
            <w:shd w:val="clear" w:color="auto" w:fill="auto"/>
            <w:tcMar>
              <w:left w:w="0" w:type="dxa"/>
              <w:right w:w="0" w:type="dxa"/>
            </w:tcMar>
            <w:vAlign w:val="center"/>
            <w:hideMark/>
          </w:tcPr>
          <w:p w14:paraId="7710DFE1"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Pending investigations as at 31/12/2021</w:t>
            </w:r>
          </w:p>
        </w:tc>
      </w:tr>
      <w:tr w:rsidR="003E7651" w:rsidRPr="004B3CF1" w14:paraId="4034D404" w14:textId="77777777" w:rsidTr="003E7651">
        <w:trPr>
          <w:trHeight w:val="630"/>
        </w:trPr>
        <w:tc>
          <w:tcPr>
            <w:tcW w:w="999" w:type="dxa"/>
            <w:vMerge/>
            <w:tcBorders>
              <w:top w:val="single" w:sz="4" w:space="0" w:color="979991"/>
              <w:left w:val="single" w:sz="4" w:space="0" w:color="979991"/>
              <w:bottom w:val="single" w:sz="4" w:space="0" w:color="979991"/>
              <w:right w:val="single" w:sz="4" w:space="0" w:color="979991"/>
            </w:tcBorders>
            <w:tcMar>
              <w:left w:w="0" w:type="dxa"/>
              <w:right w:w="0" w:type="dxa"/>
            </w:tcMar>
            <w:vAlign w:val="center"/>
            <w:hideMark/>
          </w:tcPr>
          <w:p w14:paraId="392A8445" w14:textId="77777777" w:rsidR="003E7651" w:rsidRPr="004B3CF1" w:rsidRDefault="003E7651" w:rsidP="003E7651">
            <w:pPr>
              <w:rPr>
                <w:rFonts w:ascii="Arial" w:hAnsi="Arial" w:cs="Arial"/>
                <w:color w:val="000000"/>
                <w:sz w:val="20"/>
                <w:szCs w:val="20"/>
              </w:rPr>
            </w:pPr>
          </w:p>
        </w:tc>
        <w:tc>
          <w:tcPr>
            <w:tcW w:w="1581" w:type="dxa"/>
            <w:gridSpan w:val="2"/>
            <w:vMerge/>
            <w:tcBorders>
              <w:top w:val="single" w:sz="4" w:space="0" w:color="979991"/>
              <w:left w:val="single" w:sz="4" w:space="0" w:color="979991"/>
              <w:bottom w:val="single" w:sz="4" w:space="0" w:color="979991"/>
              <w:right w:val="single" w:sz="4" w:space="0" w:color="979991"/>
            </w:tcBorders>
            <w:tcMar>
              <w:left w:w="0" w:type="dxa"/>
              <w:right w:w="0" w:type="dxa"/>
            </w:tcMar>
            <w:vAlign w:val="center"/>
            <w:hideMark/>
          </w:tcPr>
          <w:p w14:paraId="2F2128BA" w14:textId="77777777" w:rsidR="003E7651" w:rsidRPr="004B3CF1" w:rsidRDefault="003E7651" w:rsidP="003E7651">
            <w:pPr>
              <w:rPr>
                <w:rFonts w:ascii="Arial" w:hAnsi="Arial" w:cs="Arial"/>
                <w:color w:val="000000"/>
                <w:sz w:val="20"/>
                <w:szCs w:val="20"/>
              </w:rPr>
            </w:pPr>
          </w:p>
        </w:tc>
        <w:tc>
          <w:tcPr>
            <w:tcW w:w="1720" w:type="dxa"/>
            <w:gridSpan w:val="2"/>
            <w:tcBorders>
              <w:top w:val="single" w:sz="4" w:space="0" w:color="979991"/>
              <w:left w:val="nil"/>
              <w:bottom w:val="single" w:sz="4" w:space="0" w:color="979991"/>
              <w:right w:val="single" w:sz="4" w:space="0" w:color="979991"/>
            </w:tcBorders>
            <w:shd w:val="clear" w:color="auto" w:fill="auto"/>
            <w:tcMar>
              <w:left w:w="0" w:type="dxa"/>
              <w:right w:w="0" w:type="dxa"/>
            </w:tcMar>
            <w:vAlign w:val="center"/>
            <w:hideMark/>
          </w:tcPr>
          <w:p w14:paraId="2624435C"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order to discontinue investigation</w:t>
            </w:r>
          </w:p>
        </w:tc>
        <w:tc>
          <w:tcPr>
            <w:tcW w:w="1716" w:type="dxa"/>
            <w:gridSpan w:val="2"/>
            <w:tcBorders>
              <w:top w:val="single" w:sz="4" w:space="0" w:color="979991"/>
              <w:left w:val="nil"/>
              <w:bottom w:val="single" w:sz="4" w:space="0" w:color="979991"/>
              <w:right w:val="single" w:sz="4" w:space="0" w:color="979991"/>
            </w:tcBorders>
            <w:shd w:val="clear" w:color="auto" w:fill="auto"/>
            <w:tcMar>
              <w:left w:w="0" w:type="dxa"/>
              <w:right w:w="0" w:type="dxa"/>
            </w:tcMar>
            <w:vAlign w:val="center"/>
            <w:hideMark/>
          </w:tcPr>
          <w:p w14:paraId="5838E774"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indictment</w:t>
            </w:r>
          </w:p>
        </w:tc>
        <w:tc>
          <w:tcPr>
            <w:tcW w:w="1557" w:type="dxa"/>
            <w:gridSpan w:val="2"/>
            <w:tcBorders>
              <w:top w:val="single" w:sz="4" w:space="0" w:color="979991"/>
              <w:left w:val="nil"/>
              <w:bottom w:val="single" w:sz="4" w:space="0" w:color="979991"/>
              <w:right w:val="single" w:sz="4" w:space="0" w:color="979991"/>
            </w:tcBorders>
            <w:shd w:val="clear" w:color="auto" w:fill="auto"/>
            <w:tcMar>
              <w:left w:w="0" w:type="dxa"/>
              <w:right w:w="0" w:type="dxa"/>
            </w:tcMar>
            <w:vAlign w:val="center"/>
            <w:hideMark/>
          </w:tcPr>
          <w:p w14:paraId="1A142E7A"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other</w:t>
            </w:r>
          </w:p>
        </w:tc>
        <w:tc>
          <w:tcPr>
            <w:tcW w:w="1499" w:type="dxa"/>
            <w:gridSpan w:val="2"/>
            <w:vMerge/>
            <w:tcBorders>
              <w:top w:val="single" w:sz="4" w:space="0" w:color="979991"/>
              <w:left w:val="single" w:sz="4" w:space="0" w:color="979991"/>
              <w:bottom w:val="single" w:sz="4" w:space="0" w:color="979991"/>
              <w:right w:val="single" w:sz="4" w:space="0" w:color="979991"/>
            </w:tcBorders>
            <w:tcMar>
              <w:left w:w="0" w:type="dxa"/>
              <w:right w:w="0" w:type="dxa"/>
            </w:tcMar>
            <w:vAlign w:val="center"/>
            <w:hideMark/>
          </w:tcPr>
          <w:p w14:paraId="1347AFED" w14:textId="77777777" w:rsidR="003E7651" w:rsidRPr="004B3CF1" w:rsidRDefault="003E7651" w:rsidP="003E7651">
            <w:pPr>
              <w:rPr>
                <w:rFonts w:ascii="Arial" w:hAnsi="Arial" w:cs="Arial"/>
                <w:color w:val="000000"/>
                <w:sz w:val="20"/>
                <w:szCs w:val="20"/>
              </w:rPr>
            </w:pPr>
          </w:p>
        </w:tc>
      </w:tr>
      <w:tr w:rsidR="003E7651" w:rsidRPr="004B3CF1" w14:paraId="664FFFD8" w14:textId="77777777" w:rsidTr="003E7651">
        <w:trPr>
          <w:trHeight w:val="315"/>
        </w:trPr>
        <w:tc>
          <w:tcPr>
            <w:tcW w:w="999" w:type="dxa"/>
            <w:vMerge/>
            <w:tcBorders>
              <w:top w:val="single" w:sz="4" w:space="0" w:color="979991"/>
              <w:left w:val="single" w:sz="4" w:space="0" w:color="979991"/>
              <w:bottom w:val="single" w:sz="4" w:space="0" w:color="979991"/>
              <w:right w:val="single" w:sz="4" w:space="0" w:color="979991"/>
            </w:tcBorders>
            <w:tcMar>
              <w:left w:w="0" w:type="dxa"/>
              <w:right w:w="0" w:type="dxa"/>
            </w:tcMar>
            <w:vAlign w:val="center"/>
            <w:hideMark/>
          </w:tcPr>
          <w:p w14:paraId="45B66AC7" w14:textId="77777777" w:rsidR="003E7651" w:rsidRPr="004B3CF1" w:rsidRDefault="003E7651" w:rsidP="003E7651">
            <w:pPr>
              <w:rPr>
                <w:rFonts w:ascii="Arial" w:hAnsi="Arial" w:cs="Arial"/>
                <w:color w:val="000000"/>
                <w:sz w:val="20"/>
                <w:szCs w:val="20"/>
              </w:rPr>
            </w:pPr>
          </w:p>
        </w:tc>
        <w:tc>
          <w:tcPr>
            <w:tcW w:w="855"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022B3F85"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726"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50308205"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71"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6FF8D634"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849"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383E784F"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990"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4F9A4C6F"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726"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6D732114"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49"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74C8E589"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708"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5A1AC0EA"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c>
          <w:tcPr>
            <w:tcW w:w="827"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4F67AC7F"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 xml:space="preserve">cases </w:t>
            </w:r>
          </w:p>
        </w:tc>
        <w:tc>
          <w:tcPr>
            <w:tcW w:w="672" w:type="dxa"/>
            <w:tcBorders>
              <w:top w:val="nil"/>
              <w:left w:val="nil"/>
              <w:bottom w:val="single" w:sz="4" w:space="0" w:color="979991"/>
              <w:right w:val="single" w:sz="4" w:space="0" w:color="979991"/>
            </w:tcBorders>
            <w:shd w:val="clear" w:color="auto" w:fill="auto"/>
            <w:tcMar>
              <w:left w:w="0" w:type="dxa"/>
              <w:right w:w="0" w:type="dxa"/>
            </w:tcMar>
            <w:vAlign w:val="center"/>
            <w:hideMark/>
          </w:tcPr>
          <w:p w14:paraId="575155A8" w14:textId="77777777" w:rsidR="003E7651" w:rsidRPr="004B3CF1" w:rsidRDefault="003E7651" w:rsidP="003E7651">
            <w:pPr>
              <w:jc w:val="center"/>
              <w:rPr>
                <w:rFonts w:ascii="Arial" w:hAnsi="Arial" w:cs="Arial"/>
                <w:color w:val="000000"/>
                <w:sz w:val="20"/>
                <w:szCs w:val="20"/>
              </w:rPr>
            </w:pPr>
            <w:r w:rsidRPr="004B3CF1">
              <w:rPr>
                <w:rFonts w:ascii="Arial" w:hAnsi="Arial"/>
                <w:color w:val="000000"/>
                <w:sz w:val="20"/>
                <w:szCs w:val="20"/>
              </w:rPr>
              <w:t>persons</w:t>
            </w:r>
          </w:p>
        </w:tc>
      </w:tr>
      <w:tr w:rsidR="003E7651" w:rsidRPr="004B3CF1" w14:paraId="06B1EAF0" w14:textId="77777777" w:rsidTr="003E7651">
        <w:trPr>
          <w:trHeight w:val="300"/>
        </w:trPr>
        <w:tc>
          <w:tcPr>
            <w:tcW w:w="999"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2616FE4D"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BiH</w:t>
            </w:r>
          </w:p>
        </w:tc>
        <w:tc>
          <w:tcPr>
            <w:tcW w:w="855"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5B269AF9"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635</w:t>
            </w:r>
          </w:p>
          <w:p w14:paraId="73143BD7"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726"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A488AD5"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2,639</w:t>
            </w:r>
          </w:p>
          <w:p w14:paraId="7C030496"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871"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1AD3EE53"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142</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4F6A9522"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379</w:t>
            </w:r>
          </w:p>
        </w:tc>
        <w:tc>
          <w:tcPr>
            <w:tcW w:w="990"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46E80EEB"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160</w:t>
            </w:r>
          </w:p>
        </w:tc>
        <w:tc>
          <w:tcPr>
            <w:tcW w:w="726"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4F9137D8"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335</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11183795"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14</w:t>
            </w:r>
          </w:p>
        </w:tc>
        <w:tc>
          <w:tcPr>
            <w:tcW w:w="708"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691907FF"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84</w:t>
            </w:r>
          </w:p>
        </w:tc>
        <w:tc>
          <w:tcPr>
            <w:tcW w:w="827"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0054BCAC"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319</w:t>
            </w:r>
          </w:p>
          <w:p w14:paraId="4DD6CFB3"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c>
          <w:tcPr>
            <w:tcW w:w="672"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44EAEF3A"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1,841</w:t>
            </w:r>
          </w:p>
          <w:p w14:paraId="03E86D33"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r>
      <w:tr w:rsidR="003E7651" w:rsidRPr="004B3CF1" w14:paraId="30650321" w14:textId="77777777" w:rsidTr="003E7651">
        <w:trPr>
          <w:trHeight w:val="300"/>
        </w:trPr>
        <w:tc>
          <w:tcPr>
            <w:tcW w:w="999"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728EAF82" w14:textId="77777777" w:rsidR="003E7651" w:rsidRPr="004B3CF1" w:rsidRDefault="003E7651" w:rsidP="003E7651">
            <w:pPr>
              <w:rPr>
                <w:rFonts w:ascii="Arial" w:hAnsi="Arial" w:cs="Arial"/>
                <w:color w:val="000000"/>
                <w:sz w:val="20"/>
                <w:szCs w:val="20"/>
              </w:rPr>
            </w:pPr>
          </w:p>
        </w:tc>
        <w:tc>
          <w:tcPr>
            <w:tcW w:w="855"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66F00283" w14:textId="77777777" w:rsidR="003E7651" w:rsidRPr="004B3CF1" w:rsidRDefault="003E7651" w:rsidP="003E7651">
            <w:pPr>
              <w:rPr>
                <w:rFonts w:ascii="Arial" w:hAnsi="Arial" w:cs="Arial"/>
                <w:color w:val="000000"/>
                <w:sz w:val="20"/>
                <w:szCs w:val="20"/>
              </w:rPr>
            </w:pPr>
          </w:p>
        </w:tc>
        <w:tc>
          <w:tcPr>
            <w:tcW w:w="726"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209D5833" w14:textId="77777777" w:rsidR="003E7651" w:rsidRPr="004B3CF1" w:rsidRDefault="003E7651" w:rsidP="003E7651">
            <w:pPr>
              <w:rPr>
                <w:rFonts w:ascii="Arial" w:hAnsi="Arial" w:cs="Arial"/>
                <w:color w:val="000000"/>
                <w:sz w:val="20"/>
                <w:szCs w:val="20"/>
              </w:rPr>
            </w:pPr>
          </w:p>
        </w:tc>
        <w:tc>
          <w:tcPr>
            <w:tcW w:w="871"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4F4D52A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45%</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6467A382"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47%</w:t>
            </w:r>
          </w:p>
        </w:tc>
        <w:tc>
          <w:tcPr>
            <w:tcW w:w="990"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76F894D4"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51%</w:t>
            </w:r>
          </w:p>
        </w:tc>
        <w:tc>
          <w:tcPr>
            <w:tcW w:w="726"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39728AB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42%</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7A40788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w:t>
            </w:r>
          </w:p>
        </w:tc>
        <w:tc>
          <w:tcPr>
            <w:tcW w:w="708"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165BC78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11%</w:t>
            </w:r>
          </w:p>
        </w:tc>
        <w:tc>
          <w:tcPr>
            <w:tcW w:w="827"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5A0257CA" w14:textId="77777777" w:rsidR="003E7651" w:rsidRPr="004B3CF1" w:rsidRDefault="003E7651" w:rsidP="003E7651">
            <w:pPr>
              <w:rPr>
                <w:rFonts w:ascii="Arial" w:hAnsi="Arial" w:cs="Arial"/>
                <w:bCs/>
                <w:color w:val="000000"/>
                <w:sz w:val="20"/>
                <w:szCs w:val="20"/>
              </w:rPr>
            </w:pPr>
          </w:p>
        </w:tc>
        <w:tc>
          <w:tcPr>
            <w:tcW w:w="672"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26EEC0BE" w14:textId="77777777" w:rsidR="003E7651" w:rsidRPr="004B3CF1" w:rsidRDefault="003E7651" w:rsidP="003E7651">
            <w:pPr>
              <w:rPr>
                <w:rFonts w:ascii="Arial" w:hAnsi="Arial" w:cs="Arial"/>
                <w:bCs/>
                <w:color w:val="000000"/>
                <w:sz w:val="20"/>
                <w:szCs w:val="20"/>
              </w:rPr>
            </w:pPr>
          </w:p>
        </w:tc>
      </w:tr>
      <w:tr w:rsidR="003E7651" w:rsidRPr="004B3CF1" w14:paraId="6688BE79" w14:textId="77777777" w:rsidTr="003E7651">
        <w:trPr>
          <w:trHeight w:val="300"/>
        </w:trPr>
        <w:tc>
          <w:tcPr>
            <w:tcW w:w="999"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2E35D51E"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FBiH</w:t>
            </w:r>
          </w:p>
        </w:tc>
        <w:tc>
          <w:tcPr>
            <w:tcW w:w="855"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23DA85A"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10,705</w:t>
            </w:r>
          </w:p>
          <w:p w14:paraId="72707755"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726"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5F9EF4A2"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14,913</w:t>
            </w:r>
          </w:p>
          <w:p w14:paraId="701BD552"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871"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76D3AF42"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1,343</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31F77C93"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2,184</w:t>
            </w:r>
          </w:p>
        </w:tc>
        <w:tc>
          <w:tcPr>
            <w:tcW w:w="990"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7E72E825"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7,494</w:t>
            </w:r>
          </w:p>
        </w:tc>
        <w:tc>
          <w:tcPr>
            <w:tcW w:w="726"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1940BDFE"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8,767</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63C57823"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136</w:t>
            </w:r>
          </w:p>
        </w:tc>
        <w:tc>
          <w:tcPr>
            <w:tcW w:w="708"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299EBFC4"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460</w:t>
            </w:r>
          </w:p>
        </w:tc>
        <w:tc>
          <w:tcPr>
            <w:tcW w:w="827"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4A2F8F01"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1,731</w:t>
            </w:r>
          </w:p>
          <w:p w14:paraId="1D8DFA2C"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c>
          <w:tcPr>
            <w:tcW w:w="672"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AC33788"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3,500</w:t>
            </w:r>
          </w:p>
          <w:p w14:paraId="5E365C88"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r>
      <w:tr w:rsidR="003E7651" w:rsidRPr="004B3CF1" w14:paraId="276DF72E" w14:textId="77777777" w:rsidTr="003E7651">
        <w:trPr>
          <w:trHeight w:val="300"/>
        </w:trPr>
        <w:tc>
          <w:tcPr>
            <w:tcW w:w="999"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27000578" w14:textId="77777777" w:rsidR="003E7651" w:rsidRPr="004B3CF1" w:rsidRDefault="003E7651" w:rsidP="003E7651">
            <w:pPr>
              <w:rPr>
                <w:rFonts w:ascii="Arial" w:hAnsi="Arial" w:cs="Arial"/>
                <w:color w:val="000000"/>
                <w:sz w:val="20"/>
                <w:szCs w:val="20"/>
              </w:rPr>
            </w:pPr>
          </w:p>
        </w:tc>
        <w:tc>
          <w:tcPr>
            <w:tcW w:w="855"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46DE9A72" w14:textId="77777777" w:rsidR="003E7651" w:rsidRPr="004B3CF1" w:rsidRDefault="003E7651" w:rsidP="003E7651">
            <w:pPr>
              <w:rPr>
                <w:rFonts w:ascii="Arial" w:hAnsi="Arial" w:cs="Arial"/>
                <w:color w:val="000000"/>
                <w:sz w:val="20"/>
                <w:szCs w:val="20"/>
              </w:rPr>
            </w:pPr>
          </w:p>
        </w:tc>
        <w:tc>
          <w:tcPr>
            <w:tcW w:w="726"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64D7D6B0" w14:textId="77777777" w:rsidR="003E7651" w:rsidRPr="004B3CF1" w:rsidRDefault="003E7651" w:rsidP="003E7651">
            <w:pPr>
              <w:rPr>
                <w:rFonts w:ascii="Arial" w:hAnsi="Arial" w:cs="Arial"/>
                <w:color w:val="000000"/>
                <w:sz w:val="20"/>
                <w:szCs w:val="20"/>
              </w:rPr>
            </w:pPr>
          </w:p>
        </w:tc>
        <w:tc>
          <w:tcPr>
            <w:tcW w:w="871"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4753FE8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15%</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7C581352"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19%</w:t>
            </w:r>
          </w:p>
        </w:tc>
        <w:tc>
          <w:tcPr>
            <w:tcW w:w="990"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59EA3D4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84%</w:t>
            </w:r>
          </w:p>
        </w:tc>
        <w:tc>
          <w:tcPr>
            <w:tcW w:w="726"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0A3DBCD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77%</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7D81403D"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w:t>
            </w:r>
          </w:p>
        </w:tc>
        <w:tc>
          <w:tcPr>
            <w:tcW w:w="708"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628A6BB4"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4%</w:t>
            </w:r>
          </w:p>
        </w:tc>
        <w:tc>
          <w:tcPr>
            <w:tcW w:w="827"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7352C8DB" w14:textId="77777777" w:rsidR="003E7651" w:rsidRPr="004B3CF1" w:rsidRDefault="003E7651" w:rsidP="003E7651">
            <w:pPr>
              <w:rPr>
                <w:rFonts w:ascii="Arial" w:hAnsi="Arial" w:cs="Arial"/>
                <w:bCs/>
                <w:color w:val="000000"/>
                <w:sz w:val="20"/>
                <w:szCs w:val="20"/>
              </w:rPr>
            </w:pPr>
          </w:p>
        </w:tc>
        <w:tc>
          <w:tcPr>
            <w:tcW w:w="672"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49F06C0C" w14:textId="77777777" w:rsidR="003E7651" w:rsidRPr="004B3CF1" w:rsidRDefault="003E7651" w:rsidP="003E7651">
            <w:pPr>
              <w:rPr>
                <w:rFonts w:ascii="Arial" w:hAnsi="Arial" w:cs="Arial"/>
                <w:bCs/>
                <w:color w:val="000000"/>
                <w:sz w:val="20"/>
                <w:szCs w:val="20"/>
              </w:rPr>
            </w:pPr>
          </w:p>
        </w:tc>
      </w:tr>
      <w:tr w:rsidR="003E7651" w:rsidRPr="004B3CF1" w14:paraId="4A618FEC" w14:textId="77777777" w:rsidTr="003E7651">
        <w:trPr>
          <w:trHeight w:val="300"/>
        </w:trPr>
        <w:tc>
          <w:tcPr>
            <w:tcW w:w="999"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40B06BFD"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RS</w:t>
            </w:r>
          </w:p>
        </w:tc>
        <w:tc>
          <w:tcPr>
            <w:tcW w:w="855"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4B2B9F4D"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6,619</w:t>
            </w:r>
          </w:p>
          <w:p w14:paraId="638B375E"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726"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ED80EA7"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8,559</w:t>
            </w:r>
          </w:p>
          <w:p w14:paraId="71B70005"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871"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1488BAA0"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1,802</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5C6C5AE0"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2,258</w:t>
            </w:r>
          </w:p>
        </w:tc>
        <w:tc>
          <w:tcPr>
            <w:tcW w:w="990"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43E7198B"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3,196</w:t>
            </w:r>
          </w:p>
        </w:tc>
        <w:tc>
          <w:tcPr>
            <w:tcW w:w="726"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13CBBEFE"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3,767</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0A6AD36B"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77</w:t>
            </w:r>
          </w:p>
        </w:tc>
        <w:tc>
          <w:tcPr>
            <w:tcW w:w="708"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3F3D6BBD"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192</w:t>
            </w:r>
          </w:p>
        </w:tc>
        <w:tc>
          <w:tcPr>
            <w:tcW w:w="827"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325B1085"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1,542</w:t>
            </w:r>
          </w:p>
          <w:p w14:paraId="6A959681"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c>
          <w:tcPr>
            <w:tcW w:w="672"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07BBCB0D"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2,339</w:t>
            </w:r>
          </w:p>
          <w:p w14:paraId="4A6972AF"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r>
      <w:tr w:rsidR="003E7651" w:rsidRPr="004B3CF1" w14:paraId="0C902007" w14:textId="77777777" w:rsidTr="003E7651">
        <w:trPr>
          <w:trHeight w:val="300"/>
        </w:trPr>
        <w:tc>
          <w:tcPr>
            <w:tcW w:w="999"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1BDB1D3D" w14:textId="77777777" w:rsidR="003E7651" w:rsidRPr="004B3CF1" w:rsidRDefault="003E7651" w:rsidP="003E7651">
            <w:pPr>
              <w:rPr>
                <w:rFonts w:ascii="Arial" w:hAnsi="Arial" w:cs="Arial"/>
                <w:color w:val="000000"/>
                <w:sz w:val="20"/>
                <w:szCs w:val="20"/>
              </w:rPr>
            </w:pPr>
          </w:p>
        </w:tc>
        <w:tc>
          <w:tcPr>
            <w:tcW w:w="855"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3FFD7218" w14:textId="77777777" w:rsidR="003E7651" w:rsidRPr="004B3CF1" w:rsidRDefault="003E7651" w:rsidP="003E7651">
            <w:pPr>
              <w:rPr>
                <w:rFonts w:ascii="Arial" w:hAnsi="Arial" w:cs="Arial"/>
                <w:color w:val="000000"/>
                <w:sz w:val="20"/>
                <w:szCs w:val="20"/>
              </w:rPr>
            </w:pPr>
          </w:p>
        </w:tc>
        <w:tc>
          <w:tcPr>
            <w:tcW w:w="726"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790EE0C0" w14:textId="77777777" w:rsidR="003E7651" w:rsidRPr="004B3CF1" w:rsidRDefault="003E7651" w:rsidP="003E7651">
            <w:pPr>
              <w:rPr>
                <w:rFonts w:ascii="Arial" w:hAnsi="Arial" w:cs="Arial"/>
                <w:color w:val="000000"/>
                <w:sz w:val="20"/>
                <w:szCs w:val="20"/>
              </w:rPr>
            </w:pPr>
          </w:p>
        </w:tc>
        <w:tc>
          <w:tcPr>
            <w:tcW w:w="871"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4AD12461"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36%</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546D762D"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36%</w:t>
            </w:r>
          </w:p>
        </w:tc>
        <w:tc>
          <w:tcPr>
            <w:tcW w:w="990"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065B8D7E"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63%</w:t>
            </w:r>
          </w:p>
        </w:tc>
        <w:tc>
          <w:tcPr>
            <w:tcW w:w="726"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014FD8E5"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61%</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6F406C8E"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w:t>
            </w:r>
          </w:p>
        </w:tc>
        <w:tc>
          <w:tcPr>
            <w:tcW w:w="708"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1591799A"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3%</w:t>
            </w:r>
          </w:p>
        </w:tc>
        <w:tc>
          <w:tcPr>
            <w:tcW w:w="827"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08F2CB43" w14:textId="77777777" w:rsidR="003E7651" w:rsidRPr="004B3CF1" w:rsidRDefault="003E7651" w:rsidP="003E7651">
            <w:pPr>
              <w:rPr>
                <w:rFonts w:ascii="Arial" w:hAnsi="Arial" w:cs="Arial"/>
                <w:bCs/>
                <w:color w:val="000000"/>
                <w:sz w:val="20"/>
                <w:szCs w:val="20"/>
              </w:rPr>
            </w:pPr>
          </w:p>
        </w:tc>
        <w:tc>
          <w:tcPr>
            <w:tcW w:w="672"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656C734C" w14:textId="77777777" w:rsidR="003E7651" w:rsidRPr="004B3CF1" w:rsidRDefault="003E7651" w:rsidP="003E7651">
            <w:pPr>
              <w:rPr>
                <w:rFonts w:ascii="Arial" w:hAnsi="Arial" w:cs="Arial"/>
                <w:bCs/>
                <w:color w:val="000000"/>
                <w:sz w:val="20"/>
                <w:szCs w:val="20"/>
              </w:rPr>
            </w:pPr>
          </w:p>
        </w:tc>
      </w:tr>
      <w:tr w:rsidR="003E7651" w:rsidRPr="004B3CF1" w14:paraId="32BB3AF0" w14:textId="77777777" w:rsidTr="003E7651">
        <w:trPr>
          <w:trHeight w:val="300"/>
        </w:trPr>
        <w:tc>
          <w:tcPr>
            <w:tcW w:w="999"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102951DC" w14:textId="77777777" w:rsidR="003E7651" w:rsidRPr="004B3CF1" w:rsidRDefault="003E7651" w:rsidP="003E7651">
            <w:pPr>
              <w:rPr>
                <w:rFonts w:ascii="Arial" w:hAnsi="Arial" w:cs="Arial"/>
                <w:color w:val="000000"/>
                <w:sz w:val="20"/>
                <w:szCs w:val="20"/>
              </w:rPr>
            </w:pPr>
            <w:r w:rsidRPr="004B3CF1">
              <w:rPr>
                <w:rFonts w:ascii="Arial" w:hAnsi="Arial"/>
                <w:color w:val="000000"/>
                <w:sz w:val="20"/>
                <w:szCs w:val="20"/>
              </w:rPr>
              <w:t>BD BiH</w:t>
            </w:r>
          </w:p>
        </w:tc>
        <w:tc>
          <w:tcPr>
            <w:tcW w:w="855"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1C3629EF"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337</w:t>
            </w:r>
          </w:p>
          <w:p w14:paraId="64F37476"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726"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AC7CD5F"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437</w:t>
            </w:r>
          </w:p>
          <w:p w14:paraId="0E1EB50B" w14:textId="77777777" w:rsidR="003E7651" w:rsidRPr="004B3CF1" w:rsidRDefault="003E7651" w:rsidP="003E7651">
            <w:pPr>
              <w:autoSpaceDE w:val="0"/>
              <w:autoSpaceDN w:val="0"/>
              <w:adjustRightInd w:val="0"/>
              <w:jc w:val="right"/>
              <w:rPr>
                <w:rFonts w:ascii="Arial" w:hAnsi="Arial" w:cs="Arial"/>
                <w:color w:val="000000"/>
                <w:sz w:val="20"/>
                <w:szCs w:val="20"/>
                <w:lang w:eastAsia="bs-Latn-BA"/>
              </w:rPr>
            </w:pPr>
          </w:p>
        </w:tc>
        <w:tc>
          <w:tcPr>
            <w:tcW w:w="871"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4B142077"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44</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5E2E5B48"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64</w:t>
            </w:r>
          </w:p>
        </w:tc>
        <w:tc>
          <w:tcPr>
            <w:tcW w:w="990"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3370C222"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191</w:t>
            </w:r>
          </w:p>
        </w:tc>
        <w:tc>
          <w:tcPr>
            <w:tcW w:w="726"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07D45830"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224</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7847E800"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12</w:t>
            </w:r>
          </w:p>
        </w:tc>
        <w:tc>
          <w:tcPr>
            <w:tcW w:w="708"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799C3B89" w14:textId="77777777" w:rsidR="003E7651" w:rsidRPr="004B3CF1" w:rsidRDefault="003E7651" w:rsidP="003E7651">
            <w:pPr>
              <w:autoSpaceDE w:val="0"/>
              <w:autoSpaceDN w:val="0"/>
              <w:adjustRightInd w:val="0"/>
              <w:jc w:val="right"/>
              <w:rPr>
                <w:rFonts w:ascii="Arial" w:hAnsi="Arial" w:cs="Arial"/>
                <w:color w:val="000000"/>
                <w:sz w:val="20"/>
                <w:szCs w:val="20"/>
              </w:rPr>
            </w:pPr>
            <w:r w:rsidRPr="004B3CF1">
              <w:rPr>
                <w:rFonts w:ascii="Arial" w:hAnsi="Arial"/>
                <w:color w:val="000000"/>
                <w:sz w:val="20"/>
                <w:szCs w:val="20"/>
              </w:rPr>
              <w:t>19</w:t>
            </w:r>
          </w:p>
        </w:tc>
        <w:tc>
          <w:tcPr>
            <w:tcW w:w="827"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79A4FA91"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90</w:t>
            </w:r>
          </w:p>
          <w:p w14:paraId="492D79FF"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c>
          <w:tcPr>
            <w:tcW w:w="672"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70AE0613"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130</w:t>
            </w:r>
          </w:p>
          <w:p w14:paraId="5F2BE9F5" w14:textId="77777777" w:rsidR="003E7651" w:rsidRPr="004B3CF1" w:rsidRDefault="003E7651" w:rsidP="003E7651">
            <w:pPr>
              <w:autoSpaceDE w:val="0"/>
              <w:autoSpaceDN w:val="0"/>
              <w:adjustRightInd w:val="0"/>
              <w:jc w:val="right"/>
              <w:rPr>
                <w:rFonts w:ascii="Arial" w:hAnsi="Arial" w:cs="Arial"/>
                <w:b/>
                <w:bCs/>
                <w:color w:val="000000"/>
                <w:sz w:val="20"/>
                <w:szCs w:val="20"/>
                <w:lang w:eastAsia="bs-Latn-BA"/>
              </w:rPr>
            </w:pPr>
          </w:p>
        </w:tc>
      </w:tr>
      <w:tr w:rsidR="003E7651" w:rsidRPr="004B3CF1" w14:paraId="518238B3" w14:textId="77777777" w:rsidTr="003E7651">
        <w:trPr>
          <w:trHeight w:val="300"/>
        </w:trPr>
        <w:tc>
          <w:tcPr>
            <w:tcW w:w="999"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53D0E858" w14:textId="77777777" w:rsidR="003E7651" w:rsidRPr="004B3CF1" w:rsidRDefault="003E7651" w:rsidP="003E7651">
            <w:pPr>
              <w:rPr>
                <w:rFonts w:ascii="Arial" w:hAnsi="Arial" w:cs="Arial"/>
                <w:color w:val="000000"/>
                <w:sz w:val="20"/>
                <w:szCs w:val="20"/>
              </w:rPr>
            </w:pPr>
          </w:p>
        </w:tc>
        <w:tc>
          <w:tcPr>
            <w:tcW w:w="855"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106E6C09" w14:textId="77777777" w:rsidR="003E7651" w:rsidRPr="004B3CF1" w:rsidRDefault="003E7651" w:rsidP="003E7651">
            <w:pPr>
              <w:rPr>
                <w:rFonts w:ascii="Arial" w:hAnsi="Arial" w:cs="Arial"/>
                <w:color w:val="000000"/>
                <w:sz w:val="20"/>
                <w:szCs w:val="20"/>
              </w:rPr>
            </w:pPr>
          </w:p>
        </w:tc>
        <w:tc>
          <w:tcPr>
            <w:tcW w:w="726"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7733569B" w14:textId="77777777" w:rsidR="003E7651" w:rsidRPr="004B3CF1" w:rsidRDefault="003E7651" w:rsidP="003E7651">
            <w:pPr>
              <w:rPr>
                <w:rFonts w:ascii="Arial" w:hAnsi="Arial" w:cs="Arial"/>
                <w:color w:val="000000"/>
                <w:sz w:val="20"/>
                <w:szCs w:val="20"/>
              </w:rPr>
            </w:pPr>
          </w:p>
        </w:tc>
        <w:tc>
          <w:tcPr>
            <w:tcW w:w="871"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078E6123"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18%</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7C3133AF"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21%</w:t>
            </w:r>
          </w:p>
        </w:tc>
        <w:tc>
          <w:tcPr>
            <w:tcW w:w="990"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0698B4B8"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77%</w:t>
            </w:r>
          </w:p>
        </w:tc>
        <w:tc>
          <w:tcPr>
            <w:tcW w:w="726"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2B5998F0"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73%</w:t>
            </w:r>
          </w:p>
        </w:tc>
        <w:tc>
          <w:tcPr>
            <w:tcW w:w="849"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274CFB77"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5%</w:t>
            </w:r>
          </w:p>
        </w:tc>
        <w:tc>
          <w:tcPr>
            <w:tcW w:w="708" w:type="dxa"/>
            <w:tcBorders>
              <w:top w:val="nil"/>
              <w:left w:val="nil"/>
              <w:bottom w:val="single" w:sz="4" w:space="0" w:color="979991"/>
              <w:right w:val="single" w:sz="4" w:space="0" w:color="979991"/>
            </w:tcBorders>
            <w:shd w:val="clear" w:color="000000" w:fill="D9D9D9"/>
            <w:tcMar>
              <w:left w:w="57" w:type="dxa"/>
              <w:right w:w="57" w:type="dxa"/>
            </w:tcMar>
            <w:vAlign w:val="center"/>
            <w:hideMark/>
          </w:tcPr>
          <w:p w14:paraId="4F57DA9F" w14:textId="77777777" w:rsidR="003E7651" w:rsidRPr="004B3CF1" w:rsidRDefault="003E7651" w:rsidP="003E7651">
            <w:pPr>
              <w:jc w:val="right"/>
              <w:rPr>
                <w:rFonts w:ascii="Arial" w:hAnsi="Arial" w:cs="Arial"/>
                <w:color w:val="000000"/>
                <w:sz w:val="20"/>
                <w:szCs w:val="20"/>
              </w:rPr>
            </w:pPr>
            <w:r w:rsidRPr="004B3CF1">
              <w:rPr>
                <w:rFonts w:ascii="Arial" w:hAnsi="Arial"/>
                <w:color w:val="000000"/>
                <w:sz w:val="20"/>
                <w:szCs w:val="20"/>
              </w:rPr>
              <w:t>6%</w:t>
            </w:r>
          </w:p>
        </w:tc>
        <w:tc>
          <w:tcPr>
            <w:tcW w:w="827"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786AF028" w14:textId="77777777" w:rsidR="003E7651" w:rsidRPr="004B3CF1" w:rsidRDefault="003E7651" w:rsidP="003E7651">
            <w:pPr>
              <w:rPr>
                <w:rFonts w:ascii="Arial" w:hAnsi="Arial" w:cs="Arial"/>
                <w:bCs/>
                <w:color w:val="000000"/>
                <w:sz w:val="20"/>
                <w:szCs w:val="20"/>
              </w:rPr>
            </w:pPr>
          </w:p>
        </w:tc>
        <w:tc>
          <w:tcPr>
            <w:tcW w:w="672" w:type="dxa"/>
            <w:vMerge/>
            <w:tcBorders>
              <w:top w:val="nil"/>
              <w:left w:val="single" w:sz="4" w:space="0" w:color="979991"/>
              <w:bottom w:val="single" w:sz="4" w:space="0" w:color="979991"/>
              <w:right w:val="single" w:sz="4" w:space="0" w:color="979991"/>
            </w:tcBorders>
            <w:tcMar>
              <w:left w:w="57" w:type="dxa"/>
              <w:right w:w="57" w:type="dxa"/>
            </w:tcMar>
            <w:vAlign w:val="center"/>
            <w:hideMark/>
          </w:tcPr>
          <w:p w14:paraId="398C2C09" w14:textId="77777777" w:rsidR="003E7651" w:rsidRPr="004B3CF1" w:rsidRDefault="003E7651" w:rsidP="003E7651">
            <w:pPr>
              <w:rPr>
                <w:rFonts w:ascii="Arial" w:hAnsi="Arial" w:cs="Arial"/>
                <w:bCs/>
                <w:color w:val="000000"/>
                <w:sz w:val="20"/>
                <w:szCs w:val="20"/>
              </w:rPr>
            </w:pPr>
          </w:p>
        </w:tc>
      </w:tr>
      <w:tr w:rsidR="003E7651" w:rsidRPr="004B3CF1" w14:paraId="061A578C" w14:textId="77777777" w:rsidTr="003E7651">
        <w:trPr>
          <w:trHeight w:val="300"/>
        </w:trPr>
        <w:tc>
          <w:tcPr>
            <w:tcW w:w="999"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0BC6064B" w14:textId="77777777" w:rsidR="003E7651" w:rsidRPr="004B3CF1" w:rsidRDefault="003E7651" w:rsidP="003E7651">
            <w:pPr>
              <w:rPr>
                <w:rFonts w:ascii="Arial" w:hAnsi="Arial" w:cs="Arial"/>
                <w:b/>
                <w:bCs/>
                <w:color w:val="000000"/>
                <w:sz w:val="20"/>
                <w:szCs w:val="20"/>
              </w:rPr>
            </w:pPr>
            <w:r w:rsidRPr="004B3CF1">
              <w:rPr>
                <w:rFonts w:ascii="Arial" w:hAnsi="Arial"/>
                <w:b/>
                <w:bCs/>
                <w:color w:val="000000"/>
                <w:sz w:val="20"/>
                <w:szCs w:val="20"/>
              </w:rPr>
              <w:t>TOTAL</w:t>
            </w:r>
          </w:p>
        </w:tc>
        <w:tc>
          <w:tcPr>
            <w:tcW w:w="855"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46EC27DD"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18,296</w:t>
            </w:r>
          </w:p>
        </w:tc>
        <w:tc>
          <w:tcPr>
            <w:tcW w:w="726"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CC22119"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26,548</w:t>
            </w:r>
          </w:p>
        </w:tc>
        <w:tc>
          <w:tcPr>
            <w:tcW w:w="871"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6E7CB7C9"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3,331</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41A39607"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4,885</w:t>
            </w:r>
          </w:p>
        </w:tc>
        <w:tc>
          <w:tcPr>
            <w:tcW w:w="990"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3BBF55B2"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11,041</w:t>
            </w:r>
          </w:p>
        </w:tc>
        <w:tc>
          <w:tcPr>
            <w:tcW w:w="726"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36476E9F"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13,093</w:t>
            </w:r>
          </w:p>
        </w:tc>
        <w:tc>
          <w:tcPr>
            <w:tcW w:w="849"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6D6BA53F"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239</w:t>
            </w:r>
          </w:p>
        </w:tc>
        <w:tc>
          <w:tcPr>
            <w:tcW w:w="708" w:type="dxa"/>
            <w:tcBorders>
              <w:top w:val="nil"/>
              <w:left w:val="nil"/>
              <w:bottom w:val="single" w:sz="4" w:space="0" w:color="979991"/>
              <w:right w:val="single" w:sz="4" w:space="0" w:color="979991"/>
            </w:tcBorders>
            <w:shd w:val="clear" w:color="auto" w:fill="auto"/>
            <w:tcMar>
              <w:left w:w="57" w:type="dxa"/>
              <w:right w:w="57" w:type="dxa"/>
            </w:tcMar>
            <w:vAlign w:val="center"/>
            <w:hideMark/>
          </w:tcPr>
          <w:p w14:paraId="55AF59C5"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755</w:t>
            </w:r>
          </w:p>
        </w:tc>
        <w:tc>
          <w:tcPr>
            <w:tcW w:w="827"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4313CC62"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3,682</w:t>
            </w:r>
          </w:p>
        </w:tc>
        <w:tc>
          <w:tcPr>
            <w:tcW w:w="672" w:type="dxa"/>
            <w:vMerge w:val="restart"/>
            <w:tcBorders>
              <w:top w:val="nil"/>
              <w:left w:val="single" w:sz="4" w:space="0" w:color="979991"/>
              <w:bottom w:val="single" w:sz="4" w:space="0" w:color="979991"/>
              <w:right w:val="single" w:sz="4" w:space="0" w:color="979991"/>
            </w:tcBorders>
            <w:shd w:val="clear" w:color="auto" w:fill="auto"/>
            <w:tcMar>
              <w:left w:w="57" w:type="dxa"/>
              <w:right w:w="57" w:type="dxa"/>
            </w:tcMar>
            <w:vAlign w:val="center"/>
            <w:hideMark/>
          </w:tcPr>
          <w:p w14:paraId="6994A211"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7,810</w:t>
            </w:r>
          </w:p>
        </w:tc>
      </w:tr>
      <w:tr w:rsidR="003E7651" w:rsidRPr="004B3CF1" w14:paraId="73AFA214" w14:textId="77777777" w:rsidTr="003E7651">
        <w:trPr>
          <w:trHeight w:val="315"/>
        </w:trPr>
        <w:tc>
          <w:tcPr>
            <w:tcW w:w="999" w:type="dxa"/>
            <w:vMerge/>
            <w:tcBorders>
              <w:top w:val="nil"/>
              <w:left w:val="single" w:sz="4" w:space="0" w:color="979991"/>
              <w:bottom w:val="single" w:sz="4" w:space="0" w:color="979991"/>
              <w:right w:val="single" w:sz="4" w:space="0" w:color="979991"/>
            </w:tcBorders>
            <w:tcMar>
              <w:left w:w="0" w:type="dxa"/>
              <w:right w:w="0" w:type="dxa"/>
            </w:tcMar>
            <w:vAlign w:val="center"/>
            <w:hideMark/>
          </w:tcPr>
          <w:p w14:paraId="3B9D4284" w14:textId="77777777" w:rsidR="003E7651" w:rsidRPr="004B3CF1" w:rsidRDefault="003E7651" w:rsidP="003E7651">
            <w:pPr>
              <w:rPr>
                <w:rFonts w:ascii="Arial" w:hAnsi="Arial" w:cs="Arial"/>
                <w:b/>
                <w:bCs/>
                <w:color w:val="000000"/>
                <w:sz w:val="20"/>
                <w:szCs w:val="20"/>
              </w:rPr>
            </w:pPr>
          </w:p>
        </w:tc>
        <w:tc>
          <w:tcPr>
            <w:tcW w:w="855" w:type="dxa"/>
            <w:vMerge/>
            <w:tcBorders>
              <w:top w:val="nil"/>
              <w:left w:val="single" w:sz="4" w:space="0" w:color="979991"/>
              <w:bottom w:val="single" w:sz="4" w:space="0" w:color="979991"/>
              <w:right w:val="single" w:sz="4" w:space="0" w:color="979991"/>
            </w:tcBorders>
            <w:tcMar>
              <w:left w:w="0" w:type="dxa"/>
              <w:right w:w="0" w:type="dxa"/>
            </w:tcMar>
            <w:vAlign w:val="center"/>
            <w:hideMark/>
          </w:tcPr>
          <w:p w14:paraId="1B0DA5AF" w14:textId="77777777" w:rsidR="003E7651" w:rsidRPr="004B3CF1" w:rsidRDefault="003E7651" w:rsidP="003E7651">
            <w:pPr>
              <w:rPr>
                <w:rFonts w:ascii="Arial" w:hAnsi="Arial" w:cs="Arial"/>
                <w:b/>
                <w:bCs/>
                <w:color w:val="000000"/>
                <w:sz w:val="20"/>
                <w:szCs w:val="20"/>
              </w:rPr>
            </w:pPr>
          </w:p>
        </w:tc>
        <w:tc>
          <w:tcPr>
            <w:tcW w:w="726" w:type="dxa"/>
            <w:vMerge/>
            <w:tcBorders>
              <w:top w:val="nil"/>
              <w:left w:val="single" w:sz="4" w:space="0" w:color="979991"/>
              <w:bottom w:val="single" w:sz="4" w:space="0" w:color="979991"/>
              <w:right w:val="single" w:sz="4" w:space="0" w:color="979991"/>
            </w:tcBorders>
            <w:tcMar>
              <w:left w:w="0" w:type="dxa"/>
              <w:right w:w="0" w:type="dxa"/>
            </w:tcMar>
            <w:vAlign w:val="center"/>
            <w:hideMark/>
          </w:tcPr>
          <w:p w14:paraId="7599FB58" w14:textId="77777777" w:rsidR="003E7651" w:rsidRPr="004B3CF1" w:rsidRDefault="003E7651" w:rsidP="003E7651">
            <w:pPr>
              <w:rPr>
                <w:rFonts w:ascii="Arial" w:hAnsi="Arial" w:cs="Arial"/>
                <w:b/>
                <w:bCs/>
                <w:color w:val="000000"/>
                <w:sz w:val="20"/>
                <w:szCs w:val="20"/>
              </w:rPr>
            </w:pPr>
          </w:p>
        </w:tc>
        <w:tc>
          <w:tcPr>
            <w:tcW w:w="871" w:type="dxa"/>
            <w:tcBorders>
              <w:top w:val="nil"/>
              <w:left w:val="nil"/>
              <w:bottom w:val="single" w:sz="4" w:space="0" w:color="979991"/>
              <w:right w:val="single" w:sz="4" w:space="0" w:color="979991"/>
            </w:tcBorders>
            <w:shd w:val="clear" w:color="000000" w:fill="BFBFBF"/>
            <w:tcMar>
              <w:left w:w="57" w:type="dxa"/>
              <w:right w:w="57" w:type="dxa"/>
            </w:tcMar>
            <w:vAlign w:val="center"/>
            <w:hideMark/>
          </w:tcPr>
          <w:p w14:paraId="2F4C57D4"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24%</w:t>
            </w:r>
          </w:p>
        </w:tc>
        <w:tc>
          <w:tcPr>
            <w:tcW w:w="849" w:type="dxa"/>
            <w:tcBorders>
              <w:top w:val="nil"/>
              <w:left w:val="nil"/>
              <w:bottom w:val="single" w:sz="4" w:space="0" w:color="979991"/>
              <w:right w:val="single" w:sz="4" w:space="0" w:color="979991"/>
            </w:tcBorders>
            <w:shd w:val="clear" w:color="000000" w:fill="BFBFBF"/>
            <w:tcMar>
              <w:left w:w="57" w:type="dxa"/>
              <w:right w:w="57" w:type="dxa"/>
            </w:tcMar>
            <w:vAlign w:val="center"/>
            <w:hideMark/>
          </w:tcPr>
          <w:p w14:paraId="1ED23968"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27%</w:t>
            </w:r>
          </w:p>
        </w:tc>
        <w:tc>
          <w:tcPr>
            <w:tcW w:w="990" w:type="dxa"/>
            <w:tcBorders>
              <w:top w:val="nil"/>
              <w:left w:val="nil"/>
              <w:bottom w:val="single" w:sz="4" w:space="0" w:color="979991"/>
              <w:right w:val="single" w:sz="4" w:space="0" w:color="979991"/>
            </w:tcBorders>
            <w:shd w:val="clear" w:color="000000" w:fill="BFBFBF"/>
            <w:tcMar>
              <w:left w:w="57" w:type="dxa"/>
              <w:right w:w="57" w:type="dxa"/>
            </w:tcMar>
            <w:vAlign w:val="center"/>
            <w:hideMark/>
          </w:tcPr>
          <w:p w14:paraId="01F11903"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75%</w:t>
            </w:r>
          </w:p>
        </w:tc>
        <w:tc>
          <w:tcPr>
            <w:tcW w:w="726" w:type="dxa"/>
            <w:tcBorders>
              <w:top w:val="nil"/>
              <w:left w:val="nil"/>
              <w:bottom w:val="single" w:sz="4" w:space="0" w:color="979991"/>
              <w:right w:val="single" w:sz="4" w:space="0" w:color="979991"/>
            </w:tcBorders>
            <w:shd w:val="clear" w:color="000000" w:fill="BFBFBF"/>
            <w:tcMar>
              <w:left w:w="57" w:type="dxa"/>
              <w:right w:w="57" w:type="dxa"/>
            </w:tcMar>
            <w:vAlign w:val="center"/>
            <w:hideMark/>
          </w:tcPr>
          <w:p w14:paraId="19592D7B"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70%</w:t>
            </w:r>
          </w:p>
        </w:tc>
        <w:tc>
          <w:tcPr>
            <w:tcW w:w="849" w:type="dxa"/>
            <w:tcBorders>
              <w:top w:val="nil"/>
              <w:left w:val="nil"/>
              <w:bottom w:val="single" w:sz="4" w:space="0" w:color="979991"/>
              <w:right w:val="single" w:sz="4" w:space="0" w:color="979991"/>
            </w:tcBorders>
            <w:shd w:val="clear" w:color="000000" w:fill="BFBFBF"/>
            <w:tcMar>
              <w:left w:w="57" w:type="dxa"/>
              <w:right w:w="57" w:type="dxa"/>
            </w:tcMar>
            <w:vAlign w:val="center"/>
            <w:hideMark/>
          </w:tcPr>
          <w:p w14:paraId="0D3293AB"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1%</w:t>
            </w:r>
          </w:p>
        </w:tc>
        <w:tc>
          <w:tcPr>
            <w:tcW w:w="708" w:type="dxa"/>
            <w:tcBorders>
              <w:top w:val="nil"/>
              <w:left w:val="nil"/>
              <w:bottom w:val="single" w:sz="4" w:space="0" w:color="979991"/>
              <w:right w:val="single" w:sz="4" w:space="0" w:color="979991"/>
            </w:tcBorders>
            <w:shd w:val="clear" w:color="000000" w:fill="BFBFBF"/>
            <w:tcMar>
              <w:left w:w="57" w:type="dxa"/>
              <w:right w:w="57" w:type="dxa"/>
            </w:tcMar>
            <w:vAlign w:val="center"/>
            <w:hideMark/>
          </w:tcPr>
          <w:p w14:paraId="6857B247" w14:textId="77777777" w:rsidR="003E7651" w:rsidRPr="004B3CF1" w:rsidRDefault="003E7651" w:rsidP="003E7651">
            <w:pPr>
              <w:autoSpaceDE w:val="0"/>
              <w:autoSpaceDN w:val="0"/>
              <w:adjustRightInd w:val="0"/>
              <w:jc w:val="right"/>
              <w:rPr>
                <w:rFonts w:ascii="Arial" w:hAnsi="Arial" w:cs="Arial"/>
                <w:b/>
                <w:bCs/>
                <w:color w:val="000000"/>
                <w:sz w:val="20"/>
                <w:szCs w:val="20"/>
              </w:rPr>
            </w:pPr>
            <w:r w:rsidRPr="004B3CF1">
              <w:rPr>
                <w:rFonts w:ascii="Arial" w:hAnsi="Arial"/>
                <w:b/>
                <w:bCs/>
                <w:color w:val="000000"/>
                <w:sz w:val="20"/>
                <w:szCs w:val="20"/>
              </w:rPr>
              <w:t>3%</w:t>
            </w:r>
          </w:p>
        </w:tc>
        <w:tc>
          <w:tcPr>
            <w:tcW w:w="827" w:type="dxa"/>
            <w:vMerge/>
            <w:tcBorders>
              <w:top w:val="nil"/>
              <w:left w:val="single" w:sz="4" w:space="0" w:color="979991"/>
              <w:bottom w:val="single" w:sz="4" w:space="0" w:color="979991"/>
              <w:right w:val="single" w:sz="4" w:space="0" w:color="979991"/>
            </w:tcBorders>
            <w:tcMar>
              <w:left w:w="0" w:type="dxa"/>
              <w:right w:w="0" w:type="dxa"/>
            </w:tcMar>
            <w:vAlign w:val="center"/>
            <w:hideMark/>
          </w:tcPr>
          <w:p w14:paraId="075F3F9D" w14:textId="77777777" w:rsidR="003E7651" w:rsidRPr="004B3CF1" w:rsidRDefault="003E7651" w:rsidP="003E7651">
            <w:pPr>
              <w:rPr>
                <w:rFonts w:ascii="Arial" w:hAnsi="Arial" w:cs="Arial"/>
                <w:b/>
                <w:bCs/>
                <w:color w:val="000000"/>
                <w:sz w:val="20"/>
                <w:szCs w:val="20"/>
              </w:rPr>
            </w:pPr>
          </w:p>
        </w:tc>
        <w:tc>
          <w:tcPr>
            <w:tcW w:w="672" w:type="dxa"/>
            <w:vMerge/>
            <w:tcBorders>
              <w:top w:val="nil"/>
              <w:left w:val="single" w:sz="4" w:space="0" w:color="979991"/>
              <w:bottom w:val="single" w:sz="4" w:space="0" w:color="979991"/>
              <w:right w:val="single" w:sz="4" w:space="0" w:color="979991"/>
            </w:tcBorders>
            <w:tcMar>
              <w:left w:w="0" w:type="dxa"/>
              <w:right w:w="0" w:type="dxa"/>
            </w:tcMar>
            <w:vAlign w:val="center"/>
            <w:hideMark/>
          </w:tcPr>
          <w:p w14:paraId="6C181A23" w14:textId="77777777" w:rsidR="003E7651" w:rsidRPr="004B3CF1" w:rsidRDefault="003E7651" w:rsidP="003E7651">
            <w:pPr>
              <w:rPr>
                <w:rFonts w:ascii="Arial" w:hAnsi="Arial" w:cs="Arial"/>
                <w:b/>
                <w:bCs/>
                <w:color w:val="000000"/>
                <w:sz w:val="20"/>
                <w:szCs w:val="20"/>
              </w:rPr>
            </w:pPr>
          </w:p>
        </w:tc>
      </w:tr>
    </w:tbl>
    <w:p w14:paraId="11C789CF" w14:textId="77777777" w:rsidR="003E7651" w:rsidRPr="004B3CF1" w:rsidRDefault="003E7651" w:rsidP="003E7651">
      <w:pPr>
        <w:pStyle w:val="TREINASLOV"/>
      </w:pPr>
      <w:bookmarkStart w:id="231" w:name="_Toc97722103"/>
      <w:bookmarkStart w:id="232" w:name="_Toc101944283"/>
      <w:bookmarkStart w:id="233" w:name="_Toc112852489"/>
      <w:r w:rsidRPr="004B3CF1">
        <w:t>Indictments</w:t>
      </w:r>
      <w:bookmarkEnd w:id="231"/>
      <w:bookmarkEnd w:id="232"/>
      <w:bookmarkEnd w:id="233"/>
    </w:p>
    <w:p w14:paraId="2EFE7296" w14:textId="77777777" w:rsidR="003E7651" w:rsidRPr="004B3CF1" w:rsidRDefault="003E7651" w:rsidP="003E7651">
      <w:pPr>
        <w:pStyle w:val="Tekst"/>
      </w:pPr>
      <w:r w:rsidRPr="004B3CF1">
        <w:t xml:space="preserve">During 2021, the prosecutor’s offices filed 11,041 indictments against 13,093 </w:t>
      </w:r>
      <w:r>
        <w:t>persons. Compared to 2020, the</w:t>
      </w:r>
      <w:r w:rsidRPr="004B3CF1">
        <w:t xml:space="preserve"> total number of indictments increased by 1,363 or 14%, the number of persons indic</w:t>
      </w:r>
      <w:r>
        <w:t xml:space="preserve">ted increased by 1,880 or 18%. </w:t>
      </w:r>
      <w:r w:rsidRPr="004B3CF1">
        <w:t>An increase in the number of indictments was observed at all levels, except in the Prosecutor's Office of BiH, where there was a slight decrease</w:t>
      </w:r>
      <w:r>
        <w:t xml:space="preserve"> in the number of indictments. </w:t>
      </w:r>
      <w:r w:rsidRPr="004B3CF1">
        <w:t xml:space="preserve">However, if the data on indictments are compared to 2019, the number of indictments filed in 2021 was lower by 444 or 3.9%, observed by cases, or 518 or 3.8%, observed by persons. </w:t>
      </w:r>
    </w:p>
    <w:p w14:paraId="727EBAA8" w14:textId="77777777" w:rsidR="003E7651" w:rsidRPr="004B3CF1" w:rsidRDefault="003E7651" w:rsidP="003E7651">
      <w:pPr>
        <w:pStyle w:val="Caption"/>
      </w:pPr>
    </w:p>
    <w:p w14:paraId="02CBBAE4"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15</w:t>
      </w:r>
      <w:r w:rsidR="006D1459">
        <w:fldChar w:fldCharType="end"/>
      </w:r>
      <w:r w:rsidRPr="004B3CF1">
        <w:t>: Indictments</w:t>
      </w:r>
    </w:p>
    <w:tbl>
      <w:tblPr>
        <w:tblW w:w="9036" w:type="dxa"/>
        <w:tblInd w:w="93" w:type="dxa"/>
        <w:tblLayout w:type="fixed"/>
        <w:tblCellMar>
          <w:left w:w="57" w:type="dxa"/>
          <w:right w:w="57" w:type="dxa"/>
        </w:tblCellMar>
        <w:tblLook w:val="04A0" w:firstRow="1" w:lastRow="0" w:firstColumn="1" w:lastColumn="0" w:noHBand="0" w:noVBand="1"/>
      </w:tblPr>
      <w:tblGrid>
        <w:gridCol w:w="1807"/>
        <w:gridCol w:w="1134"/>
        <w:gridCol w:w="992"/>
        <w:gridCol w:w="1134"/>
        <w:gridCol w:w="851"/>
        <w:gridCol w:w="850"/>
        <w:gridCol w:w="709"/>
        <w:gridCol w:w="851"/>
        <w:gridCol w:w="708"/>
      </w:tblGrid>
      <w:tr w:rsidR="003E7651" w:rsidRPr="004B3CF1" w14:paraId="291ABAC8" w14:textId="77777777" w:rsidTr="003E7651">
        <w:trPr>
          <w:trHeight w:val="615"/>
        </w:trPr>
        <w:tc>
          <w:tcPr>
            <w:tcW w:w="1807"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5CCD7A0B" w14:textId="77777777" w:rsidR="003E7651" w:rsidRPr="004B3CF1" w:rsidRDefault="003E7651" w:rsidP="003E7651">
            <w:pPr>
              <w:rPr>
                <w:rFonts w:ascii="Arial" w:hAnsi="Arial" w:cs="Arial"/>
                <w:b/>
                <w:color w:val="000000"/>
                <w:sz w:val="22"/>
                <w:szCs w:val="22"/>
              </w:rPr>
            </w:pPr>
            <w:r w:rsidRPr="004B3CF1">
              <w:rPr>
                <w:rFonts w:ascii="Arial" w:hAnsi="Arial"/>
                <w:b/>
                <w:color w:val="000000"/>
                <w:sz w:val="22"/>
                <w:szCs w:val="22"/>
              </w:rPr>
              <w:t>Prosecutor's offices</w:t>
            </w:r>
          </w:p>
        </w:tc>
        <w:tc>
          <w:tcPr>
            <w:tcW w:w="2126" w:type="dxa"/>
            <w:gridSpan w:val="2"/>
            <w:tcBorders>
              <w:top w:val="single" w:sz="8" w:space="0" w:color="A6A6A6"/>
              <w:left w:val="nil"/>
              <w:bottom w:val="single" w:sz="8" w:space="0" w:color="A6A6A6"/>
              <w:right w:val="single" w:sz="8" w:space="0" w:color="A6A6A6"/>
            </w:tcBorders>
            <w:shd w:val="clear" w:color="auto" w:fill="auto"/>
            <w:vAlign w:val="center"/>
            <w:hideMark/>
          </w:tcPr>
          <w:p w14:paraId="51CFE132"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Indictments filed in 2020</w:t>
            </w:r>
          </w:p>
        </w:tc>
        <w:tc>
          <w:tcPr>
            <w:tcW w:w="1985" w:type="dxa"/>
            <w:gridSpan w:val="2"/>
            <w:tcBorders>
              <w:top w:val="single" w:sz="8" w:space="0" w:color="A6A6A6"/>
              <w:left w:val="nil"/>
              <w:bottom w:val="single" w:sz="8" w:space="0" w:color="A6A6A6"/>
              <w:right w:val="single" w:sz="8" w:space="0" w:color="A6A6A6"/>
            </w:tcBorders>
            <w:shd w:val="clear" w:color="auto" w:fill="auto"/>
            <w:vAlign w:val="center"/>
            <w:hideMark/>
          </w:tcPr>
          <w:p w14:paraId="2EFF2CE8"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Indictments filed in 2021</w:t>
            </w:r>
          </w:p>
        </w:tc>
        <w:tc>
          <w:tcPr>
            <w:tcW w:w="3118" w:type="dxa"/>
            <w:gridSpan w:val="4"/>
            <w:tcBorders>
              <w:top w:val="single" w:sz="8" w:space="0" w:color="A6A6A6"/>
              <w:left w:val="single" w:sz="12" w:space="0" w:color="A6A6A6"/>
              <w:bottom w:val="single" w:sz="8" w:space="0" w:color="A6A6A6"/>
              <w:right w:val="single" w:sz="8" w:space="0" w:color="A6A6A6"/>
            </w:tcBorders>
            <w:shd w:val="clear" w:color="auto" w:fill="auto"/>
            <w:vAlign w:val="center"/>
            <w:hideMark/>
          </w:tcPr>
          <w:p w14:paraId="0E6A8FC9"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Change in the number of filed indictments</w:t>
            </w:r>
          </w:p>
        </w:tc>
      </w:tr>
      <w:tr w:rsidR="003E7651" w:rsidRPr="004B3CF1" w14:paraId="07DE0F74" w14:textId="77777777" w:rsidTr="003E7651">
        <w:trPr>
          <w:trHeight w:val="345"/>
        </w:trPr>
        <w:tc>
          <w:tcPr>
            <w:tcW w:w="1807" w:type="dxa"/>
            <w:vMerge/>
            <w:tcBorders>
              <w:top w:val="nil"/>
              <w:left w:val="single" w:sz="8" w:space="0" w:color="A6A6A6"/>
              <w:bottom w:val="single" w:sz="8" w:space="0" w:color="A6A6A6"/>
              <w:right w:val="single" w:sz="8" w:space="0" w:color="A6A6A6"/>
            </w:tcBorders>
            <w:shd w:val="clear" w:color="auto" w:fill="auto"/>
            <w:vAlign w:val="center"/>
            <w:hideMark/>
          </w:tcPr>
          <w:p w14:paraId="017C5D4E" w14:textId="77777777" w:rsidR="003E7651" w:rsidRPr="004B3CF1" w:rsidRDefault="003E7651" w:rsidP="003E7651">
            <w:pPr>
              <w:rPr>
                <w:rFonts w:ascii="Arial" w:hAnsi="Arial" w:cs="Arial"/>
                <w:b/>
                <w:color w:val="000000"/>
                <w:sz w:val="22"/>
                <w:szCs w:val="22"/>
                <w:lang w:eastAsia="bs-Latn-BA"/>
              </w:rPr>
            </w:pPr>
          </w:p>
        </w:tc>
        <w:tc>
          <w:tcPr>
            <w:tcW w:w="1134" w:type="dxa"/>
            <w:tcBorders>
              <w:top w:val="nil"/>
              <w:left w:val="nil"/>
              <w:bottom w:val="single" w:sz="8" w:space="0" w:color="A6A6A6"/>
              <w:right w:val="single" w:sz="8" w:space="0" w:color="A6A6A6"/>
            </w:tcBorders>
            <w:shd w:val="clear" w:color="auto" w:fill="auto"/>
            <w:vAlign w:val="center"/>
            <w:hideMark/>
          </w:tcPr>
          <w:p w14:paraId="1B143A3A"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992" w:type="dxa"/>
            <w:tcBorders>
              <w:top w:val="nil"/>
              <w:left w:val="nil"/>
              <w:bottom w:val="single" w:sz="8" w:space="0" w:color="A6A6A6"/>
              <w:right w:val="single" w:sz="8" w:space="0" w:color="A6A6A6"/>
            </w:tcBorders>
            <w:shd w:val="clear" w:color="auto" w:fill="auto"/>
            <w:vAlign w:val="center"/>
            <w:hideMark/>
          </w:tcPr>
          <w:p w14:paraId="720A8215"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c>
          <w:tcPr>
            <w:tcW w:w="1134" w:type="dxa"/>
            <w:tcBorders>
              <w:top w:val="nil"/>
              <w:left w:val="nil"/>
              <w:bottom w:val="single" w:sz="8" w:space="0" w:color="A6A6A6"/>
              <w:right w:val="single" w:sz="8" w:space="0" w:color="A6A6A6"/>
            </w:tcBorders>
            <w:shd w:val="clear" w:color="auto" w:fill="auto"/>
            <w:vAlign w:val="center"/>
            <w:hideMark/>
          </w:tcPr>
          <w:p w14:paraId="182D621F"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851" w:type="dxa"/>
            <w:tcBorders>
              <w:top w:val="nil"/>
              <w:left w:val="nil"/>
              <w:bottom w:val="single" w:sz="8" w:space="0" w:color="A6A6A6"/>
              <w:right w:val="nil"/>
            </w:tcBorders>
            <w:shd w:val="clear" w:color="auto" w:fill="auto"/>
            <w:vAlign w:val="center"/>
            <w:hideMark/>
          </w:tcPr>
          <w:p w14:paraId="2019EC25"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c>
          <w:tcPr>
            <w:tcW w:w="1559" w:type="dxa"/>
            <w:gridSpan w:val="2"/>
            <w:tcBorders>
              <w:top w:val="single" w:sz="8" w:space="0" w:color="A6A6A6"/>
              <w:left w:val="single" w:sz="12" w:space="0" w:color="A6A6A6"/>
              <w:bottom w:val="single" w:sz="8" w:space="0" w:color="A6A6A6"/>
              <w:right w:val="single" w:sz="8" w:space="0" w:color="A6A6A6"/>
            </w:tcBorders>
            <w:shd w:val="clear" w:color="auto" w:fill="auto"/>
            <w:vAlign w:val="center"/>
            <w:hideMark/>
          </w:tcPr>
          <w:p w14:paraId="1D8519B7"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559" w:type="dxa"/>
            <w:gridSpan w:val="2"/>
            <w:tcBorders>
              <w:top w:val="single" w:sz="8" w:space="0" w:color="A6A6A6"/>
              <w:left w:val="nil"/>
              <w:bottom w:val="single" w:sz="8" w:space="0" w:color="A6A6A6"/>
              <w:right w:val="single" w:sz="8" w:space="0" w:color="A6A6A6"/>
            </w:tcBorders>
            <w:shd w:val="clear" w:color="auto" w:fill="auto"/>
            <w:vAlign w:val="center"/>
            <w:hideMark/>
          </w:tcPr>
          <w:p w14:paraId="163845E5"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r>
      <w:tr w:rsidR="003E7651" w:rsidRPr="004B3CF1" w14:paraId="6052BD0D" w14:textId="77777777" w:rsidTr="003E7651">
        <w:trPr>
          <w:trHeight w:val="315"/>
        </w:trPr>
        <w:tc>
          <w:tcPr>
            <w:tcW w:w="1807" w:type="dxa"/>
            <w:tcBorders>
              <w:top w:val="nil"/>
              <w:left w:val="single" w:sz="8" w:space="0" w:color="A6A6A6"/>
              <w:bottom w:val="single" w:sz="8" w:space="0" w:color="A6A6A6"/>
              <w:right w:val="single" w:sz="8" w:space="0" w:color="A6A6A6"/>
            </w:tcBorders>
            <w:shd w:val="clear" w:color="auto" w:fill="auto"/>
            <w:noWrap/>
            <w:vAlign w:val="center"/>
            <w:hideMark/>
          </w:tcPr>
          <w:p w14:paraId="6D037D86"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BiH</w:t>
            </w:r>
          </w:p>
        </w:tc>
        <w:tc>
          <w:tcPr>
            <w:tcW w:w="1134" w:type="dxa"/>
            <w:tcBorders>
              <w:top w:val="nil"/>
              <w:left w:val="nil"/>
              <w:bottom w:val="single" w:sz="8" w:space="0" w:color="A6A6A6"/>
              <w:right w:val="single" w:sz="8" w:space="0" w:color="A6A6A6"/>
            </w:tcBorders>
            <w:shd w:val="clear" w:color="auto" w:fill="auto"/>
            <w:noWrap/>
            <w:hideMark/>
          </w:tcPr>
          <w:p w14:paraId="39F37A3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167</w:t>
            </w:r>
          </w:p>
        </w:tc>
        <w:tc>
          <w:tcPr>
            <w:tcW w:w="992" w:type="dxa"/>
            <w:tcBorders>
              <w:top w:val="nil"/>
              <w:left w:val="nil"/>
              <w:bottom w:val="single" w:sz="8" w:space="0" w:color="A6A6A6"/>
              <w:right w:val="single" w:sz="8" w:space="0" w:color="A6A6A6"/>
            </w:tcBorders>
            <w:shd w:val="clear" w:color="auto" w:fill="auto"/>
            <w:noWrap/>
            <w:hideMark/>
          </w:tcPr>
          <w:p w14:paraId="4CA43F4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286</w:t>
            </w:r>
          </w:p>
        </w:tc>
        <w:tc>
          <w:tcPr>
            <w:tcW w:w="1134" w:type="dxa"/>
            <w:tcBorders>
              <w:top w:val="nil"/>
              <w:left w:val="nil"/>
              <w:bottom w:val="single" w:sz="8" w:space="0" w:color="A6A6A6"/>
              <w:right w:val="single" w:sz="8" w:space="0" w:color="A6A6A6"/>
            </w:tcBorders>
            <w:shd w:val="clear" w:color="auto" w:fill="auto"/>
            <w:noWrap/>
            <w:hideMark/>
          </w:tcPr>
          <w:p w14:paraId="541BB86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160</w:t>
            </w:r>
          </w:p>
        </w:tc>
        <w:tc>
          <w:tcPr>
            <w:tcW w:w="851" w:type="dxa"/>
            <w:tcBorders>
              <w:top w:val="nil"/>
              <w:left w:val="nil"/>
              <w:bottom w:val="single" w:sz="8" w:space="0" w:color="A6A6A6"/>
              <w:right w:val="nil"/>
            </w:tcBorders>
            <w:shd w:val="clear" w:color="auto" w:fill="auto"/>
            <w:noWrap/>
            <w:hideMark/>
          </w:tcPr>
          <w:p w14:paraId="467EBAD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335</w:t>
            </w:r>
          </w:p>
        </w:tc>
        <w:tc>
          <w:tcPr>
            <w:tcW w:w="850" w:type="dxa"/>
            <w:tcBorders>
              <w:top w:val="nil"/>
              <w:left w:val="single" w:sz="12" w:space="0" w:color="A6A6A6"/>
              <w:bottom w:val="single" w:sz="8" w:space="0" w:color="A6A6A6"/>
              <w:right w:val="single" w:sz="8" w:space="0" w:color="A6A6A6"/>
            </w:tcBorders>
            <w:shd w:val="clear" w:color="auto" w:fill="auto"/>
            <w:noWrap/>
            <w:hideMark/>
          </w:tcPr>
          <w:p w14:paraId="06D3698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w:t>
            </w:r>
          </w:p>
        </w:tc>
        <w:tc>
          <w:tcPr>
            <w:tcW w:w="709" w:type="dxa"/>
            <w:tcBorders>
              <w:top w:val="nil"/>
              <w:left w:val="nil"/>
              <w:bottom w:val="single" w:sz="8" w:space="0" w:color="A6A6A6"/>
              <w:right w:val="single" w:sz="8" w:space="0" w:color="A6A6A6"/>
            </w:tcBorders>
            <w:shd w:val="clear" w:color="auto" w:fill="auto"/>
            <w:noWrap/>
            <w:hideMark/>
          </w:tcPr>
          <w:p w14:paraId="7784578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w:t>
            </w:r>
          </w:p>
        </w:tc>
        <w:tc>
          <w:tcPr>
            <w:tcW w:w="851" w:type="dxa"/>
            <w:tcBorders>
              <w:top w:val="nil"/>
              <w:left w:val="nil"/>
              <w:bottom w:val="single" w:sz="8" w:space="0" w:color="A6A6A6"/>
              <w:right w:val="single" w:sz="8" w:space="0" w:color="A6A6A6"/>
            </w:tcBorders>
            <w:shd w:val="clear" w:color="auto" w:fill="auto"/>
            <w:noWrap/>
            <w:hideMark/>
          </w:tcPr>
          <w:p w14:paraId="2B1FB19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49</w:t>
            </w:r>
          </w:p>
        </w:tc>
        <w:tc>
          <w:tcPr>
            <w:tcW w:w="708" w:type="dxa"/>
            <w:tcBorders>
              <w:top w:val="nil"/>
              <w:left w:val="nil"/>
              <w:bottom w:val="single" w:sz="8" w:space="0" w:color="A6A6A6"/>
              <w:right w:val="single" w:sz="8" w:space="0" w:color="A6A6A6"/>
            </w:tcBorders>
            <w:shd w:val="clear" w:color="auto" w:fill="auto"/>
            <w:noWrap/>
            <w:hideMark/>
          </w:tcPr>
          <w:p w14:paraId="79EBA62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w:t>
            </w:r>
          </w:p>
        </w:tc>
      </w:tr>
      <w:tr w:rsidR="003E7651" w:rsidRPr="004B3CF1" w14:paraId="423CFD1A" w14:textId="77777777" w:rsidTr="003E7651">
        <w:trPr>
          <w:trHeight w:val="315"/>
        </w:trPr>
        <w:tc>
          <w:tcPr>
            <w:tcW w:w="1807" w:type="dxa"/>
            <w:tcBorders>
              <w:top w:val="nil"/>
              <w:left w:val="single" w:sz="8" w:space="0" w:color="A6A6A6"/>
              <w:bottom w:val="single" w:sz="8" w:space="0" w:color="A6A6A6"/>
              <w:right w:val="single" w:sz="8" w:space="0" w:color="A6A6A6"/>
            </w:tcBorders>
            <w:shd w:val="clear" w:color="auto" w:fill="auto"/>
            <w:noWrap/>
            <w:vAlign w:val="center"/>
            <w:hideMark/>
          </w:tcPr>
          <w:p w14:paraId="612B7842"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FBiH:</w:t>
            </w:r>
          </w:p>
        </w:tc>
        <w:tc>
          <w:tcPr>
            <w:tcW w:w="1134" w:type="dxa"/>
            <w:tcBorders>
              <w:top w:val="nil"/>
              <w:left w:val="nil"/>
              <w:bottom w:val="single" w:sz="8" w:space="0" w:color="A6A6A6"/>
              <w:right w:val="single" w:sz="8" w:space="0" w:color="A6A6A6"/>
            </w:tcBorders>
            <w:shd w:val="clear" w:color="auto" w:fill="auto"/>
            <w:noWrap/>
            <w:hideMark/>
          </w:tcPr>
          <w:p w14:paraId="5BB1625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6,309</w:t>
            </w:r>
          </w:p>
        </w:tc>
        <w:tc>
          <w:tcPr>
            <w:tcW w:w="992" w:type="dxa"/>
            <w:tcBorders>
              <w:top w:val="nil"/>
              <w:left w:val="nil"/>
              <w:bottom w:val="single" w:sz="8" w:space="0" w:color="A6A6A6"/>
              <w:right w:val="single" w:sz="8" w:space="0" w:color="A6A6A6"/>
            </w:tcBorders>
            <w:shd w:val="clear" w:color="auto" w:fill="auto"/>
            <w:noWrap/>
            <w:hideMark/>
          </w:tcPr>
          <w:p w14:paraId="3F160F0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7,292</w:t>
            </w:r>
          </w:p>
        </w:tc>
        <w:tc>
          <w:tcPr>
            <w:tcW w:w="1134" w:type="dxa"/>
            <w:tcBorders>
              <w:top w:val="nil"/>
              <w:left w:val="nil"/>
              <w:bottom w:val="single" w:sz="8" w:space="0" w:color="A6A6A6"/>
              <w:right w:val="single" w:sz="8" w:space="0" w:color="A6A6A6"/>
            </w:tcBorders>
            <w:shd w:val="clear" w:color="auto" w:fill="auto"/>
            <w:noWrap/>
            <w:hideMark/>
          </w:tcPr>
          <w:p w14:paraId="4C4A4EB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7,494</w:t>
            </w:r>
          </w:p>
        </w:tc>
        <w:tc>
          <w:tcPr>
            <w:tcW w:w="851" w:type="dxa"/>
            <w:tcBorders>
              <w:top w:val="nil"/>
              <w:left w:val="nil"/>
              <w:bottom w:val="single" w:sz="8" w:space="0" w:color="A6A6A6"/>
              <w:right w:val="nil"/>
            </w:tcBorders>
            <w:shd w:val="clear" w:color="auto" w:fill="auto"/>
            <w:noWrap/>
            <w:hideMark/>
          </w:tcPr>
          <w:p w14:paraId="59BA828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8,767</w:t>
            </w:r>
          </w:p>
        </w:tc>
        <w:tc>
          <w:tcPr>
            <w:tcW w:w="850" w:type="dxa"/>
            <w:tcBorders>
              <w:top w:val="nil"/>
              <w:left w:val="single" w:sz="12" w:space="0" w:color="A6A6A6"/>
              <w:bottom w:val="single" w:sz="8" w:space="0" w:color="A6A6A6"/>
              <w:right w:val="single" w:sz="8" w:space="0" w:color="A6A6A6"/>
            </w:tcBorders>
            <w:shd w:val="clear" w:color="auto" w:fill="auto"/>
            <w:noWrap/>
            <w:hideMark/>
          </w:tcPr>
          <w:p w14:paraId="632EF3F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1,185</w:t>
            </w:r>
          </w:p>
        </w:tc>
        <w:tc>
          <w:tcPr>
            <w:tcW w:w="709" w:type="dxa"/>
            <w:tcBorders>
              <w:top w:val="nil"/>
              <w:left w:val="nil"/>
              <w:bottom w:val="single" w:sz="8" w:space="0" w:color="A6A6A6"/>
              <w:right w:val="single" w:sz="8" w:space="0" w:color="A6A6A6"/>
            </w:tcBorders>
            <w:shd w:val="clear" w:color="auto" w:fill="auto"/>
            <w:noWrap/>
            <w:hideMark/>
          </w:tcPr>
          <w:p w14:paraId="1B5188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w:t>
            </w:r>
          </w:p>
        </w:tc>
        <w:tc>
          <w:tcPr>
            <w:tcW w:w="851" w:type="dxa"/>
            <w:tcBorders>
              <w:top w:val="nil"/>
              <w:left w:val="nil"/>
              <w:bottom w:val="single" w:sz="8" w:space="0" w:color="A6A6A6"/>
              <w:right w:val="single" w:sz="8" w:space="0" w:color="A6A6A6"/>
            </w:tcBorders>
            <w:shd w:val="clear" w:color="auto" w:fill="auto"/>
            <w:noWrap/>
            <w:hideMark/>
          </w:tcPr>
          <w:p w14:paraId="21FC937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1,475</w:t>
            </w:r>
          </w:p>
        </w:tc>
        <w:tc>
          <w:tcPr>
            <w:tcW w:w="708" w:type="dxa"/>
            <w:tcBorders>
              <w:top w:val="nil"/>
              <w:left w:val="nil"/>
              <w:bottom w:val="single" w:sz="8" w:space="0" w:color="A6A6A6"/>
              <w:right w:val="single" w:sz="8" w:space="0" w:color="A6A6A6"/>
            </w:tcBorders>
            <w:shd w:val="clear" w:color="auto" w:fill="auto"/>
            <w:noWrap/>
            <w:hideMark/>
          </w:tcPr>
          <w:p w14:paraId="71B184B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20%</w:t>
            </w:r>
          </w:p>
        </w:tc>
      </w:tr>
      <w:tr w:rsidR="003E7651" w:rsidRPr="004B3CF1" w14:paraId="11A49768" w14:textId="77777777" w:rsidTr="003E7651">
        <w:trPr>
          <w:trHeight w:val="315"/>
        </w:trPr>
        <w:tc>
          <w:tcPr>
            <w:tcW w:w="1807" w:type="dxa"/>
            <w:tcBorders>
              <w:top w:val="nil"/>
              <w:left w:val="single" w:sz="8" w:space="0" w:color="A6A6A6"/>
              <w:bottom w:val="single" w:sz="8" w:space="0" w:color="A6A6A6"/>
              <w:right w:val="single" w:sz="8" w:space="0" w:color="A6A6A6"/>
            </w:tcBorders>
            <w:shd w:val="clear" w:color="auto" w:fill="auto"/>
            <w:noWrap/>
            <w:vAlign w:val="center"/>
            <w:hideMark/>
          </w:tcPr>
          <w:p w14:paraId="38C6B745"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RS</w:t>
            </w:r>
          </w:p>
        </w:tc>
        <w:tc>
          <w:tcPr>
            <w:tcW w:w="1134" w:type="dxa"/>
            <w:tcBorders>
              <w:top w:val="nil"/>
              <w:left w:val="nil"/>
              <w:bottom w:val="single" w:sz="8" w:space="0" w:color="A6A6A6"/>
              <w:right w:val="single" w:sz="8" w:space="0" w:color="A6A6A6"/>
            </w:tcBorders>
            <w:shd w:val="clear" w:color="auto" w:fill="auto"/>
            <w:noWrap/>
            <w:hideMark/>
          </w:tcPr>
          <w:p w14:paraId="3A71B05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3,022</w:t>
            </w:r>
          </w:p>
        </w:tc>
        <w:tc>
          <w:tcPr>
            <w:tcW w:w="992" w:type="dxa"/>
            <w:tcBorders>
              <w:top w:val="nil"/>
              <w:left w:val="nil"/>
              <w:bottom w:val="single" w:sz="8" w:space="0" w:color="A6A6A6"/>
              <w:right w:val="single" w:sz="8" w:space="0" w:color="A6A6A6"/>
            </w:tcBorders>
            <w:shd w:val="clear" w:color="auto" w:fill="auto"/>
            <w:noWrap/>
            <w:hideMark/>
          </w:tcPr>
          <w:p w14:paraId="36864D5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3,422</w:t>
            </w:r>
          </w:p>
        </w:tc>
        <w:tc>
          <w:tcPr>
            <w:tcW w:w="1134" w:type="dxa"/>
            <w:tcBorders>
              <w:top w:val="nil"/>
              <w:left w:val="nil"/>
              <w:bottom w:val="single" w:sz="8" w:space="0" w:color="A6A6A6"/>
              <w:right w:val="single" w:sz="8" w:space="0" w:color="A6A6A6"/>
            </w:tcBorders>
            <w:shd w:val="clear" w:color="auto" w:fill="auto"/>
            <w:noWrap/>
            <w:hideMark/>
          </w:tcPr>
          <w:p w14:paraId="5951359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3,196</w:t>
            </w:r>
          </w:p>
        </w:tc>
        <w:tc>
          <w:tcPr>
            <w:tcW w:w="851" w:type="dxa"/>
            <w:tcBorders>
              <w:top w:val="nil"/>
              <w:left w:val="nil"/>
              <w:bottom w:val="single" w:sz="8" w:space="0" w:color="A6A6A6"/>
              <w:right w:val="nil"/>
            </w:tcBorders>
            <w:shd w:val="clear" w:color="auto" w:fill="auto"/>
            <w:noWrap/>
            <w:hideMark/>
          </w:tcPr>
          <w:p w14:paraId="1B81531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3,767</w:t>
            </w:r>
          </w:p>
        </w:tc>
        <w:tc>
          <w:tcPr>
            <w:tcW w:w="850" w:type="dxa"/>
            <w:tcBorders>
              <w:top w:val="nil"/>
              <w:left w:val="single" w:sz="12" w:space="0" w:color="A6A6A6"/>
              <w:bottom w:val="single" w:sz="8" w:space="0" w:color="A6A6A6"/>
              <w:right w:val="single" w:sz="8" w:space="0" w:color="A6A6A6"/>
            </w:tcBorders>
            <w:shd w:val="clear" w:color="auto" w:fill="auto"/>
            <w:noWrap/>
            <w:hideMark/>
          </w:tcPr>
          <w:p w14:paraId="4B5DA1E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174</w:t>
            </w:r>
          </w:p>
        </w:tc>
        <w:tc>
          <w:tcPr>
            <w:tcW w:w="709" w:type="dxa"/>
            <w:tcBorders>
              <w:top w:val="nil"/>
              <w:left w:val="nil"/>
              <w:bottom w:val="single" w:sz="8" w:space="0" w:color="A6A6A6"/>
              <w:right w:val="single" w:sz="8" w:space="0" w:color="A6A6A6"/>
            </w:tcBorders>
            <w:shd w:val="clear" w:color="auto" w:fill="auto"/>
            <w:noWrap/>
            <w:hideMark/>
          </w:tcPr>
          <w:p w14:paraId="6217E64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w:t>
            </w:r>
          </w:p>
        </w:tc>
        <w:tc>
          <w:tcPr>
            <w:tcW w:w="851" w:type="dxa"/>
            <w:tcBorders>
              <w:top w:val="nil"/>
              <w:left w:val="nil"/>
              <w:bottom w:val="single" w:sz="8" w:space="0" w:color="A6A6A6"/>
              <w:right w:val="single" w:sz="8" w:space="0" w:color="A6A6A6"/>
            </w:tcBorders>
            <w:shd w:val="clear" w:color="auto" w:fill="auto"/>
            <w:noWrap/>
            <w:hideMark/>
          </w:tcPr>
          <w:p w14:paraId="49E99B0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345</w:t>
            </w:r>
          </w:p>
        </w:tc>
        <w:tc>
          <w:tcPr>
            <w:tcW w:w="708" w:type="dxa"/>
            <w:tcBorders>
              <w:top w:val="nil"/>
              <w:left w:val="nil"/>
              <w:bottom w:val="single" w:sz="8" w:space="0" w:color="A6A6A6"/>
              <w:right w:val="single" w:sz="8" w:space="0" w:color="A6A6A6"/>
            </w:tcBorders>
            <w:shd w:val="clear" w:color="auto" w:fill="auto"/>
            <w:noWrap/>
            <w:hideMark/>
          </w:tcPr>
          <w:p w14:paraId="21ECB9E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10%</w:t>
            </w:r>
          </w:p>
        </w:tc>
      </w:tr>
      <w:tr w:rsidR="003E7651" w:rsidRPr="004B3CF1" w14:paraId="0630440C" w14:textId="77777777" w:rsidTr="003E7651">
        <w:trPr>
          <w:trHeight w:val="315"/>
        </w:trPr>
        <w:tc>
          <w:tcPr>
            <w:tcW w:w="1807" w:type="dxa"/>
            <w:tcBorders>
              <w:top w:val="nil"/>
              <w:left w:val="single" w:sz="8" w:space="0" w:color="A6A6A6"/>
              <w:bottom w:val="single" w:sz="8" w:space="0" w:color="A6A6A6"/>
              <w:right w:val="single" w:sz="8" w:space="0" w:color="A6A6A6"/>
            </w:tcBorders>
            <w:shd w:val="clear" w:color="auto" w:fill="auto"/>
            <w:noWrap/>
            <w:vAlign w:val="center"/>
            <w:hideMark/>
          </w:tcPr>
          <w:p w14:paraId="7251250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Brcko District BiH</w:t>
            </w:r>
          </w:p>
        </w:tc>
        <w:tc>
          <w:tcPr>
            <w:tcW w:w="1134" w:type="dxa"/>
            <w:tcBorders>
              <w:top w:val="nil"/>
              <w:left w:val="nil"/>
              <w:bottom w:val="single" w:sz="8" w:space="0" w:color="A6A6A6"/>
              <w:right w:val="single" w:sz="8" w:space="0" w:color="A6A6A6"/>
            </w:tcBorders>
            <w:shd w:val="clear" w:color="auto" w:fill="auto"/>
            <w:noWrap/>
            <w:hideMark/>
          </w:tcPr>
          <w:p w14:paraId="2E05885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180</w:t>
            </w:r>
          </w:p>
        </w:tc>
        <w:tc>
          <w:tcPr>
            <w:tcW w:w="992" w:type="dxa"/>
            <w:tcBorders>
              <w:top w:val="nil"/>
              <w:left w:val="nil"/>
              <w:bottom w:val="single" w:sz="8" w:space="0" w:color="A6A6A6"/>
              <w:right w:val="single" w:sz="8" w:space="0" w:color="A6A6A6"/>
            </w:tcBorders>
            <w:shd w:val="clear" w:color="auto" w:fill="auto"/>
            <w:noWrap/>
            <w:hideMark/>
          </w:tcPr>
          <w:p w14:paraId="254CE19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213</w:t>
            </w:r>
          </w:p>
        </w:tc>
        <w:tc>
          <w:tcPr>
            <w:tcW w:w="1134" w:type="dxa"/>
            <w:tcBorders>
              <w:top w:val="nil"/>
              <w:left w:val="nil"/>
              <w:bottom w:val="single" w:sz="8" w:space="0" w:color="A6A6A6"/>
              <w:right w:val="single" w:sz="8" w:space="0" w:color="A6A6A6"/>
            </w:tcBorders>
            <w:shd w:val="clear" w:color="auto" w:fill="auto"/>
            <w:noWrap/>
            <w:hideMark/>
          </w:tcPr>
          <w:p w14:paraId="1177A2E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191</w:t>
            </w:r>
          </w:p>
        </w:tc>
        <w:tc>
          <w:tcPr>
            <w:tcW w:w="851" w:type="dxa"/>
            <w:tcBorders>
              <w:top w:val="nil"/>
              <w:left w:val="nil"/>
              <w:bottom w:val="single" w:sz="8" w:space="0" w:color="A6A6A6"/>
              <w:right w:val="nil"/>
            </w:tcBorders>
            <w:shd w:val="clear" w:color="auto" w:fill="auto"/>
            <w:noWrap/>
            <w:hideMark/>
          </w:tcPr>
          <w:p w14:paraId="35B1E04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224</w:t>
            </w:r>
          </w:p>
        </w:tc>
        <w:tc>
          <w:tcPr>
            <w:tcW w:w="850" w:type="dxa"/>
            <w:tcBorders>
              <w:top w:val="nil"/>
              <w:left w:val="single" w:sz="12" w:space="0" w:color="A6A6A6"/>
              <w:bottom w:val="single" w:sz="8" w:space="0" w:color="A6A6A6"/>
              <w:right w:val="single" w:sz="8" w:space="0" w:color="A6A6A6"/>
            </w:tcBorders>
            <w:shd w:val="clear" w:color="auto" w:fill="auto"/>
            <w:noWrap/>
            <w:hideMark/>
          </w:tcPr>
          <w:p w14:paraId="03F59B2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w:t>
            </w:r>
          </w:p>
        </w:tc>
        <w:tc>
          <w:tcPr>
            <w:tcW w:w="709" w:type="dxa"/>
            <w:tcBorders>
              <w:top w:val="nil"/>
              <w:left w:val="nil"/>
              <w:bottom w:val="single" w:sz="8" w:space="0" w:color="A6A6A6"/>
              <w:right w:val="single" w:sz="8" w:space="0" w:color="A6A6A6"/>
            </w:tcBorders>
            <w:shd w:val="clear" w:color="auto" w:fill="auto"/>
            <w:noWrap/>
            <w:hideMark/>
          </w:tcPr>
          <w:p w14:paraId="004EB43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w:t>
            </w:r>
          </w:p>
        </w:tc>
        <w:tc>
          <w:tcPr>
            <w:tcW w:w="851" w:type="dxa"/>
            <w:tcBorders>
              <w:top w:val="nil"/>
              <w:left w:val="nil"/>
              <w:bottom w:val="single" w:sz="8" w:space="0" w:color="A6A6A6"/>
              <w:right w:val="single" w:sz="8" w:space="0" w:color="A6A6A6"/>
            </w:tcBorders>
            <w:shd w:val="clear" w:color="auto" w:fill="auto"/>
            <w:noWrap/>
            <w:hideMark/>
          </w:tcPr>
          <w:p w14:paraId="6665460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w:t>
            </w:r>
          </w:p>
        </w:tc>
        <w:tc>
          <w:tcPr>
            <w:tcW w:w="708" w:type="dxa"/>
            <w:tcBorders>
              <w:top w:val="nil"/>
              <w:left w:val="nil"/>
              <w:bottom w:val="single" w:sz="8" w:space="0" w:color="A6A6A6"/>
              <w:right w:val="single" w:sz="8" w:space="0" w:color="A6A6A6"/>
            </w:tcBorders>
            <w:shd w:val="clear" w:color="auto" w:fill="auto"/>
            <w:noWrap/>
            <w:hideMark/>
          </w:tcPr>
          <w:p w14:paraId="563D3BE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w:t>
            </w:r>
          </w:p>
        </w:tc>
      </w:tr>
      <w:tr w:rsidR="003E7651" w:rsidRPr="004B3CF1" w14:paraId="3AD39389" w14:textId="77777777" w:rsidTr="003E7651">
        <w:trPr>
          <w:trHeight w:val="315"/>
        </w:trPr>
        <w:tc>
          <w:tcPr>
            <w:tcW w:w="1807" w:type="dxa"/>
            <w:tcBorders>
              <w:top w:val="nil"/>
              <w:left w:val="single" w:sz="8" w:space="0" w:color="A6A6A6"/>
              <w:bottom w:val="single" w:sz="8" w:space="0" w:color="A6A6A6"/>
              <w:right w:val="single" w:sz="8" w:space="0" w:color="A6A6A6"/>
            </w:tcBorders>
            <w:shd w:val="clear" w:color="auto" w:fill="auto"/>
            <w:noWrap/>
            <w:vAlign w:val="center"/>
            <w:hideMark/>
          </w:tcPr>
          <w:p w14:paraId="04AF3124"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134" w:type="dxa"/>
            <w:tcBorders>
              <w:top w:val="nil"/>
              <w:left w:val="nil"/>
              <w:bottom w:val="single" w:sz="8" w:space="0" w:color="A6A6A6"/>
              <w:right w:val="single" w:sz="8" w:space="0" w:color="A6A6A6"/>
            </w:tcBorders>
            <w:shd w:val="clear" w:color="auto" w:fill="auto"/>
            <w:noWrap/>
            <w:hideMark/>
          </w:tcPr>
          <w:p w14:paraId="4FFCEF12"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9,678</w:t>
            </w:r>
          </w:p>
        </w:tc>
        <w:tc>
          <w:tcPr>
            <w:tcW w:w="992" w:type="dxa"/>
            <w:tcBorders>
              <w:top w:val="nil"/>
              <w:left w:val="nil"/>
              <w:bottom w:val="single" w:sz="8" w:space="0" w:color="A6A6A6"/>
              <w:right w:val="single" w:sz="8" w:space="0" w:color="A6A6A6"/>
            </w:tcBorders>
            <w:shd w:val="clear" w:color="auto" w:fill="auto"/>
            <w:noWrap/>
            <w:hideMark/>
          </w:tcPr>
          <w:p w14:paraId="356C59D6"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11,213</w:t>
            </w:r>
          </w:p>
        </w:tc>
        <w:tc>
          <w:tcPr>
            <w:tcW w:w="1134" w:type="dxa"/>
            <w:tcBorders>
              <w:top w:val="nil"/>
              <w:left w:val="nil"/>
              <w:bottom w:val="single" w:sz="8" w:space="0" w:color="A6A6A6"/>
              <w:right w:val="single" w:sz="8" w:space="0" w:color="A6A6A6"/>
            </w:tcBorders>
            <w:shd w:val="clear" w:color="auto" w:fill="auto"/>
            <w:noWrap/>
            <w:hideMark/>
          </w:tcPr>
          <w:p w14:paraId="18BF277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11,041</w:t>
            </w:r>
          </w:p>
        </w:tc>
        <w:tc>
          <w:tcPr>
            <w:tcW w:w="851" w:type="dxa"/>
            <w:tcBorders>
              <w:top w:val="nil"/>
              <w:left w:val="nil"/>
              <w:bottom w:val="single" w:sz="8" w:space="0" w:color="A6A6A6"/>
              <w:right w:val="nil"/>
            </w:tcBorders>
            <w:shd w:val="clear" w:color="auto" w:fill="auto"/>
            <w:noWrap/>
            <w:hideMark/>
          </w:tcPr>
          <w:p w14:paraId="785A711F"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13,093</w:t>
            </w:r>
          </w:p>
        </w:tc>
        <w:tc>
          <w:tcPr>
            <w:tcW w:w="850" w:type="dxa"/>
            <w:tcBorders>
              <w:top w:val="nil"/>
              <w:left w:val="single" w:sz="12" w:space="0" w:color="A6A6A6"/>
              <w:bottom w:val="single" w:sz="8" w:space="0" w:color="A6A6A6"/>
              <w:right w:val="single" w:sz="8" w:space="0" w:color="A6A6A6"/>
            </w:tcBorders>
            <w:shd w:val="clear" w:color="auto" w:fill="auto"/>
            <w:noWrap/>
            <w:hideMark/>
          </w:tcPr>
          <w:p w14:paraId="40B2B17E"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1,363</w:t>
            </w:r>
          </w:p>
        </w:tc>
        <w:tc>
          <w:tcPr>
            <w:tcW w:w="709" w:type="dxa"/>
            <w:tcBorders>
              <w:top w:val="nil"/>
              <w:left w:val="nil"/>
              <w:bottom w:val="single" w:sz="8" w:space="0" w:color="A6A6A6"/>
              <w:right w:val="single" w:sz="8" w:space="0" w:color="A6A6A6"/>
            </w:tcBorders>
            <w:shd w:val="clear" w:color="auto" w:fill="auto"/>
            <w:noWrap/>
            <w:hideMark/>
          </w:tcPr>
          <w:p w14:paraId="224FF2B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14%</w:t>
            </w:r>
          </w:p>
        </w:tc>
        <w:tc>
          <w:tcPr>
            <w:tcW w:w="851" w:type="dxa"/>
            <w:tcBorders>
              <w:top w:val="nil"/>
              <w:left w:val="nil"/>
              <w:bottom w:val="single" w:sz="8" w:space="0" w:color="A6A6A6"/>
              <w:right w:val="single" w:sz="8" w:space="0" w:color="A6A6A6"/>
            </w:tcBorders>
            <w:shd w:val="clear" w:color="auto" w:fill="auto"/>
            <w:noWrap/>
            <w:hideMark/>
          </w:tcPr>
          <w:p w14:paraId="701FE678"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1,880</w:t>
            </w:r>
          </w:p>
        </w:tc>
        <w:tc>
          <w:tcPr>
            <w:tcW w:w="708" w:type="dxa"/>
            <w:tcBorders>
              <w:top w:val="nil"/>
              <w:left w:val="nil"/>
              <w:bottom w:val="single" w:sz="8" w:space="0" w:color="A6A6A6"/>
              <w:right w:val="single" w:sz="8" w:space="0" w:color="A6A6A6"/>
            </w:tcBorders>
            <w:shd w:val="clear" w:color="auto" w:fill="auto"/>
            <w:noWrap/>
            <w:hideMark/>
          </w:tcPr>
          <w:p w14:paraId="12D9711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17%</w:t>
            </w:r>
          </w:p>
        </w:tc>
      </w:tr>
    </w:tbl>
    <w:p w14:paraId="61CFB9FF" w14:textId="77777777" w:rsidR="003E7651" w:rsidRPr="004B3CF1" w:rsidRDefault="003E7651" w:rsidP="003E7651">
      <w:pPr>
        <w:pStyle w:val="TREINASLOV"/>
      </w:pPr>
      <w:bookmarkStart w:id="234" w:name="_Toc97722104"/>
      <w:bookmarkStart w:id="235" w:name="_Toc101944284"/>
      <w:bookmarkStart w:id="236" w:name="_Toc112852490"/>
      <w:r w:rsidRPr="004B3CF1">
        <w:t>Judgments</w:t>
      </w:r>
      <w:r w:rsidRPr="004B3CF1">
        <w:rPr>
          <w:rStyle w:val="FootnoteReference"/>
        </w:rPr>
        <w:footnoteReference w:id="24"/>
      </w:r>
      <w:bookmarkEnd w:id="234"/>
      <w:bookmarkEnd w:id="235"/>
      <w:bookmarkEnd w:id="236"/>
      <w:r w:rsidRPr="004B3CF1">
        <w:t xml:space="preserve"> </w:t>
      </w:r>
    </w:p>
    <w:p w14:paraId="791F538F" w14:textId="77777777" w:rsidR="003E7651" w:rsidRPr="004B3CF1" w:rsidRDefault="003E7651" w:rsidP="003E7651">
      <w:pPr>
        <w:pStyle w:val="Tekst"/>
      </w:pPr>
      <w:r w:rsidRPr="004B3CF1">
        <w:t>In 2021, 10,421 judgements w</w:t>
      </w:r>
      <w:r>
        <w:t>ere rendered, which was</w:t>
      </w:r>
      <w:r w:rsidRPr="004B3CF1">
        <w:t xml:space="preserve"> 629 or 6% more than in 2020. The number of convictions in 2021 compared to 2020 was higher by 540 or 6%, and the number of acquittals was higher by 82 or 14%, as well as the number of judgments dismissing charges by </w:t>
      </w:r>
      <w:r w:rsidRPr="004B3CF1">
        <w:lastRenderedPageBreak/>
        <w:t xml:space="preserve">7 or 5%. However, if the data on the total number of judgments rendered in 2021 are compared with that in 2019, the number of judgments rendered in 2021 was lower by 1,889 or 15%, observed by cases, or 2,537 or 17%, observed by persons. </w:t>
      </w:r>
    </w:p>
    <w:p w14:paraId="41D592AE" w14:textId="77777777" w:rsidR="003E7651" w:rsidRPr="004B3CF1" w:rsidRDefault="003E7651" w:rsidP="003E7651">
      <w:pPr>
        <w:pStyle w:val="Tekst"/>
      </w:pPr>
      <w:r w:rsidRPr="004B3CF1">
        <w:t xml:space="preserve">Acting upon indictments, in 2021 the courts rendered 9,591 or 92% judgements of conviction, finding 11,198 persons guilty. In 688 cases or 7%, 930 persons were acquitted. Judgments dismissing charges were rendered in 142 or 1% of cases. </w:t>
      </w:r>
    </w:p>
    <w:p w14:paraId="3968EF42" w14:textId="77777777" w:rsidR="003E7651" w:rsidRPr="004B3CF1" w:rsidRDefault="003E7651" w:rsidP="003E7651">
      <w:pPr>
        <w:pStyle w:val="Tekst"/>
        <w:rPr>
          <w:rFonts w:cs="Arial"/>
          <w:b/>
          <w:bCs/>
          <w:szCs w:val="22"/>
          <w:lang w:eastAsia="bs-Latn-BA"/>
        </w:rPr>
      </w:pPr>
    </w:p>
    <w:p w14:paraId="09AF8CD9"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16</w:t>
      </w:r>
      <w:r w:rsidR="006D1459">
        <w:fldChar w:fldCharType="end"/>
      </w:r>
      <w:r w:rsidRPr="004B3CF1">
        <w:t>: Judgements</w:t>
      </w:r>
    </w:p>
    <w:tbl>
      <w:tblPr>
        <w:tblW w:w="9072" w:type="dxa"/>
        <w:tblInd w:w="10" w:type="dxa"/>
        <w:tblLook w:val="04A0" w:firstRow="1" w:lastRow="0" w:firstColumn="1" w:lastColumn="0" w:noHBand="0" w:noVBand="1"/>
      </w:tblPr>
      <w:tblGrid>
        <w:gridCol w:w="1408"/>
        <w:gridCol w:w="1097"/>
        <w:gridCol w:w="889"/>
        <w:gridCol w:w="1097"/>
        <w:gridCol w:w="828"/>
        <w:gridCol w:w="10"/>
        <w:gridCol w:w="1087"/>
        <w:gridCol w:w="828"/>
        <w:gridCol w:w="13"/>
        <w:gridCol w:w="1084"/>
        <w:gridCol w:w="828"/>
      </w:tblGrid>
      <w:tr w:rsidR="003E7651" w:rsidRPr="004B3CF1" w14:paraId="10EB3479" w14:textId="77777777" w:rsidTr="003E7651">
        <w:trPr>
          <w:trHeight w:val="615"/>
        </w:trPr>
        <w:tc>
          <w:tcPr>
            <w:tcW w:w="1408" w:type="dxa"/>
            <w:vMerge w:val="restart"/>
            <w:tcBorders>
              <w:top w:val="single" w:sz="8" w:space="0" w:color="A6A6A6"/>
              <w:left w:val="single" w:sz="8" w:space="0" w:color="A6A6A6"/>
              <w:bottom w:val="single" w:sz="8" w:space="0" w:color="A6A6A6"/>
              <w:right w:val="single" w:sz="8" w:space="0" w:color="A6A6A6"/>
            </w:tcBorders>
            <w:shd w:val="clear" w:color="000000" w:fill="D9D9D9"/>
            <w:noWrap/>
            <w:tcMar>
              <w:left w:w="0" w:type="dxa"/>
              <w:right w:w="0" w:type="dxa"/>
            </w:tcMar>
            <w:vAlign w:val="center"/>
            <w:hideMark/>
          </w:tcPr>
          <w:p w14:paraId="2EBB1A74"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Prosecutor's offices</w:t>
            </w:r>
          </w:p>
        </w:tc>
        <w:tc>
          <w:tcPr>
            <w:tcW w:w="1986" w:type="dxa"/>
            <w:gridSpan w:val="2"/>
            <w:tcBorders>
              <w:top w:val="single" w:sz="8" w:space="0" w:color="A6A6A6"/>
              <w:left w:val="nil"/>
              <w:bottom w:val="single" w:sz="8" w:space="0" w:color="A6A6A6"/>
              <w:right w:val="single" w:sz="8" w:space="0" w:color="A6A6A6"/>
            </w:tcBorders>
            <w:shd w:val="clear" w:color="000000" w:fill="D9D9D9"/>
            <w:tcMar>
              <w:left w:w="0" w:type="dxa"/>
              <w:right w:w="0" w:type="dxa"/>
            </w:tcMar>
            <w:vAlign w:val="center"/>
            <w:hideMark/>
          </w:tcPr>
          <w:p w14:paraId="5AF2A1C4"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Convictions</w:t>
            </w:r>
          </w:p>
        </w:tc>
        <w:tc>
          <w:tcPr>
            <w:tcW w:w="1877" w:type="dxa"/>
            <w:gridSpan w:val="3"/>
            <w:tcBorders>
              <w:top w:val="single" w:sz="8" w:space="0" w:color="A6A6A6"/>
              <w:left w:val="nil"/>
              <w:bottom w:val="single" w:sz="8" w:space="0" w:color="A6A6A6"/>
              <w:right w:val="single" w:sz="8" w:space="0" w:color="A6A6A6"/>
            </w:tcBorders>
            <w:shd w:val="clear" w:color="000000" w:fill="D9D9D9"/>
            <w:tcMar>
              <w:left w:w="0" w:type="dxa"/>
              <w:right w:w="0" w:type="dxa"/>
            </w:tcMar>
            <w:vAlign w:val="center"/>
            <w:hideMark/>
          </w:tcPr>
          <w:p w14:paraId="2934BCF0"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Acquittals</w:t>
            </w:r>
          </w:p>
        </w:tc>
        <w:tc>
          <w:tcPr>
            <w:tcW w:w="1902" w:type="dxa"/>
            <w:gridSpan w:val="3"/>
            <w:tcBorders>
              <w:top w:val="single" w:sz="8" w:space="0" w:color="A6A6A6"/>
              <w:left w:val="nil"/>
              <w:bottom w:val="single" w:sz="8" w:space="0" w:color="A6A6A6"/>
              <w:right w:val="single" w:sz="8" w:space="0" w:color="A6A6A6"/>
            </w:tcBorders>
            <w:shd w:val="clear" w:color="000000" w:fill="D9D9D9"/>
            <w:tcMar>
              <w:left w:w="0" w:type="dxa"/>
              <w:right w:w="0" w:type="dxa"/>
            </w:tcMar>
            <w:vAlign w:val="center"/>
            <w:hideMark/>
          </w:tcPr>
          <w:p w14:paraId="674109C5"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Judgments dismissing charges</w:t>
            </w:r>
          </w:p>
        </w:tc>
        <w:tc>
          <w:tcPr>
            <w:tcW w:w="1899" w:type="dxa"/>
            <w:gridSpan w:val="2"/>
            <w:tcBorders>
              <w:top w:val="single" w:sz="8" w:space="0" w:color="A6A6A6"/>
              <w:left w:val="nil"/>
              <w:bottom w:val="single" w:sz="8" w:space="0" w:color="A6A6A6"/>
              <w:right w:val="single" w:sz="8" w:space="0" w:color="A6A6A6"/>
            </w:tcBorders>
            <w:shd w:val="clear" w:color="000000" w:fill="D9D9D9"/>
            <w:tcMar>
              <w:left w:w="0" w:type="dxa"/>
              <w:right w:w="0" w:type="dxa"/>
            </w:tcMar>
            <w:vAlign w:val="center"/>
            <w:hideMark/>
          </w:tcPr>
          <w:p w14:paraId="4520A874"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TOTAL</w:t>
            </w:r>
          </w:p>
        </w:tc>
      </w:tr>
      <w:tr w:rsidR="003E7651" w:rsidRPr="004B3CF1" w14:paraId="362C7584" w14:textId="77777777" w:rsidTr="003E7651">
        <w:trPr>
          <w:trHeight w:val="345"/>
        </w:trPr>
        <w:tc>
          <w:tcPr>
            <w:tcW w:w="1408" w:type="dxa"/>
            <w:vMerge/>
            <w:tcBorders>
              <w:top w:val="single" w:sz="8" w:space="0" w:color="A6A6A6"/>
              <w:left w:val="single" w:sz="8" w:space="0" w:color="A6A6A6"/>
              <w:bottom w:val="single" w:sz="8" w:space="0" w:color="A6A6A6"/>
              <w:right w:val="single" w:sz="8" w:space="0" w:color="A6A6A6"/>
            </w:tcBorders>
            <w:tcMar>
              <w:left w:w="0" w:type="dxa"/>
              <w:right w:w="0" w:type="dxa"/>
            </w:tcMar>
            <w:vAlign w:val="center"/>
            <w:hideMark/>
          </w:tcPr>
          <w:p w14:paraId="2A48C0A1" w14:textId="77777777" w:rsidR="003E7651" w:rsidRPr="004B3CF1" w:rsidRDefault="003E7651" w:rsidP="003E7651">
            <w:pPr>
              <w:rPr>
                <w:rFonts w:ascii="Arial" w:hAnsi="Arial" w:cs="Arial"/>
                <w:color w:val="000000"/>
                <w:sz w:val="22"/>
                <w:szCs w:val="22"/>
              </w:rPr>
            </w:pPr>
          </w:p>
        </w:tc>
        <w:tc>
          <w:tcPr>
            <w:tcW w:w="1097" w:type="dxa"/>
            <w:tcBorders>
              <w:top w:val="nil"/>
              <w:left w:val="nil"/>
              <w:bottom w:val="single" w:sz="8" w:space="0" w:color="A6A6A6"/>
              <w:right w:val="single" w:sz="8" w:space="0" w:color="A6A6A6"/>
            </w:tcBorders>
            <w:shd w:val="clear" w:color="000000" w:fill="F2F2F2"/>
            <w:tcMar>
              <w:left w:w="0" w:type="dxa"/>
              <w:right w:w="0" w:type="dxa"/>
            </w:tcMar>
            <w:vAlign w:val="center"/>
            <w:hideMark/>
          </w:tcPr>
          <w:p w14:paraId="44129C95"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Cases</w:t>
            </w:r>
          </w:p>
        </w:tc>
        <w:tc>
          <w:tcPr>
            <w:tcW w:w="889" w:type="dxa"/>
            <w:tcBorders>
              <w:top w:val="nil"/>
              <w:left w:val="nil"/>
              <w:bottom w:val="single" w:sz="8" w:space="0" w:color="A6A6A6"/>
              <w:right w:val="single" w:sz="8" w:space="0" w:color="A6A6A6"/>
            </w:tcBorders>
            <w:shd w:val="clear" w:color="000000" w:fill="F2F2F2"/>
            <w:tcMar>
              <w:left w:w="0" w:type="dxa"/>
              <w:right w:w="0" w:type="dxa"/>
            </w:tcMar>
            <w:vAlign w:val="center"/>
            <w:hideMark/>
          </w:tcPr>
          <w:p w14:paraId="190DCD88"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Persons</w:t>
            </w:r>
          </w:p>
        </w:tc>
        <w:tc>
          <w:tcPr>
            <w:tcW w:w="1097" w:type="dxa"/>
            <w:tcBorders>
              <w:top w:val="nil"/>
              <w:left w:val="nil"/>
              <w:bottom w:val="single" w:sz="8" w:space="0" w:color="A6A6A6"/>
              <w:right w:val="single" w:sz="8" w:space="0" w:color="A6A6A6"/>
            </w:tcBorders>
            <w:shd w:val="clear" w:color="000000" w:fill="F2F2F2"/>
            <w:tcMar>
              <w:left w:w="0" w:type="dxa"/>
              <w:right w:w="0" w:type="dxa"/>
            </w:tcMar>
            <w:vAlign w:val="center"/>
            <w:hideMark/>
          </w:tcPr>
          <w:p w14:paraId="4192A63C"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Cases</w:t>
            </w:r>
          </w:p>
        </w:tc>
        <w:tc>
          <w:tcPr>
            <w:tcW w:w="770" w:type="dxa"/>
            <w:tcBorders>
              <w:top w:val="nil"/>
              <w:left w:val="nil"/>
              <w:bottom w:val="single" w:sz="8" w:space="0" w:color="A6A6A6"/>
              <w:right w:val="single" w:sz="8" w:space="0" w:color="A6A6A6"/>
            </w:tcBorders>
            <w:shd w:val="clear" w:color="000000" w:fill="F2F2F2"/>
            <w:tcMar>
              <w:left w:w="0" w:type="dxa"/>
              <w:right w:w="0" w:type="dxa"/>
            </w:tcMar>
            <w:vAlign w:val="center"/>
            <w:hideMark/>
          </w:tcPr>
          <w:p w14:paraId="32001EBE"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Persons</w:t>
            </w:r>
          </w:p>
        </w:tc>
        <w:tc>
          <w:tcPr>
            <w:tcW w:w="1097" w:type="dxa"/>
            <w:gridSpan w:val="2"/>
            <w:tcBorders>
              <w:top w:val="nil"/>
              <w:left w:val="nil"/>
              <w:bottom w:val="single" w:sz="8" w:space="0" w:color="A6A6A6"/>
              <w:right w:val="single" w:sz="8" w:space="0" w:color="A6A6A6"/>
            </w:tcBorders>
            <w:shd w:val="clear" w:color="000000" w:fill="F2F2F2"/>
            <w:tcMar>
              <w:left w:w="0" w:type="dxa"/>
              <w:right w:w="0" w:type="dxa"/>
            </w:tcMar>
            <w:vAlign w:val="center"/>
            <w:hideMark/>
          </w:tcPr>
          <w:p w14:paraId="49A83BC9"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Cases</w:t>
            </w:r>
          </w:p>
        </w:tc>
        <w:tc>
          <w:tcPr>
            <w:tcW w:w="802" w:type="dxa"/>
            <w:tcBorders>
              <w:top w:val="nil"/>
              <w:left w:val="nil"/>
              <w:bottom w:val="single" w:sz="8" w:space="0" w:color="A6A6A6"/>
              <w:right w:val="single" w:sz="8" w:space="0" w:color="A6A6A6"/>
            </w:tcBorders>
            <w:shd w:val="clear" w:color="000000" w:fill="F2F2F2"/>
            <w:tcMar>
              <w:left w:w="0" w:type="dxa"/>
              <w:right w:w="0" w:type="dxa"/>
            </w:tcMar>
            <w:vAlign w:val="center"/>
            <w:hideMark/>
          </w:tcPr>
          <w:p w14:paraId="560A62EA"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Persons</w:t>
            </w:r>
          </w:p>
        </w:tc>
        <w:tc>
          <w:tcPr>
            <w:tcW w:w="1097" w:type="dxa"/>
            <w:gridSpan w:val="2"/>
            <w:tcBorders>
              <w:top w:val="nil"/>
              <w:left w:val="nil"/>
              <w:bottom w:val="single" w:sz="8" w:space="0" w:color="A6A6A6"/>
              <w:right w:val="single" w:sz="8" w:space="0" w:color="A6A6A6"/>
            </w:tcBorders>
            <w:shd w:val="clear" w:color="000000" w:fill="F2F2F2"/>
            <w:tcMar>
              <w:left w:w="0" w:type="dxa"/>
              <w:right w:w="0" w:type="dxa"/>
            </w:tcMar>
            <w:vAlign w:val="center"/>
            <w:hideMark/>
          </w:tcPr>
          <w:p w14:paraId="67817D21"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Cases</w:t>
            </w:r>
          </w:p>
        </w:tc>
        <w:tc>
          <w:tcPr>
            <w:tcW w:w="815" w:type="dxa"/>
            <w:tcBorders>
              <w:top w:val="nil"/>
              <w:left w:val="nil"/>
              <w:bottom w:val="single" w:sz="8" w:space="0" w:color="A6A6A6"/>
              <w:right w:val="single" w:sz="8" w:space="0" w:color="A6A6A6"/>
            </w:tcBorders>
            <w:shd w:val="clear" w:color="000000" w:fill="F2F2F2"/>
            <w:tcMar>
              <w:left w:w="0" w:type="dxa"/>
              <w:right w:w="0" w:type="dxa"/>
            </w:tcMar>
            <w:vAlign w:val="center"/>
            <w:hideMark/>
          </w:tcPr>
          <w:p w14:paraId="6DAA37D2" w14:textId="77777777" w:rsidR="003E7651" w:rsidRPr="004B3CF1" w:rsidRDefault="003E7651" w:rsidP="003E7651">
            <w:pPr>
              <w:jc w:val="center"/>
              <w:rPr>
                <w:rFonts w:ascii="Arial" w:hAnsi="Arial" w:cs="Arial"/>
                <w:color w:val="000000"/>
                <w:sz w:val="22"/>
                <w:szCs w:val="22"/>
              </w:rPr>
            </w:pPr>
            <w:r w:rsidRPr="004B3CF1">
              <w:rPr>
                <w:rFonts w:ascii="Arial" w:hAnsi="Arial"/>
                <w:color w:val="000000"/>
                <w:sz w:val="22"/>
                <w:szCs w:val="22"/>
              </w:rPr>
              <w:t>Persons</w:t>
            </w:r>
          </w:p>
        </w:tc>
      </w:tr>
      <w:tr w:rsidR="003E7651" w:rsidRPr="004B3CF1" w14:paraId="1F8D1A11" w14:textId="77777777" w:rsidTr="003E7651">
        <w:trPr>
          <w:trHeight w:val="315"/>
        </w:trPr>
        <w:tc>
          <w:tcPr>
            <w:tcW w:w="140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62A5171A"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BiH</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72742B9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147</w:t>
            </w:r>
          </w:p>
        </w:tc>
        <w:tc>
          <w:tcPr>
            <w:tcW w:w="889" w:type="dxa"/>
            <w:tcBorders>
              <w:top w:val="nil"/>
              <w:left w:val="nil"/>
              <w:bottom w:val="single" w:sz="8" w:space="0" w:color="A6A6A6"/>
              <w:right w:val="single" w:sz="8" w:space="0" w:color="A6A6A6"/>
            </w:tcBorders>
            <w:shd w:val="clear" w:color="auto" w:fill="auto"/>
            <w:noWrap/>
            <w:tcMar>
              <w:left w:w="57" w:type="dxa"/>
              <w:right w:w="57" w:type="dxa"/>
            </w:tcMar>
            <w:hideMark/>
          </w:tcPr>
          <w:p w14:paraId="6DB9365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253</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7565A20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w:t>
            </w:r>
          </w:p>
        </w:tc>
        <w:tc>
          <w:tcPr>
            <w:tcW w:w="770" w:type="dxa"/>
            <w:tcBorders>
              <w:top w:val="nil"/>
              <w:left w:val="nil"/>
              <w:bottom w:val="single" w:sz="8" w:space="0" w:color="A6A6A6"/>
              <w:right w:val="single" w:sz="8" w:space="0" w:color="A6A6A6"/>
            </w:tcBorders>
            <w:shd w:val="clear" w:color="auto" w:fill="auto"/>
            <w:noWrap/>
            <w:tcMar>
              <w:left w:w="57" w:type="dxa"/>
              <w:right w:w="57" w:type="dxa"/>
            </w:tcMar>
            <w:hideMark/>
          </w:tcPr>
          <w:p w14:paraId="570505C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35</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76BCC35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w:t>
            </w:r>
          </w:p>
        </w:tc>
        <w:tc>
          <w:tcPr>
            <w:tcW w:w="802" w:type="dxa"/>
            <w:tcBorders>
              <w:top w:val="nil"/>
              <w:left w:val="nil"/>
              <w:bottom w:val="single" w:sz="8" w:space="0" w:color="A6A6A6"/>
              <w:right w:val="single" w:sz="8" w:space="0" w:color="A6A6A6"/>
            </w:tcBorders>
            <w:shd w:val="clear" w:color="auto" w:fill="auto"/>
            <w:noWrap/>
            <w:tcMar>
              <w:left w:w="57" w:type="dxa"/>
              <w:right w:w="57" w:type="dxa"/>
            </w:tcMar>
            <w:hideMark/>
          </w:tcPr>
          <w:p w14:paraId="429FDFF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0A5EDE8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165</w:t>
            </w:r>
          </w:p>
        </w:tc>
        <w:tc>
          <w:tcPr>
            <w:tcW w:w="815" w:type="dxa"/>
            <w:tcBorders>
              <w:top w:val="nil"/>
              <w:left w:val="nil"/>
              <w:bottom w:val="single" w:sz="8" w:space="0" w:color="A6A6A6"/>
              <w:right w:val="single" w:sz="8" w:space="0" w:color="A6A6A6"/>
            </w:tcBorders>
            <w:shd w:val="clear" w:color="auto" w:fill="auto"/>
            <w:noWrap/>
            <w:tcMar>
              <w:left w:w="57" w:type="dxa"/>
              <w:right w:w="57" w:type="dxa"/>
            </w:tcMar>
            <w:hideMark/>
          </w:tcPr>
          <w:p w14:paraId="748B501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297</w:t>
            </w:r>
          </w:p>
        </w:tc>
      </w:tr>
      <w:tr w:rsidR="003E7651" w:rsidRPr="004B3CF1" w14:paraId="59DB55B4" w14:textId="77777777" w:rsidTr="003E7651">
        <w:trPr>
          <w:trHeight w:val="315"/>
        </w:trPr>
        <w:tc>
          <w:tcPr>
            <w:tcW w:w="140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032DB434"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FBiH:</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0B66E0F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6,772</w:t>
            </w:r>
          </w:p>
        </w:tc>
        <w:tc>
          <w:tcPr>
            <w:tcW w:w="889" w:type="dxa"/>
            <w:tcBorders>
              <w:top w:val="nil"/>
              <w:left w:val="nil"/>
              <w:bottom w:val="single" w:sz="8" w:space="0" w:color="A6A6A6"/>
              <w:right w:val="single" w:sz="8" w:space="0" w:color="A6A6A6"/>
            </w:tcBorders>
            <w:shd w:val="clear" w:color="auto" w:fill="auto"/>
            <w:noWrap/>
            <w:tcMar>
              <w:left w:w="57" w:type="dxa"/>
              <w:right w:w="57" w:type="dxa"/>
            </w:tcMar>
            <w:hideMark/>
          </w:tcPr>
          <w:p w14:paraId="04D0644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7,872</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49A3E9C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424</w:t>
            </w:r>
          </w:p>
        </w:tc>
        <w:tc>
          <w:tcPr>
            <w:tcW w:w="770" w:type="dxa"/>
            <w:tcBorders>
              <w:top w:val="nil"/>
              <w:left w:val="nil"/>
              <w:bottom w:val="single" w:sz="8" w:space="0" w:color="A6A6A6"/>
              <w:right w:val="single" w:sz="8" w:space="0" w:color="A6A6A6"/>
            </w:tcBorders>
            <w:shd w:val="clear" w:color="auto" w:fill="auto"/>
            <w:noWrap/>
            <w:tcMar>
              <w:left w:w="57" w:type="dxa"/>
              <w:right w:w="57" w:type="dxa"/>
            </w:tcMar>
            <w:hideMark/>
          </w:tcPr>
          <w:p w14:paraId="304B3FE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592</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51DF22A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60</w:t>
            </w:r>
          </w:p>
        </w:tc>
        <w:tc>
          <w:tcPr>
            <w:tcW w:w="802" w:type="dxa"/>
            <w:tcBorders>
              <w:top w:val="nil"/>
              <w:left w:val="nil"/>
              <w:bottom w:val="single" w:sz="8" w:space="0" w:color="A6A6A6"/>
              <w:right w:val="single" w:sz="8" w:space="0" w:color="A6A6A6"/>
            </w:tcBorders>
            <w:shd w:val="clear" w:color="auto" w:fill="auto"/>
            <w:noWrap/>
            <w:tcMar>
              <w:left w:w="57" w:type="dxa"/>
              <w:right w:w="57" w:type="dxa"/>
            </w:tcMar>
            <w:hideMark/>
          </w:tcPr>
          <w:p w14:paraId="7840970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83</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60EE391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7,256</w:t>
            </w:r>
          </w:p>
        </w:tc>
        <w:tc>
          <w:tcPr>
            <w:tcW w:w="815" w:type="dxa"/>
            <w:tcBorders>
              <w:top w:val="nil"/>
              <w:left w:val="nil"/>
              <w:bottom w:val="single" w:sz="8" w:space="0" w:color="A6A6A6"/>
              <w:right w:val="single" w:sz="8" w:space="0" w:color="A6A6A6"/>
            </w:tcBorders>
            <w:shd w:val="clear" w:color="auto" w:fill="auto"/>
            <w:noWrap/>
            <w:tcMar>
              <w:left w:w="57" w:type="dxa"/>
              <w:right w:w="57" w:type="dxa"/>
            </w:tcMar>
            <w:hideMark/>
          </w:tcPr>
          <w:p w14:paraId="2E10E98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8,547</w:t>
            </w:r>
          </w:p>
        </w:tc>
      </w:tr>
      <w:tr w:rsidR="003E7651" w:rsidRPr="004B3CF1" w14:paraId="7A383551" w14:textId="77777777" w:rsidTr="003E7651">
        <w:trPr>
          <w:trHeight w:val="315"/>
        </w:trPr>
        <w:tc>
          <w:tcPr>
            <w:tcW w:w="140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4E73B1AE"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RS</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4774518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2,482</w:t>
            </w:r>
          </w:p>
        </w:tc>
        <w:tc>
          <w:tcPr>
            <w:tcW w:w="889" w:type="dxa"/>
            <w:tcBorders>
              <w:top w:val="nil"/>
              <w:left w:val="nil"/>
              <w:bottom w:val="single" w:sz="8" w:space="0" w:color="A6A6A6"/>
              <w:right w:val="single" w:sz="8" w:space="0" w:color="A6A6A6"/>
            </w:tcBorders>
            <w:shd w:val="clear" w:color="auto" w:fill="auto"/>
            <w:noWrap/>
            <w:tcMar>
              <w:left w:w="57" w:type="dxa"/>
              <w:right w:w="57" w:type="dxa"/>
            </w:tcMar>
            <w:hideMark/>
          </w:tcPr>
          <w:p w14:paraId="54678DE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2,855</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23BC31D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236</w:t>
            </w:r>
          </w:p>
        </w:tc>
        <w:tc>
          <w:tcPr>
            <w:tcW w:w="770" w:type="dxa"/>
            <w:tcBorders>
              <w:top w:val="nil"/>
              <w:left w:val="nil"/>
              <w:bottom w:val="single" w:sz="8" w:space="0" w:color="A6A6A6"/>
              <w:right w:val="single" w:sz="8" w:space="0" w:color="A6A6A6"/>
            </w:tcBorders>
            <w:shd w:val="clear" w:color="auto" w:fill="auto"/>
            <w:noWrap/>
            <w:tcMar>
              <w:left w:w="57" w:type="dxa"/>
              <w:right w:w="57" w:type="dxa"/>
            </w:tcMar>
            <w:hideMark/>
          </w:tcPr>
          <w:p w14:paraId="05D1955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283</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545A40C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80</w:t>
            </w:r>
          </w:p>
        </w:tc>
        <w:tc>
          <w:tcPr>
            <w:tcW w:w="802" w:type="dxa"/>
            <w:tcBorders>
              <w:top w:val="nil"/>
              <w:left w:val="nil"/>
              <w:bottom w:val="single" w:sz="8" w:space="0" w:color="A6A6A6"/>
              <w:right w:val="single" w:sz="8" w:space="0" w:color="A6A6A6"/>
            </w:tcBorders>
            <w:shd w:val="clear" w:color="auto" w:fill="auto"/>
            <w:noWrap/>
            <w:tcMar>
              <w:left w:w="57" w:type="dxa"/>
              <w:right w:w="57" w:type="dxa"/>
            </w:tcMar>
            <w:hideMark/>
          </w:tcPr>
          <w:p w14:paraId="25750CC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94</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167733D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2,798</w:t>
            </w:r>
          </w:p>
        </w:tc>
        <w:tc>
          <w:tcPr>
            <w:tcW w:w="815" w:type="dxa"/>
            <w:tcBorders>
              <w:top w:val="nil"/>
              <w:left w:val="nil"/>
              <w:bottom w:val="single" w:sz="8" w:space="0" w:color="A6A6A6"/>
              <w:right w:val="single" w:sz="8" w:space="0" w:color="A6A6A6"/>
            </w:tcBorders>
            <w:shd w:val="clear" w:color="auto" w:fill="auto"/>
            <w:noWrap/>
            <w:tcMar>
              <w:left w:w="57" w:type="dxa"/>
              <w:right w:w="57" w:type="dxa"/>
            </w:tcMar>
            <w:hideMark/>
          </w:tcPr>
          <w:p w14:paraId="760D606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3,232</w:t>
            </w:r>
          </w:p>
        </w:tc>
      </w:tr>
      <w:tr w:rsidR="003E7651" w:rsidRPr="004B3CF1" w14:paraId="39ADBCB2" w14:textId="77777777" w:rsidTr="003E7651">
        <w:trPr>
          <w:trHeight w:val="315"/>
        </w:trPr>
        <w:tc>
          <w:tcPr>
            <w:tcW w:w="140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596265D3"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BD BiH</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2EE9442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190</w:t>
            </w:r>
          </w:p>
        </w:tc>
        <w:tc>
          <w:tcPr>
            <w:tcW w:w="889" w:type="dxa"/>
            <w:tcBorders>
              <w:top w:val="nil"/>
              <w:left w:val="nil"/>
              <w:bottom w:val="single" w:sz="8" w:space="0" w:color="A6A6A6"/>
              <w:right w:val="single" w:sz="8" w:space="0" w:color="A6A6A6"/>
            </w:tcBorders>
            <w:shd w:val="clear" w:color="auto" w:fill="auto"/>
            <w:noWrap/>
            <w:tcMar>
              <w:left w:w="57" w:type="dxa"/>
              <w:right w:w="57" w:type="dxa"/>
            </w:tcMar>
            <w:hideMark/>
          </w:tcPr>
          <w:p w14:paraId="45E8EA6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218</w:t>
            </w:r>
          </w:p>
        </w:tc>
        <w:tc>
          <w:tcPr>
            <w:tcW w:w="1097" w:type="dxa"/>
            <w:tcBorders>
              <w:top w:val="nil"/>
              <w:left w:val="nil"/>
              <w:bottom w:val="single" w:sz="8" w:space="0" w:color="A6A6A6"/>
              <w:right w:val="single" w:sz="8" w:space="0" w:color="A6A6A6"/>
            </w:tcBorders>
            <w:shd w:val="clear" w:color="auto" w:fill="auto"/>
            <w:noWrap/>
            <w:tcMar>
              <w:left w:w="57" w:type="dxa"/>
              <w:right w:w="57" w:type="dxa"/>
            </w:tcMar>
            <w:hideMark/>
          </w:tcPr>
          <w:p w14:paraId="137567E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12</w:t>
            </w:r>
          </w:p>
        </w:tc>
        <w:tc>
          <w:tcPr>
            <w:tcW w:w="770" w:type="dxa"/>
            <w:tcBorders>
              <w:top w:val="nil"/>
              <w:left w:val="nil"/>
              <w:bottom w:val="single" w:sz="8" w:space="0" w:color="A6A6A6"/>
              <w:right w:val="single" w:sz="8" w:space="0" w:color="A6A6A6"/>
            </w:tcBorders>
            <w:shd w:val="clear" w:color="auto" w:fill="auto"/>
            <w:noWrap/>
            <w:tcMar>
              <w:left w:w="57" w:type="dxa"/>
              <w:right w:w="57" w:type="dxa"/>
            </w:tcMar>
            <w:hideMark/>
          </w:tcPr>
          <w:p w14:paraId="1A1F034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20</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32CC5FE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802" w:type="dxa"/>
            <w:tcBorders>
              <w:top w:val="nil"/>
              <w:left w:val="nil"/>
              <w:bottom w:val="single" w:sz="8" w:space="0" w:color="A6A6A6"/>
              <w:right w:val="single" w:sz="8" w:space="0" w:color="A6A6A6"/>
            </w:tcBorders>
            <w:shd w:val="clear" w:color="auto" w:fill="auto"/>
            <w:noWrap/>
            <w:tcMar>
              <w:left w:w="57" w:type="dxa"/>
              <w:right w:w="57" w:type="dxa"/>
            </w:tcMar>
            <w:hideMark/>
          </w:tcPr>
          <w:p w14:paraId="6588F15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097" w:type="dxa"/>
            <w:gridSpan w:val="2"/>
            <w:tcBorders>
              <w:top w:val="nil"/>
              <w:left w:val="nil"/>
              <w:bottom w:val="single" w:sz="8" w:space="0" w:color="A6A6A6"/>
              <w:right w:val="single" w:sz="8" w:space="0" w:color="A6A6A6"/>
            </w:tcBorders>
            <w:shd w:val="clear" w:color="auto" w:fill="auto"/>
            <w:noWrap/>
            <w:tcMar>
              <w:left w:w="57" w:type="dxa"/>
              <w:right w:w="57" w:type="dxa"/>
            </w:tcMar>
            <w:hideMark/>
          </w:tcPr>
          <w:p w14:paraId="519FAC8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202</w:t>
            </w:r>
          </w:p>
        </w:tc>
        <w:tc>
          <w:tcPr>
            <w:tcW w:w="815" w:type="dxa"/>
            <w:tcBorders>
              <w:top w:val="nil"/>
              <w:left w:val="nil"/>
              <w:bottom w:val="single" w:sz="8" w:space="0" w:color="A6A6A6"/>
              <w:right w:val="single" w:sz="8" w:space="0" w:color="A6A6A6"/>
            </w:tcBorders>
            <w:shd w:val="clear" w:color="auto" w:fill="auto"/>
            <w:noWrap/>
            <w:tcMar>
              <w:left w:w="57" w:type="dxa"/>
              <w:right w:w="57" w:type="dxa"/>
            </w:tcMar>
            <w:hideMark/>
          </w:tcPr>
          <w:p w14:paraId="75AAEF5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238</w:t>
            </w:r>
          </w:p>
        </w:tc>
      </w:tr>
      <w:tr w:rsidR="003E7651" w:rsidRPr="004B3CF1" w14:paraId="5D390390" w14:textId="77777777" w:rsidTr="003E7651">
        <w:trPr>
          <w:trHeight w:val="315"/>
        </w:trPr>
        <w:tc>
          <w:tcPr>
            <w:tcW w:w="1408" w:type="dxa"/>
            <w:tcBorders>
              <w:top w:val="nil"/>
              <w:left w:val="single" w:sz="8" w:space="0" w:color="A6A6A6"/>
              <w:bottom w:val="single" w:sz="8" w:space="0" w:color="A6A6A6"/>
              <w:right w:val="single" w:sz="8" w:space="0" w:color="A6A6A6"/>
            </w:tcBorders>
            <w:shd w:val="clear" w:color="000000" w:fill="BFBFBF"/>
            <w:noWrap/>
            <w:tcMar>
              <w:left w:w="57" w:type="dxa"/>
              <w:right w:w="57" w:type="dxa"/>
            </w:tcMar>
            <w:vAlign w:val="center"/>
            <w:hideMark/>
          </w:tcPr>
          <w:p w14:paraId="592CC085"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097" w:type="dxa"/>
            <w:tcBorders>
              <w:top w:val="nil"/>
              <w:left w:val="nil"/>
              <w:bottom w:val="single" w:sz="8" w:space="0" w:color="A6A6A6"/>
              <w:right w:val="single" w:sz="8" w:space="0" w:color="A6A6A6"/>
            </w:tcBorders>
            <w:shd w:val="clear" w:color="000000" w:fill="BFBFBF"/>
            <w:noWrap/>
            <w:tcMar>
              <w:left w:w="57" w:type="dxa"/>
              <w:right w:w="57" w:type="dxa"/>
            </w:tcMar>
            <w:hideMark/>
          </w:tcPr>
          <w:p w14:paraId="24E28F9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9,591</w:t>
            </w:r>
          </w:p>
        </w:tc>
        <w:tc>
          <w:tcPr>
            <w:tcW w:w="889" w:type="dxa"/>
            <w:tcBorders>
              <w:top w:val="nil"/>
              <w:left w:val="nil"/>
              <w:bottom w:val="single" w:sz="8" w:space="0" w:color="A6A6A6"/>
              <w:right w:val="single" w:sz="8" w:space="0" w:color="A6A6A6"/>
            </w:tcBorders>
            <w:shd w:val="clear" w:color="000000" w:fill="BFBFBF"/>
            <w:noWrap/>
            <w:tcMar>
              <w:left w:w="57" w:type="dxa"/>
              <w:right w:w="57" w:type="dxa"/>
            </w:tcMar>
            <w:hideMark/>
          </w:tcPr>
          <w:p w14:paraId="22AACB6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11,198</w:t>
            </w:r>
          </w:p>
        </w:tc>
        <w:tc>
          <w:tcPr>
            <w:tcW w:w="1097" w:type="dxa"/>
            <w:tcBorders>
              <w:top w:val="nil"/>
              <w:left w:val="nil"/>
              <w:bottom w:val="single" w:sz="8" w:space="0" w:color="A6A6A6"/>
              <w:right w:val="single" w:sz="8" w:space="0" w:color="A6A6A6"/>
            </w:tcBorders>
            <w:shd w:val="clear" w:color="000000" w:fill="BFBFBF"/>
            <w:noWrap/>
            <w:tcMar>
              <w:left w:w="57" w:type="dxa"/>
              <w:right w:w="57" w:type="dxa"/>
            </w:tcMar>
            <w:hideMark/>
          </w:tcPr>
          <w:p w14:paraId="0D49EF76"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688</w:t>
            </w:r>
          </w:p>
        </w:tc>
        <w:tc>
          <w:tcPr>
            <w:tcW w:w="770" w:type="dxa"/>
            <w:tcBorders>
              <w:top w:val="nil"/>
              <w:left w:val="nil"/>
              <w:bottom w:val="single" w:sz="8" w:space="0" w:color="A6A6A6"/>
              <w:right w:val="single" w:sz="8" w:space="0" w:color="A6A6A6"/>
            </w:tcBorders>
            <w:shd w:val="clear" w:color="000000" w:fill="BFBFBF"/>
            <w:noWrap/>
            <w:tcMar>
              <w:left w:w="57" w:type="dxa"/>
              <w:right w:w="57" w:type="dxa"/>
            </w:tcMar>
            <w:hideMark/>
          </w:tcPr>
          <w:p w14:paraId="68742874"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930</w:t>
            </w:r>
          </w:p>
        </w:tc>
        <w:tc>
          <w:tcPr>
            <w:tcW w:w="1097" w:type="dxa"/>
            <w:gridSpan w:val="2"/>
            <w:tcBorders>
              <w:top w:val="nil"/>
              <w:left w:val="nil"/>
              <w:bottom w:val="single" w:sz="8" w:space="0" w:color="A6A6A6"/>
              <w:right w:val="single" w:sz="8" w:space="0" w:color="A6A6A6"/>
            </w:tcBorders>
            <w:shd w:val="clear" w:color="000000" w:fill="BFBFBF"/>
            <w:noWrap/>
            <w:tcMar>
              <w:left w:w="57" w:type="dxa"/>
              <w:right w:w="57" w:type="dxa"/>
            </w:tcMar>
            <w:hideMark/>
          </w:tcPr>
          <w:p w14:paraId="4B40D8E2"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142</w:t>
            </w:r>
          </w:p>
        </w:tc>
        <w:tc>
          <w:tcPr>
            <w:tcW w:w="802" w:type="dxa"/>
            <w:tcBorders>
              <w:top w:val="nil"/>
              <w:left w:val="nil"/>
              <w:bottom w:val="single" w:sz="8" w:space="0" w:color="A6A6A6"/>
              <w:right w:val="single" w:sz="8" w:space="0" w:color="A6A6A6"/>
            </w:tcBorders>
            <w:shd w:val="clear" w:color="000000" w:fill="BFBFBF"/>
            <w:noWrap/>
            <w:tcMar>
              <w:left w:w="57" w:type="dxa"/>
              <w:right w:w="57" w:type="dxa"/>
            </w:tcMar>
            <w:hideMark/>
          </w:tcPr>
          <w:p w14:paraId="11CD41C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186</w:t>
            </w:r>
          </w:p>
        </w:tc>
        <w:tc>
          <w:tcPr>
            <w:tcW w:w="1097" w:type="dxa"/>
            <w:gridSpan w:val="2"/>
            <w:tcBorders>
              <w:top w:val="nil"/>
              <w:left w:val="nil"/>
              <w:bottom w:val="single" w:sz="8" w:space="0" w:color="A6A6A6"/>
              <w:right w:val="single" w:sz="8" w:space="0" w:color="A6A6A6"/>
            </w:tcBorders>
            <w:shd w:val="clear" w:color="000000" w:fill="BFBFBF"/>
            <w:noWrap/>
            <w:tcMar>
              <w:left w:w="57" w:type="dxa"/>
              <w:right w:w="57" w:type="dxa"/>
            </w:tcMar>
            <w:hideMark/>
          </w:tcPr>
          <w:p w14:paraId="0A612372"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10,421</w:t>
            </w:r>
          </w:p>
        </w:tc>
        <w:tc>
          <w:tcPr>
            <w:tcW w:w="815" w:type="dxa"/>
            <w:tcBorders>
              <w:top w:val="nil"/>
              <w:left w:val="nil"/>
              <w:bottom w:val="single" w:sz="8" w:space="0" w:color="A6A6A6"/>
              <w:right w:val="single" w:sz="8" w:space="0" w:color="A6A6A6"/>
            </w:tcBorders>
            <w:shd w:val="clear" w:color="000000" w:fill="BFBFBF"/>
            <w:noWrap/>
            <w:tcMar>
              <w:left w:w="57" w:type="dxa"/>
              <w:right w:w="57" w:type="dxa"/>
            </w:tcMar>
            <w:hideMark/>
          </w:tcPr>
          <w:p w14:paraId="4B99901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12,314</w:t>
            </w:r>
          </w:p>
        </w:tc>
      </w:tr>
    </w:tbl>
    <w:p w14:paraId="6F4AA345" w14:textId="77777777" w:rsidR="003E7651" w:rsidRPr="004B3CF1" w:rsidRDefault="003E7651" w:rsidP="003E7651">
      <w:pPr>
        <w:pStyle w:val="Tekst"/>
        <w:rPr>
          <w:rFonts w:cs="Arial"/>
        </w:rPr>
      </w:pPr>
    </w:p>
    <w:p w14:paraId="1D6686DA" w14:textId="77777777" w:rsidR="003E7651" w:rsidRPr="004B3CF1" w:rsidRDefault="003E7651" w:rsidP="003E7651">
      <w:pPr>
        <w:pStyle w:val="Tekst"/>
      </w:pPr>
      <w:r w:rsidRPr="004B3CF1">
        <w:t>Compared to 2020, the number of convictions increased across all prosecution instances, except in the district prosecutor's offices in Republika Srpska, where the number of convictions i</w:t>
      </w:r>
      <w:r>
        <w:t xml:space="preserve">n 2021 saw a drop by 24 or 1%. </w:t>
      </w:r>
      <w:r w:rsidRPr="004B3CF1">
        <w:t xml:space="preserve">The largest absolute increase in the number of convictions of 518 or 8% was observed in the </w:t>
      </w:r>
      <w:r>
        <w:t xml:space="preserve">cantonal prosecutor's offices. </w:t>
      </w:r>
      <w:r w:rsidRPr="004B3CF1">
        <w:t xml:space="preserve">The Prosecutor's Office of BiH and the Prosecutor's Office of the Brcko District of BiH saw a rise in the number of convictions by 30 or 26%, and 16 or 9%, respectively. </w:t>
      </w:r>
    </w:p>
    <w:p w14:paraId="01502B8C" w14:textId="77777777" w:rsidR="003E7651" w:rsidRPr="004B3CF1" w:rsidRDefault="003E7651" w:rsidP="003E7651">
      <w:pPr>
        <w:pStyle w:val="Tekst"/>
      </w:pPr>
    </w:p>
    <w:p w14:paraId="0A48D59F" w14:textId="77777777" w:rsidR="008D0A7D" w:rsidRDefault="008D0A7D">
      <w:pPr>
        <w:rPr>
          <w:rFonts w:ascii="Arial" w:hAnsi="Arial"/>
          <w:b/>
          <w:bCs/>
          <w:sz w:val="20"/>
          <w:szCs w:val="20"/>
        </w:rPr>
      </w:pPr>
      <w:r>
        <w:br w:type="page"/>
      </w:r>
    </w:p>
    <w:p w14:paraId="7BA33EDF" w14:textId="2BEEFC11" w:rsidR="003E7651" w:rsidRPr="004B3CF1" w:rsidRDefault="003E7651" w:rsidP="003E7651">
      <w:pPr>
        <w:pStyle w:val="Caption"/>
      </w:pPr>
      <w:r w:rsidRPr="004B3CF1">
        <w:lastRenderedPageBreak/>
        <w:t xml:space="preserve">Table </w:t>
      </w:r>
      <w:r w:rsidR="006D1459">
        <w:fldChar w:fldCharType="begin"/>
      </w:r>
      <w:r w:rsidR="006D1459">
        <w:instrText xml:space="preserve"> SEQ Tablica \* ARABIC </w:instrText>
      </w:r>
      <w:r w:rsidR="006D1459">
        <w:fldChar w:fldCharType="separate"/>
      </w:r>
      <w:r w:rsidRPr="004B3CF1">
        <w:t>17</w:t>
      </w:r>
      <w:r w:rsidR="006D1459">
        <w:fldChar w:fldCharType="end"/>
      </w:r>
      <w:r w:rsidRPr="004B3CF1">
        <w:t>: Convictions</w:t>
      </w:r>
    </w:p>
    <w:tbl>
      <w:tblPr>
        <w:tblW w:w="9082" w:type="dxa"/>
        <w:jc w:val="center"/>
        <w:tblLayout w:type="fixed"/>
        <w:tblLook w:val="04A0" w:firstRow="1" w:lastRow="0" w:firstColumn="1" w:lastColumn="0" w:noHBand="0" w:noVBand="1"/>
      </w:tblPr>
      <w:tblGrid>
        <w:gridCol w:w="1428"/>
        <w:gridCol w:w="1206"/>
        <w:gridCol w:w="920"/>
        <w:gridCol w:w="1276"/>
        <w:gridCol w:w="992"/>
        <w:gridCol w:w="850"/>
        <w:gridCol w:w="851"/>
        <w:gridCol w:w="850"/>
        <w:gridCol w:w="709"/>
      </w:tblGrid>
      <w:tr w:rsidR="003E7651" w:rsidRPr="004B3CF1" w14:paraId="10E5D41C" w14:textId="77777777" w:rsidTr="003E7651">
        <w:trPr>
          <w:trHeight w:val="900"/>
          <w:jc w:val="center"/>
        </w:trPr>
        <w:tc>
          <w:tcPr>
            <w:tcW w:w="1428" w:type="dxa"/>
            <w:vMerge w:val="restart"/>
            <w:tcBorders>
              <w:top w:val="single" w:sz="8" w:space="0" w:color="A6A6A6"/>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40AFE6E0"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Prosecutor’s offices</w:t>
            </w:r>
          </w:p>
        </w:tc>
        <w:tc>
          <w:tcPr>
            <w:tcW w:w="2126" w:type="dxa"/>
            <w:gridSpan w:val="2"/>
            <w:tcBorders>
              <w:top w:val="single" w:sz="8" w:space="0" w:color="A6A6A6"/>
              <w:left w:val="nil"/>
              <w:bottom w:val="single" w:sz="8" w:space="0" w:color="A6A6A6"/>
              <w:right w:val="single" w:sz="8" w:space="0" w:color="A6A6A6"/>
            </w:tcBorders>
            <w:shd w:val="clear" w:color="auto" w:fill="auto"/>
            <w:tcMar>
              <w:left w:w="57" w:type="dxa"/>
              <w:right w:w="57" w:type="dxa"/>
            </w:tcMar>
            <w:vAlign w:val="center"/>
            <w:hideMark/>
          </w:tcPr>
          <w:p w14:paraId="3738FA1D"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Convictions in 2020</w:t>
            </w:r>
          </w:p>
        </w:tc>
        <w:tc>
          <w:tcPr>
            <w:tcW w:w="2268" w:type="dxa"/>
            <w:gridSpan w:val="2"/>
            <w:tcBorders>
              <w:top w:val="single" w:sz="8" w:space="0" w:color="A6A6A6"/>
              <w:left w:val="nil"/>
              <w:bottom w:val="single" w:sz="8" w:space="0" w:color="A6A6A6"/>
              <w:right w:val="single" w:sz="8" w:space="0" w:color="A6A6A6"/>
            </w:tcBorders>
            <w:shd w:val="clear" w:color="auto" w:fill="auto"/>
            <w:tcMar>
              <w:left w:w="57" w:type="dxa"/>
              <w:right w:w="57" w:type="dxa"/>
            </w:tcMar>
            <w:vAlign w:val="center"/>
            <w:hideMark/>
          </w:tcPr>
          <w:p w14:paraId="1FE0031A"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Convictions in 2021</w:t>
            </w:r>
          </w:p>
        </w:tc>
        <w:tc>
          <w:tcPr>
            <w:tcW w:w="3260" w:type="dxa"/>
            <w:gridSpan w:val="4"/>
            <w:tcBorders>
              <w:top w:val="single" w:sz="8" w:space="0" w:color="A6A6A6"/>
              <w:left w:val="nil"/>
              <w:bottom w:val="single" w:sz="8" w:space="0" w:color="A6A6A6"/>
              <w:right w:val="single" w:sz="8" w:space="0" w:color="A6A6A6"/>
            </w:tcBorders>
            <w:shd w:val="clear" w:color="auto" w:fill="auto"/>
            <w:tcMar>
              <w:left w:w="57" w:type="dxa"/>
              <w:right w:w="57" w:type="dxa"/>
            </w:tcMar>
            <w:vAlign w:val="center"/>
            <w:hideMark/>
          </w:tcPr>
          <w:p w14:paraId="6FE3CABE"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Change in the number of convictions</w:t>
            </w:r>
          </w:p>
        </w:tc>
      </w:tr>
      <w:tr w:rsidR="003E7651" w:rsidRPr="004B3CF1" w14:paraId="32434D1C" w14:textId="77777777" w:rsidTr="003E7651">
        <w:trPr>
          <w:trHeight w:val="615"/>
          <w:jc w:val="center"/>
        </w:trPr>
        <w:tc>
          <w:tcPr>
            <w:tcW w:w="1428" w:type="dxa"/>
            <w:vMerge/>
            <w:tcBorders>
              <w:top w:val="single" w:sz="8" w:space="0" w:color="A6A6A6"/>
              <w:left w:val="single" w:sz="8" w:space="0" w:color="A6A6A6"/>
              <w:bottom w:val="single" w:sz="8" w:space="0" w:color="A6A6A6"/>
              <w:right w:val="single" w:sz="8" w:space="0" w:color="A6A6A6"/>
            </w:tcBorders>
            <w:tcMar>
              <w:left w:w="57" w:type="dxa"/>
              <w:right w:w="57" w:type="dxa"/>
            </w:tcMar>
            <w:vAlign w:val="center"/>
            <w:hideMark/>
          </w:tcPr>
          <w:p w14:paraId="5C06FE07" w14:textId="77777777" w:rsidR="003E7651" w:rsidRPr="004B3CF1" w:rsidRDefault="003E7651" w:rsidP="003E7651">
            <w:pPr>
              <w:rPr>
                <w:rFonts w:ascii="Arial" w:hAnsi="Arial" w:cs="Arial"/>
                <w:b/>
                <w:bCs/>
                <w:color w:val="000000"/>
                <w:sz w:val="22"/>
                <w:szCs w:val="22"/>
              </w:rPr>
            </w:pPr>
          </w:p>
        </w:tc>
        <w:tc>
          <w:tcPr>
            <w:tcW w:w="1206" w:type="dxa"/>
            <w:tcBorders>
              <w:top w:val="nil"/>
              <w:left w:val="nil"/>
              <w:bottom w:val="single" w:sz="8" w:space="0" w:color="A6A6A6"/>
              <w:right w:val="single" w:sz="8" w:space="0" w:color="A6A6A6"/>
            </w:tcBorders>
            <w:shd w:val="clear" w:color="auto" w:fill="auto"/>
            <w:tcMar>
              <w:left w:w="57" w:type="dxa"/>
              <w:right w:w="57" w:type="dxa"/>
            </w:tcMar>
            <w:vAlign w:val="center"/>
            <w:hideMark/>
          </w:tcPr>
          <w:p w14:paraId="134C33CE"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Cases</w:t>
            </w:r>
          </w:p>
        </w:tc>
        <w:tc>
          <w:tcPr>
            <w:tcW w:w="920" w:type="dxa"/>
            <w:tcBorders>
              <w:top w:val="nil"/>
              <w:left w:val="nil"/>
              <w:bottom w:val="single" w:sz="8" w:space="0" w:color="A6A6A6"/>
              <w:right w:val="single" w:sz="8" w:space="0" w:color="A6A6A6"/>
            </w:tcBorders>
            <w:shd w:val="clear" w:color="auto" w:fill="auto"/>
            <w:tcMar>
              <w:left w:w="57" w:type="dxa"/>
              <w:right w:w="57" w:type="dxa"/>
            </w:tcMar>
            <w:vAlign w:val="center"/>
            <w:hideMark/>
          </w:tcPr>
          <w:p w14:paraId="6D6C1078"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Persons</w:t>
            </w:r>
          </w:p>
        </w:tc>
        <w:tc>
          <w:tcPr>
            <w:tcW w:w="1276" w:type="dxa"/>
            <w:tcBorders>
              <w:top w:val="nil"/>
              <w:left w:val="nil"/>
              <w:bottom w:val="single" w:sz="8" w:space="0" w:color="A6A6A6"/>
              <w:right w:val="single" w:sz="8" w:space="0" w:color="A6A6A6"/>
            </w:tcBorders>
            <w:shd w:val="clear" w:color="auto" w:fill="auto"/>
            <w:tcMar>
              <w:left w:w="57" w:type="dxa"/>
              <w:right w:w="57" w:type="dxa"/>
            </w:tcMar>
            <w:vAlign w:val="center"/>
            <w:hideMark/>
          </w:tcPr>
          <w:p w14:paraId="65C0B2FE"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Cases</w:t>
            </w:r>
          </w:p>
        </w:tc>
        <w:tc>
          <w:tcPr>
            <w:tcW w:w="992" w:type="dxa"/>
            <w:tcBorders>
              <w:top w:val="nil"/>
              <w:left w:val="nil"/>
              <w:bottom w:val="single" w:sz="8" w:space="0" w:color="A6A6A6"/>
              <w:right w:val="single" w:sz="8" w:space="0" w:color="A6A6A6"/>
            </w:tcBorders>
            <w:shd w:val="clear" w:color="auto" w:fill="auto"/>
            <w:tcMar>
              <w:left w:w="57" w:type="dxa"/>
              <w:right w:w="57" w:type="dxa"/>
            </w:tcMar>
            <w:vAlign w:val="center"/>
            <w:hideMark/>
          </w:tcPr>
          <w:p w14:paraId="2C9FAD97"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Persons</w:t>
            </w:r>
          </w:p>
        </w:tc>
        <w:tc>
          <w:tcPr>
            <w:tcW w:w="1701" w:type="dxa"/>
            <w:gridSpan w:val="2"/>
            <w:tcBorders>
              <w:top w:val="single" w:sz="8" w:space="0" w:color="A6A6A6"/>
              <w:left w:val="nil"/>
              <w:bottom w:val="single" w:sz="8" w:space="0" w:color="A6A6A6"/>
              <w:right w:val="single" w:sz="8" w:space="0" w:color="A6A6A6"/>
            </w:tcBorders>
            <w:shd w:val="clear" w:color="auto" w:fill="auto"/>
            <w:tcMar>
              <w:left w:w="57" w:type="dxa"/>
              <w:right w:w="57" w:type="dxa"/>
            </w:tcMar>
            <w:vAlign w:val="center"/>
            <w:hideMark/>
          </w:tcPr>
          <w:p w14:paraId="04D3423D"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Cases</w:t>
            </w:r>
          </w:p>
        </w:tc>
        <w:tc>
          <w:tcPr>
            <w:tcW w:w="1559" w:type="dxa"/>
            <w:gridSpan w:val="2"/>
            <w:tcBorders>
              <w:top w:val="single" w:sz="8" w:space="0" w:color="A6A6A6"/>
              <w:left w:val="nil"/>
              <w:bottom w:val="single" w:sz="8" w:space="0" w:color="A6A6A6"/>
              <w:right w:val="single" w:sz="8" w:space="0" w:color="A6A6A6"/>
            </w:tcBorders>
            <w:shd w:val="clear" w:color="auto" w:fill="auto"/>
            <w:tcMar>
              <w:left w:w="57" w:type="dxa"/>
              <w:right w:w="57" w:type="dxa"/>
            </w:tcMar>
            <w:vAlign w:val="center"/>
            <w:hideMark/>
          </w:tcPr>
          <w:p w14:paraId="37A0E378" w14:textId="77777777" w:rsidR="003E7651" w:rsidRPr="004B3CF1" w:rsidRDefault="003E7651" w:rsidP="003E7651">
            <w:pPr>
              <w:jc w:val="center"/>
              <w:rPr>
                <w:rFonts w:ascii="Arial" w:hAnsi="Arial" w:cs="Arial"/>
                <w:b/>
                <w:bCs/>
                <w:color w:val="000000"/>
                <w:sz w:val="22"/>
                <w:szCs w:val="22"/>
              </w:rPr>
            </w:pPr>
            <w:r w:rsidRPr="004B3CF1">
              <w:rPr>
                <w:rFonts w:ascii="Arial" w:hAnsi="Arial"/>
                <w:b/>
                <w:bCs/>
                <w:color w:val="000000"/>
                <w:sz w:val="22"/>
                <w:szCs w:val="22"/>
              </w:rPr>
              <w:t>Persons</w:t>
            </w:r>
          </w:p>
        </w:tc>
      </w:tr>
      <w:tr w:rsidR="003E7651" w:rsidRPr="004B3CF1" w14:paraId="7E19C2D2" w14:textId="77777777" w:rsidTr="003E7651">
        <w:trPr>
          <w:trHeight w:val="315"/>
          <w:jc w:val="center"/>
        </w:trPr>
        <w:tc>
          <w:tcPr>
            <w:tcW w:w="142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5AF1EED5"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BiH</w:t>
            </w:r>
          </w:p>
        </w:tc>
        <w:tc>
          <w:tcPr>
            <w:tcW w:w="1206" w:type="dxa"/>
            <w:tcBorders>
              <w:top w:val="nil"/>
              <w:left w:val="nil"/>
              <w:bottom w:val="single" w:sz="8" w:space="0" w:color="A6A6A6"/>
              <w:right w:val="single" w:sz="8" w:space="0" w:color="A6A6A6"/>
            </w:tcBorders>
            <w:shd w:val="clear" w:color="auto" w:fill="auto"/>
            <w:noWrap/>
            <w:tcMar>
              <w:left w:w="57" w:type="dxa"/>
              <w:right w:w="57" w:type="dxa"/>
            </w:tcMar>
            <w:hideMark/>
          </w:tcPr>
          <w:p w14:paraId="0E643C0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117</w:t>
            </w:r>
          </w:p>
        </w:tc>
        <w:tc>
          <w:tcPr>
            <w:tcW w:w="920" w:type="dxa"/>
            <w:tcBorders>
              <w:top w:val="nil"/>
              <w:left w:val="nil"/>
              <w:bottom w:val="single" w:sz="8" w:space="0" w:color="A6A6A6"/>
              <w:right w:val="single" w:sz="8" w:space="0" w:color="A6A6A6"/>
            </w:tcBorders>
            <w:shd w:val="clear" w:color="auto" w:fill="auto"/>
            <w:noWrap/>
            <w:tcMar>
              <w:left w:w="57" w:type="dxa"/>
              <w:right w:w="57" w:type="dxa"/>
            </w:tcMar>
            <w:hideMark/>
          </w:tcPr>
          <w:p w14:paraId="3660439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187</w:t>
            </w:r>
          </w:p>
        </w:tc>
        <w:tc>
          <w:tcPr>
            <w:tcW w:w="1276" w:type="dxa"/>
            <w:tcBorders>
              <w:top w:val="nil"/>
              <w:left w:val="nil"/>
              <w:bottom w:val="single" w:sz="8" w:space="0" w:color="A6A6A6"/>
              <w:right w:val="single" w:sz="8" w:space="0" w:color="A6A6A6"/>
            </w:tcBorders>
            <w:shd w:val="clear" w:color="auto" w:fill="auto"/>
            <w:noWrap/>
            <w:tcMar>
              <w:left w:w="57" w:type="dxa"/>
              <w:right w:w="57" w:type="dxa"/>
            </w:tcMar>
            <w:hideMark/>
          </w:tcPr>
          <w:p w14:paraId="260DF0A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147</w:t>
            </w:r>
          </w:p>
        </w:tc>
        <w:tc>
          <w:tcPr>
            <w:tcW w:w="992" w:type="dxa"/>
            <w:tcBorders>
              <w:top w:val="nil"/>
              <w:left w:val="nil"/>
              <w:bottom w:val="single" w:sz="8" w:space="0" w:color="A6A6A6"/>
              <w:right w:val="single" w:sz="8" w:space="0" w:color="A6A6A6"/>
            </w:tcBorders>
            <w:shd w:val="clear" w:color="auto" w:fill="auto"/>
            <w:noWrap/>
            <w:tcMar>
              <w:left w:w="57" w:type="dxa"/>
              <w:right w:w="57" w:type="dxa"/>
            </w:tcMar>
            <w:hideMark/>
          </w:tcPr>
          <w:p w14:paraId="7FD595E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253</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3FE5707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30</w:t>
            </w:r>
          </w:p>
        </w:tc>
        <w:tc>
          <w:tcPr>
            <w:tcW w:w="851" w:type="dxa"/>
            <w:tcBorders>
              <w:top w:val="nil"/>
              <w:left w:val="nil"/>
              <w:bottom w:val="single" w:sz="8" w:space="0" w:color="A6A6A6"/>
              <w:right w:val="single" w:sz="8" w:space="0" w:color="A6A6A6"/>
            </w:tcBorders>
            <w:shd w:val="clear" w:color="auto" w:fill="auto"/>
            <w:noWrap/>
            <w:tcMar>
              <w:left w:w="57" w:type="dxa"/>
              <w:right w:w="57" w:type="dxa"/>
            </w:tcMar>
            <w:hideMark/>
          </w:tcPr>
          <w:p w14:paraId="6018C7F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26%</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31BC522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66</w:t>
            </w:r>
          </w:p>
        </w:tc>
        <w:tc>
          <w:tcPr>
            <w:tcW w:w="709" w:type="dxa"/>
            <w:tcBorders>
              <w:top w:val="nil"/>
              <w:left w:val="nil"/>
              <w:bottom w:val="single" w:sz="8" w:space="0" w:color="A6A6A6"/>
              <w:right w:val="single" w:sz="8" w:space="0" w:color="A6A6A6"/>
            </w:tcBorders>
            <w:shd w:val="clear" w:color="auto" w:fill="auto"/>
            <w:noWrap/>
            <w:tcMar>
              <w:left w:w="57" w:type="dxa"/>
              <w:right w:w="57" w:type="dxa"/>
            </w:tcMar>
            <w:hideMark/>
          </w:tcPr>
          <w:p w14:paraId="20A892F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35%</w:t>
            </w:r>
          </w:p>
        </w:tc>
      </w:tr>
      <w:tr w:rsidR="003E7651" w:rsidRPr="004B3CF1" w14:paraId="4FE15E85" w14:textId="77777777" w:rsidTr="003E7651">
        <w:trPr>
          <w:trHeight w:val="315"/>
          <w:jc w:val="center"/>
        </w:trPr>
        <w:tc>
          <w:tcPr>
            <w:tcW w:w="142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3D53F6FD"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FBiH:</w:t>
            </w:r>
          </w:p>
        </w:tc>
        <w:tc>
          <w:tcPr>
            <w:tcW w:w="1206" w:type="dxa"/>
            <w:tcBorders>
              <w:top w:val="nil"/>
              <w:left w:val="nil"/>
              <w:bottom w:val="single" w:sz="8" w:space="0" w:color="A6A6A6"/>
              <w:right w:val="single" w:sz="8" w:space="0" w:color="A6A6A6"/>
            </w:tcBorders>
            <w:shd w:val="clear" w:color="auto" w:fill="auto"/>
            <w:noWrap/>
            <w:tcMar>
              <w:left w:w="57" w:type="dxa"/>
              <w:right w:w="57" w:type="dxa"/>
            </w:tcMar>
            <w:hideMark/>
          </w:tcPr>
          <w:p w14:paraId="593715C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6,254</w:t>
            </w:r>
          </w:p>
        </w:tc>
        <w:tc>
          <w:tcPr>
            <w:tcW w:w="920" w:type="dxa"/>
            <w:tcBorders>
              <w:top w:val="nil"/>
              <w:left w:val="nil"/>
              <w:bottom w:val="single" w:sz="8" w:space="0" w:color="A6A6A6"/>
              <w:right w:val="single" w:sz="8" w:space="0" w:color="A6A6A6"/>
            </w:tcBorders>
            <w:shd w:val="clear" w:color="auto" w:fill="auto"/>
            <w:noWrap/>
            <w:tcMar>
              <w:left w:w="57" w:type="dxa"/>
              <w:right w:w="57" w:type="dxa"/>
            </w:tcMar>
            <w:hideMark/>
          </w:tcPr>
          <w:p w14:paraId="314AA91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7,277</w:t>
            </w:r>
          </w:p>
        </w:tc>
        <w:tc>
          <w:tcPr>
            <w:tcW w:w="1276" w:type="dxa"/>
            <w:tcBorders>
              <w:top w:val="nil"/>
              <w:left w:val="nil"/>
              <w:bottom w:val="single" w:sz="8" w:space="0" w:color="A6A6A6"/>
              <w:right w:val="single" w:sz="8" w:space="0" w:color="A6A6A6"/>
            </w:tcBorders>
            <w:shd w:val="clear" w:color="auto" w:fill="auto"/>
            <w:noWrap/>
            <w:tcMar>
              <w:left w:w="57" w:type="dxa"/>
              <w:right w:w="57" w:type="dxa"/>
            </w:tcMar>
            <w:hideMark/>
          </w:tcPr>
          <w:p w14:paraId="18469E1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6,772</w:t>
            </w:r>
          </w:p>
        </w:tc>
        <w:tc>
          <w:tcPr>
            <w:tcW w:w="992" w:type="dxa"/>
            <w:tcBorders>
              <w:top w:val="nil"/>
              <w:left w:val="nil"/>
              <w:bottom w:val="single" w:sz="8" w:space="0" w:color="A6A6A6"/>
              <w:right w:val="single" w:sz="8" w:space="0" w:color="A6A6A6"/>
            </w:tcBorders>
            <w:shd w:val="clear" w:color="auto" w:fill="auto"/>
            <w:noWrap/>
            <w:tcMar>
              <w:left w:w="57" w:type="dxa"/>
              <w:right w:w="57" w:type="dxa"/>
            </w:tcMar>
            <w:hideMark/>
          </w:tcPr>
          <w:p w14:paraId="682CC3E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7,872</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1864816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518</w:t>
            </w:r>
          </w:p>
        </w:tc>
        <w:tc>
          <w:tcPr>
            <w:tcW w:w="851" w:type="dxa"/>
            <w:tcBorders>
              <w:top w:val="nil"/>
              <w:left w:val="nil"/>
              <w:bottom w:val="single" w:sz="8" w:space="0" w:color="A6A6A6"/>
              <w:right w:val="single" w:sz="8" w:space="0" w:color="A6A6A6"/>
            </w:tcBorders>
            <w:shd w:val="clear" w:color="auto" w:fill="auto"/>
            <w:noWrap/>
            <w:tcMar>
              <w:left w:w="57" w:type="dxa"/>
              <w:right w:w="57" w:type="dxa"/>
            </w:tcMar>
            <w:hideMark/>
          </w:tcPr>
          <w:p w14:paraId="62C562B9"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49693B4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595</w:t>
            </w:r>
          </w:p>
        </w:tc>
        <w:tc>
          <w:tcPr>
            <w:tcW w:w="709" w:type="dxa"/>
            <w:tcBorders>
              <w:top w:val="nil"/>
              <w:left w:val="nil"/>
              <w:bottom w:val="single" w:sz="8" w:space="0" w:color="A6A6A6"/>
              <w:right w:val="single" w:sz="8" w:space="0" w:color="A6A6A6"/>
            </w:tcBorders>
            <w:shd w:val="clear" w:color="auto" w:fill="auto"/>
            <w:noWrap/>
            <w:tcMar>
              <w:left w:w="57" w:type="dxa"/>
              <w:right w:w="57" w:type="dxa"/>
            </w:tcMar>
            <w:hideMark/>
          </w:tcPr>
          <w:p w14:paraId="65141E7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w:t>
            </w:r>
          </w:p>
        </w:tc>
      </w:tr>
      <w:tr w:rsidR="003E7651" w:rsidRPr="004B3CF1" w14:paraId="76534C0F" w14:textId="77777777" w:rsidTr="003E7651">
        <w:trPr>
          <w:trHeight w:val="315"/>
          <w:jc w:val="center"/>
        </w:trPr>
        <w:tc>
          <w:tcPr>
            <w:tcW w:w="142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13F4035D"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RS</w:t>
            </w:r>
          </w:p>
        </w:tc>
        <w:tc>
          <w:tcPr>
            <w:tcW w:w="1206" w:type="dxa"/>
            <w:tcBorders>
              <w:top w:val="nil"/>
              <w:left w:val="nil"/>
              <w:bottom w:val="single" w:sz="8" w:space="0" w:color="A6A6A6"/>
              <w:right w:val="single" w:sz="8" w:space="0" w:color="A6A6A6"/>
            </w:tcBorders>
            <w:shd w:val="clear" w:color="auto" w:fill="auto"/>
            <w:noWrap/>
            <w:tcMar>
              <w:left w:w="57" w:type="dxa"/>
              <w:right w:w="57" w:type="dxa"/>
            </w:tcMar>
            <w:hideMark/>
          </w:tcPr>
          <w:p w14:paraId="1331C19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2,506</w:t>
            </w:r>
          </w:p>
        </w:tc>
        <w:tc>
          <w:tcPr>
            <w:tcW w:w="920" w:type="dxa"/>
            <w:tcBorders>
              <w:top w:val="nil"/>
              <w:left w:val="nil"/>
              <w:bottom w:val="single" w:sz="8" w:space="0" w:color="A6A6A6"/>
              <w:right w:val="single" w:sz="8" w:space="0" w:color="A6A6A6"/>
            </w:tcBorders>
            <w:shd w:val="clear" w:color="auto" w:fill="auto"/>
            <w:noWrap/>
            <w:tcMar>
              <w:left w:w="57" w:type="dxa"/>
              <w:right w:w="57" w:type="dxa"/>
            </w:tcMar>
            <w:hideMark/>
          </w:tcPr>
          <w:p w14:paraId="76DD215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2,872</w:t>
            </w:r>
          </w:p>
        </w:tc>
        <w:tc>
          <w:tcPr>
            <w:tcW w:w="1276" w:type="dxa"/>
            <w:tcBorders>
              <w:top w:val="nil"/>
              <w:left w:val="nil"/>
              <w:bottom w:val="single" w:sz="8" w:space="0" w:color="A6A6A6"/>
              <w:right w:val="single" w:sz="8" w:space="0" w:color="A6A6A6"/>
            </w:tcBorders>
            <w:shd w:val="clear" w:color="auto" w:fill="auto"/>
            <w:noWrap/>
            <w:tcMar>
              <w:left w:w="57" w:type="dxa"/>
              <w:right w:w="57" w:type="dxa"/>
            </w:tcMar>
            <w:hideMark/>
          </w:tcPr>
          <w:p w14:paraId="1C54CBC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2,482</w:t>
            </w:r>
          </w:p>
        </w:tc>
        <w:tc>
          <w:tcPr>
            <w:tcW w:w="992" w:type="dxa"/>
            <w:tcBorders>
              <w:top w:val="nil"/>
              <w:left w:val="nil"/>
              <w:bottom w:val="single" w:sz="8" w:space="0" w:color="A6A6A6"/>
              <w:right w:val="single" w:sz="8" w:space="0" w:color="A6A6A6"/>
            </w:tcBorders>
            <w:shd w:val="clear" w:color="auto" w:fill="auto"/>
            <w:noWrap/>
            <w:tcMar>
              <w:left w:w="57" w:type="dxa"/>
              <w:right w:w="57" w:type="dxa"/>
            </w:tcMar>
            <w:hideMark/>
          </w:tcPr>
          <w:p w14:paraId="7C19EAD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2,855</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0953A66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-24</w:t>
            </w:r>
          </w:p>
        </w:tc>
        <w:tc>
          <w:tcPr>
            <w:tcW w:w="851" w:type="dxa"/>
            <w:tcBorders>
              <w:top w:val="nil"/>
              <w:left w:val="nil"/>
              <w:bottom w:val="single" w:sz="8" w:space="0" w:color="A6A6A6"/>
              <w:right w:val="single" w:sz="8" w:space="0" w:color="A6A6A6"/>
            </w:tcBorders>
            <w:shd w:val="clear" w:color="auto" w:fill="auto"/>
            <w:noWrap/>
            <w:tcMar>
              <w:left w:w="57" w:type="dxa"/>
              <w:right w:w="57" w:type="dxa"/>
            </w:tcMar>
            <w:hideMark/>
          </w:tcPr>
          <w:p w14:paraId="69249FE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3D1747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w:t>
            </w:r>
          </w:p>
        </w:tc>
        <w:tc>
          <w:tcPr>
            <w:tcW w:w="709" w:type="dxa"/>
            <w:tcBorders>
              <w:top w:val="nil"/>
              <w:left w:val="nil"/>
              <w:bottom w:val="single" w:sz="8" w:space="0" w:color="A6A6A6"/>
              <w:right w:val="single" w:sz="8" w:space="0" w:color="A6A6A6"/>
            </w:tcBorders>
            <w:shd w:val="clear" w:color="auto" w:fill="auto"/>
            <w:noWrap/>
            <w:tcMar>
              <w:left w:w="57" w:type="dxa"/>
              <w:right w:w="57" w:type="dxa"/>
            </w:tcMar>
            <w:hideMark/>
          </w:tcPr>
          <w:p w14:paraId="412CFF8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r>
      <w:tr w:rsidR="003E7651" w:rsidRPr="004B3CF1" w14:paraId="22807F6B" w14:textId="77777777" w:rsidTr="003E7651">
        <w:trPr>
          <w:trHeight w:val="315"/>
          <w:jc w:val="center"/>
        </w:trPr>
        <w:tc>
          <w:tcPr>
            <w:tcW w:w="142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7499C4DF"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Brcko District BiH</w:t>
            </w:r>
          </w:p>
        </w:tc>
        <w:tc>
          <w:tcPr>
            <w:tcW w:w="1206" w:type="dxa"/>
            <w:tcBorders>
              <w:top w:val="nil"/>
              <w:left w:val="nil"/>
              <w:bottom w:val="single" w:sz="8" w:space="0" w:color="A6A6A6"/>
              <w:right w:val="single" w:sz="8" w:space="0" w:color="A6A6A6"/>
            </w:tcBorders>
            <w:shd w:val="clear" w:color="auto" w:fill="auto"/>
            <w:noWrap/>
            <w:tcMar>
              <w:left w:w="57" w:type="dxa"/>
              <w:right w:w="57" w:type="dxa"/>
            </w:tcMar>
            <w:hideMark/>
          </w:tcPr>
          <w:p w14:paraId="4A228EB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174</w:t>
            </w:r>
          </w:p>
        </w:tc>
        <w:tc>
          <w:tcPr>
            <w:tcW w:w="920" w:type="dxa"/>
            <w:tcBorders>
              <w:top w:val="nil"/>
              <w:left w:val="nil"/>
              <w:bottom w:val="single" w:sz="8" w:space="0" w:color="A6A6A6"/>
              <w:right w:val="single" w:sz="8" w:space="0" w:color="A6A6A6"/>
            </w:tcBorders>
            <w:shd w:val="clear" w:color="auto" w:fill="auto"/>
            <w:noWrap/>
            <w:tcMar>
              <w:left w:w="57" w:type="dxa"/>
              <w:right w:w="57" w:type="dxa"/>
            </w:tcMar>
            <w:hideMark/>
          </w:tcPr>
          <w:p w14:paraId="2ACA6F2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202</w:t>
            </w:r>
          </w:p>
        </w:tc>
        <w:tc>
          <w:tcPr>
            <w:tcW w:w="1276" w:type="dxa"/>
            <w:tcBorders>
              <w:top w:val="nil"/>
              <w:left w:val="nil"/>
              <w:bottom w:val="single" w:sz="8" w:space="0" w:color="A6A6A6"/>
              <w:right w:val="single" w:sz="8" w:space="0" w:color="A6A6A6"/>
            </w:tcBorders>
            <w:shd w:val="clear" w:color="auto" w:fill="auto"/>
            <w:noWrap/>
            <w:tcMar>
              <w:left w:w="57" w:type="dxa"/>
              <w:right w:w="57" w:type="dxa"/>
            </w:tcMar>
            <w:hideMark/>
          </w:tcPr>
          <w:p w14:paraId="331809F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190</w:t>
            </w:r>
          </w:p>
        </w:tc>
        <w:tc>
          <w:tcPr>
            <w:tcW w:w="992" w:type="dxa"/>
            <w:tcBorders>
              <w:top w:val="nil"/>
              <w:left w:val="nil"/>
              <w:bottom w:val="single" w:sz="8" w:space="0" w:color="A6A6A6"/>
              <w:right w:val="single" w:sz="8" w:space="0" w:color="A6A6A6"/>
            </w:tcBorders>
            <w:shd w:val="clear" w:color="auto" w:fill="auto"/>
            <w:noWrap/>
            <w:tcMar>
              <w:left w:w="57" w:type="dxa"/>
              <w:right w:w="57" w:type="dxa"/>
            </w:tcMar>
            <w:hideMark/>
          </w:tcPr>
          <w:p w14:paraId="3C43CCF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218</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101AA6A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w:t>
            </w:r>
          </w:p>
        </w:tc>
        <w:tc>
          <w:tcPr>
            <w:tcW w:w="851" w:type="dxa"/>
            <w:tcBorders>
              <w:top w:val="nil"/>
              <w:left w:val="nil"/>
              <w:bottom w:val="single" w:sz="8" w:space="0" w:color="A6A6A6"/>
              <w:right w:val="single" w:sz="8" w:space="0" w:color="A6A6A6"/>
            </w:tcBorders>
            <w:shd w:val="clear" w:color="auto" w:fill="auto"/>
            <w:noWrap/>
            <w:tcMar>
              <w:left w:w="57" w:type="dxa"/>
              <w:right w:w="57" w:type="dxa"/>
            </w:tcMar>
            <w:hideMark/>
          </w:tcPr>
          <w:p w14:paraId="697716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18B5658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16</w:t>
            </w:r>
          </w:p>
        </w:tc>
        <w:tc>
          <w:tcPr>
            <w:tcW w:w="709" w:type="dxa"/>
            <w:tcBorders>
              <w:top w:val="nil"/>
              <w:left w:val="nil"/>
              <w:bottom w:val="single" w:sz="8" w:space="0" w:color="A6A6A6"/>
              <w:right w:val="single" w:sz="8" w:space="0" w:color="A6A6A6"/>
            </w:tcBorders>
            <w:shd w:val="clear" w:color="auto" w:fill="auto"/>
            <w:noWrap/>
            <w:tcMar>
              <w:left w:w="57" w:type="dxa"/>
              <w:right w:w="57" w:type="dxa"/>
            </w:tcMar>
            <w:hideMark/>
          </w:tcPr>
          <w:p w14:paraId="02055AF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w:t>
            </w:r>
          </w:p>
        </w:tc>
      </w:tr>
      <w:tr w:rsidR="003E7651" w:rsidRPr="004B3CF1" w14:paraId="15604451" w14:textId="77777777" w:rsidTr="003E7651">
        <w:trPr>
          <w:trHeight w:val="315"/>
          <w:jc w:val="center"/>
        </w:trPr>
        <w:tc>
          <w:tcPr>
            <w:tcW w:w="1428" w:type="dxa"/>
            <w:tcBorders>
              <w:top w:val="nil"/>
              <w:left w:val="single" w:sz="8" w:space="0" w:color="A6A6A6"/>
              <w:bottom w:val="single" w:sz="8" w:space="0" w:color="A6A6A6"/>
              <w:right w:val="single" w:sz="8" w:space="0" w:color="A6A6A6"/>
            </w:tcBorders>
            <w:shd w:val="clear" w:color="auto" w:fill="auto"/>
            <w:noWrap/>
            <w:tcMar>
              <w:left w:w="57" w:type="dxa"/>
              <w:right w:w="57" w:type="dxa"/>
            </w:tcMar>
            <w:vAlign w:val="center"/>
            <w:hideMark/>
          </w:tcPr>
          <w:p w14:paraId="36A4E7BE"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206" w:type="dxa"/>
            <w:tcBorders>
              <w:top w:val="nil"/>
              <w:left w:val="nil"/>
              <w:bottom w:val="single" w:sz="8" w:space="0" w:color="A6A6A6"/>
              <w:right w:val="single" w:sz="8" w:space="0" w:color="A6A6A6"/>
            </w:tcBorders>
            <w:shd w:val="clear" w:color="auto" w:fill="auto"/>
            <w:noWrap/>
            <w:tcMar>
              <w:left w:w="57" w:type="dxa"/>
              <w:right w:w="57" w:type="dxa"/>
            </w:tcMar>
            <w:hideMark/>
          </w:tcPr>
          <w:p w14:paraId="6F5B338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9,051</w:t>
            </w:r>
          </w:p>
        </w:tc>
        <w:tc>
          <w:tcPr>
            <w:tcW w:w="920" w:type="dxa"/>
            <w:tcBorders>
              <w:top w:val="nil"/>
              <w:left w:val="nil"/>
              <w:bottom w:val="single" w:sz="8" w:space="0" w:color="A6A6A6"/>
              <w:right w:val="single" w:sz="8" w:space="0" w:color="A6A6A6"/>
            </w:tcBorders>
            <w:shd w:val="clear" w:color="auto" w:fill="auto"/>
            <w:noWrap/>
            <w:tcMar>
              <w:left w:w="57" w:type="dxa"/>
              <w:right w:w="57" w:type="dxa"/>
            </w:tcMar>
            <w:hideMark/>
          </w:tcPr>
          <w:p w14:paraId="18D46ACF"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10,538</w:t>
            </w:r>
          </w:p>
        </w:tc>
        <w:tc>
          <w:tcPr>
            <w:tcW w:w="1276" w:type="dxa"/>
            <w:tcBorders>
              <w:top w:val="nil"/>
              <w:left w:val="nil"/>
              <w:bottom w:val="single" w:sz="8" w:space="0" w:color="A6A6A6"/>
              <w:right w:val="single" w:sz="8" w:space="0" w:color="A6A6A6"/>
            </w:tcBorders>
            <w:shd w:val="clear" w:color="auto" w:fill="auto"/>
            <w:noWrap/>
            <w:tcMar>
              <w:left w:w="57" w:type="dxa"/>
              <w:right w:w="57" w:type="dxa"/>
            </w:tcMar>
            <w:hideMark/>
          </w:tcPr>
          <w:p w14:paraId="2812337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9,591</w:t>
            </w:r>
          </w:p>
        </w:tc>
        <w:tc>
          <w:tcPr>
            <w:tcW w:w="992" w:type="dxa"/>
            <w:tcBorders>
              <w:top w:val="nil"/>
              <w:left w:val="nil"/>
              <w:bottom w:val="single" w:sz="8" w:space="0" w:color="A6A6A6"/>
              <w:right w:val="single" w:sz="8" w:space="0" w:color="A6A6A6"/>
            </w:tcBorders>
            <w:shd w:val="clear" w:color="auto" w:fill="auto"/>
            <w:noWrap/>
            <w:tcMar>
              <w:left w:w="57" w:type="dxa"/>
              <w:right w:w="57" w:type="dxa"/>
            </w:tcMar>
            <w:hideMark/>
          </w:tcPr>
          <w:p w14:paraId="5D4DDCEF"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11,198</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0F21A23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540</w:t>
            </w:r>
          </w:p>
        </w:tc>
        <w:tc>
          <w:tcPr>
            <w:tcW w:w="851" w:type="dxa"/>
            <w:tcBorders>
              <w:top w:val="nil"/>
              <w:left w:val="nil"/>
              <w:bottom w:val="single" w:sz="8" w:space="0" w:color="A6A6A6"/>
              <w:right w:val="single" w:sz="8" w:space="0" w:color="A6A6A6"/>
            </w:tcBorders>
            <w:shd w:val="clear" w:color="auto" w:fill="auto"/>
            <w:noWrap/>
            <w:tcMar>
              <w:left w:w="57" w:type="dxa"/>
              <w:right w:w="57" w:type="dxa"/>
            </w:tcMar>
            <w:hideMark/>
          </w:tcPr>
          <w:p w14:paraId="18587584"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w:t>
            </w:r>
          </w:p>
        </w:tc>
        <w:tc>
          <w:tcPr>
            <w:tcW w:w="850" w:type="dxa"/>
            <w:tcBorders>
              <w:top w:val="nil"/>
              <w:left w:val="nil"/>
              <w:bottom w:val="single" w:sz="8" w:space="0" w:color="A6A6A6"/>
              <w:right w:val="single" w:sz="8" w:space="0" w:color="A6A6A6"/>
            </w:tcBorders>
            <w:shd w:val="clear" w:color="auto" w:fill="auto"/>
            <w:noWrap/>
            <w:tcMar>
              <w:left w:w="57" w:type="dxa"/>
              <w:right w:w="57" w:type="dxa"/>
            </w:tcMar>
            <w:hideMark/>
          </w:tcPr>
          <w:p w14:paraId="14A10D84"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660</w:t>
            </w:r>
          </w:p>
        </w:tc>
        <w:tc>
          <w:tcPr>
            <w:tcW w:w="709" w:type="dxa"/>
            <w:tcBorders>
              <w:top w:val="nil"/>
              <w:left w:val="nil"/>
              <w:bottom w:val="single" w:sz="8" w:space="0" w:color="A6A6A6"/>
              <w:right w:val="single" w:sz="8" w:space="0" w:color="A6A6A6"/>
            </w:tcBorders>
            <w:shd w:val="clear" w:color="auto" w:fill="auto"/>
            <w:noWrap/>
            <w:tcMar>
              <w:left w:w="57" w:type="dxa"/>
              <w:right w:w="57" w:type="dxa"/>
            </w:tcMar>
            <w:hideMark/>
          </w:tcPr>
          <w:p w14:paraId="01903C2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w:t>
            </w:r>
          </w:p>
        </w:tc>
      </w:tr>
    </w:tbl>
    <w:p w14:paraId="292987FB" w14:textId="77777777" w:rsidR="003E7651" w:rsidRPr="004B3CF1" w:rsidRDefault="003E7651" w:rsidP="003E7651">
      <w:pPr>
        <w:pStyle w:val="Tekst"/>
        <w:rPr>
          <w:rFonts w:cs="Arial"/>
        </w:rPr>
      </w:pPr>
    </w:p>
    <w:p w14:paraId="39528223" w14:textId="77777777" w:rsidR="003E7651" w:rsidRPr="004B3CF1" w:rsidRDefault="003E7651" w:rsidP="003E7651">
      <w:pPr>
        <w:pStyle w:val="Tekst"/>
      </w:pPr>
      <w:r w:rsidRPr="004B3CF1">
        <w:t xml:space="preserve">In 2021, 64% of convictions were suspended sentences, 24% imprisonments and 12% fines. Compared to 2020, in the structure of convictions, the suspended sentence rate remained the same, while the imprisonment rate increased by 2%. At the same time, the fine rate was down by 2% compared to the previous year. </w:t>
      </w:r>
    </w:p>
    <w:p w14:paraId="2D5741A9" w14:textId="77777777" w:rsidR="003E7651" w:rsidRPr="004B3CF1" w:rsidRDefault="003E7651" w:rsidP="003E7651">
      <w:pPr>
        <w:pStyle w:val="Tekst"/>
        <w:rPr>
          <w:rFonts w:cs="Arial"/>
          <w:b/>
          <w:bCs/>
          <w:szCs w:val="22"/>
          <w:lang w:eastAsia="bs-Latn-BA"/>
        </w:rPr>
      </w:pPr>
    </w:p>
    <w:p w14:paraId="077EB063"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18</w:t>
      </w:r>
      <w:r w:rsidR="006D1459">
        <w:fldChar w:fldCharType="end"/>
      </w:r>
      <w:r w:rsidRPr="004B3CF1">
        <w:t>: Breakdown of criminal sanctions imposed</w:t>
      </w:r>
    </w:p>
    <w:tbl>
      <w:tblPr>
        <w:tblW w:w="8644" w:type="dxa"/>
        <w:tblInd w:w="93" w:type="dxa"/>
        <w:tblLook w:val="04A0" w:firstRow="1" w:lastRow="0" w:firstColumn="1" w:lastColumn="0" w:noHBand="0" w:noVBand="1"/>
      </w:tblPr>
      <w:tblGrid>
        <w:gridCol w:w="2000"/>
        <w:gridCol w:w="1158"/>
        <w:gridCol w:w="1085"/>
        <w:gridCol w:w="1200"/>
        <w:gridCol w:w="1085"/>
        <w:gridCol w:w="1200"/>
        <w:gridCol w:w="1085"/>
      </w:tblGrid>
      <w:tr w:rsidR="003E7651" w:rsidRPr="004B3CF1" w14:paraId="093913D5" w14:textId="77777777" w:rsidTr="003E7651">
        <w:trPr>
          <w:trHeight w:val="465"/>
        </w:trPr>
        <w:tc>
          <w:tcPr>
            <w:tcW w:w="2000"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22417E17" w14:textId="77777777" w:rsidR="003E7651" w:rsidRPr="004B3CF1" w:rsidRDefault="003E7651" w:rsidP="003E7651">
            <w:pPr>
              <w:rPr>
                <w:rFonts w:ascii="Arial" w:hAnsi="Arial" w:cs="Arial"/>
                <w:b/>
                <w:color w:val="000000"/>
                <w:sz w:val="22"/>
                <w:szCs w:val="22"/>
              </w:rPr>
            </w:pPr>
            <w:r w:rsidRPr="004B3CF1">
              <w:rPr>
                <w:rFonts w:ascii="Arial" w:hAnsi="Arial"/>
                <w:b/>
                <w:color w:val="000000"/>
                <w:sz w:val="22"/>
                <w:szCs w:val="22"/>
              </w:rPr>
              <w:t>Prosecutor's offices</w:t>
            </w:r>
          </w:p>
        </w:tc>
        <w:tc>
          <w:tcPr>
            <w:tcW w:w="2164" w:type="dxa"/>
            <w:gridSpan w:val="2"/>
            <w:tcBorders>
              <w:top w:val="single" w:sz="8" w:space="0" w:color="A6A6A6"/>
              <w:left w:val="nil"/>
              <w:bottom w:val="single" w:sz="8" w:space="0" w:color="A6A6A6"/>
              <w:right w:val="single" w:sz="8" w:space="0" w:color="A6A6A6"/>
            </w:tcBorders>
            <w:shd w:val="clear" w:color="auto" w:fill="auto"/>
            <w:vAlign w:val="center"/>
            <w:hideMark/>
          </w:tcPr>
          <w:p w14:paraId="458EEDB4"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Prison sentences</w:t>
            </w:r>
          </w:p>
        </w:tc>
        <w:tc>
          <w:tcPr>
            <w:tcW w:w="2206" w:type="dxa"/>
            <w:gridSpan w:val="2"/>
            <w:tcBorders>
              <w:top w:val="single" w:sz="8" w:space="0" w:color="A6A6A6"/>
              <w:left w:val="nil"/>
              <w:bottom w:val="single" w:sz="8" w:space="0" w:color="A6A6A6"/>
              <w:right w:val="single" w:sz="8" w:space="0" w:color="A6A6A6"/>
            </w:tcBorders>
            <w:shd w:val="clear" w:color="auto" w:fill="auto"/>
            <w:vAlign w:val="center"/>
            <w:hideMark/>
          </w:tcPr>
          <w:p w14:paraId="1741F8D2"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Fines</w:t>
            </w:r>
          </w:p>
        </w:tc>
        <w:tc>
          <w:tcPr>
            <w:tcW w:w="2274" w:type="dxa"/>
            <w:gridSpan w:val="2"/>
            <w:tcBorders>
              <w:top w:val="single" w:sz="8" w:space="0" w:color="A6A6A6"/>
              <w:left w:val="nil"/>
              <w:bottom w:val="single" w:sz="8" w:space="0" w:color="A6A6A6"/>
              <w:right w:val="single" w:sz="8" w:space="0" w:color="A6A6A6"/>
            </w:tcBorders>
            <w:shd w:val="clear" w:color="auto" w:fill="auto"/>
            <w:vAlign w:val="center"/>
            <w:hideMark/>
          </w:tcPr>
          <w:p w14:paraId="58F34F61"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Suspended sentences</w:t>
            </w:r>
          </w:p>
        </w:tc>
      </w:tr>
      <w:tr w:rsidR="003E7651" w:rsidRPr="004B3CF1" w14:paraId="6C09DC0C" w14:textId="77777777" w:rsidTr="003E7651">
        <w:trPr>
          <w:trHeight w:val="345"/>
        </w:trPr>
        <w:tc>
          <w:tcPr>
            <w:tcW w:w="2000" w:type="dxa"/>
            <w:vMerge/>
            <w:tcBorders>
              <w:top w:val="nil"/>
              <w:left w:val="single" w:sz="8" w:space="0" w:color="A6A6A6"/>
              <w:bottom w:val="single" w:sz="8" w:space="0" w:color="A6A6A6"/>
              <w:right w:val="single" w:sz="8" w:space="0" w:color="A6A6A6"/>
            </w:tcBorders>
            <w:shd w:val="clear" w:color="auto" w:fill="auto"/>
            <w:vAlign w:val="center"/>
            <w:hideMark/>
          </w:tcPr>
          <w:p w14:paraId="6DBA92D1" w14:textId="77777777" w:rsidR="003E7651" w:rsidRPr="004B3CF1" w:rsidRDefault="003E7651" w:rsidP="003E7651">
            <w:pPr>
              <w:rPr>
                <w:rFonts w:ascii="Arial" w:hAnsi="Arial" w:cs="Arial"/>
                <w:b/>
                <w:color w:val="000000"/>
                <w:sz w:val="22"/>
                <w:szCs w:val="22"/>
                <w:lang w:eastAsia="bs-Latn-BA"/>
              </w:rPr>
            </w:pPr>
          </w:p>
        </w:tc>
        <w:tc>
          <w:tcPr>
            <w:tcW w:w="1158" w:type="dxa"/>
            <w:tcBorders>
              <w:top w:val="nil"/>
              <w:left w:val="nil"/>
              <w:bottom w:val="single" w:sz="8" w:space="0" w:color="A6A6A6"/>
              <w:right w:val="single" w:sz="8" w:space="0" w:color="A6A6A6"/>
            </w:tcBorders>
            <w:shd w:val="clear" w:color="auto" w:fill="auto"/>
            <w:vAlign w:val="center"/>
            <w:hideMark/>
          </w:tcPr>
          <w:p w14:paraId="299F3DDC"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006" w:type="dxa"/>
            <w:tcBorders>
              <w:top w:val="nil"/>
              <w:left w:val="nil"/>
              <w:bottom w:val="single" w:sz="8" w:space="0" w:color="A6A6A6"/>
              <w:right w:val="single" w:sz="8" w:space="0" w:color="A6A6A6"/>
            </w:tcBorders>
            <w:shd w:val="clear" w:color="auto" w:fill="auto"/>
            <w:vAlign w:val="center"/>
            <w:hideMark/>
          </w:tcPr>
          <w:p w14:paraId="5D14E3FB"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c>
          <w:tcPr>
            <w:tcW w:w="1200" w:type="dxa"/>
            <w:tcBorders>
              <w:top w:val="nil"/>
              <w:left w:val="nil"/>
              <w:bottom w:val="single" w:sz="8" w:space="0" w:color="A6A6A6"/>
              <w:right w:val="single" w:sz="8" w:space="0" w:color="A6A6A6"/>
            </w:tcBorders>
            <w:shd w:val="clear" w:color="auto" w:fill="auto"/>
            <w:vAlign w:val="center"/>
            <w:hideMark/>
          </w:tcPr>
          <w:p w14:paraId="057B03D5"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006" w:type="dxa"/>
            <w:tcBorders>
              <w:top w:val="nil"/>
              <w:left w:val="nil"/>
              <w:bottom w:val="single" w:sz="8" w:space="0" w:color="A6A6A6"/>
              <w:right w:val="single" w:sz="8" w:space="0" w:color="A6A6A6"/>
            </w:tcBorders>
            <w:shd w:val="clear" w:color="auto" w:fill="auto"/>
            <w:vAlign w:val="center"/>
            <w:hideMark/>
          </w:tcPr>
          <w:p w14:paraId="5B4EA837"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c>
          <w:tcPr>
            <w:tcW w:w="1200" w:type="dxa"/>
            <w:tcBorders>
              <w:top w:val="nil"/>
              <w:left w:val="nil"/>
              <w:bottom w:val="single" w:sz="8" w:space="0" w:color="A6A6A6"/>
              <w:right w:val="single" w:sz="8" w:space="0" w:color="A6A6A6"/>
            </w:tcBorders>
            <w:shd w:val="clear" w:color="auto" w:fill="auto"/>
            <w:vAlign w:val="center"/>
            <w:hideMark/>
          </w:tcPr>
          <w:p w14:paraId="73983BC4"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074" w:type="dxa"/>
            <w:tcBorders>
              <w:top w:val="nil"/>
              <w:left w:val="nil"/>
              <w:bottom w:val="single" w:sz="8" w:space="0" w:color="A6A6A6"/>
              <w:right w:val="single" w:sz="8" w:space="0" w:color="A6A6A6"/>
            </w:tcBorders>
            <w:shd w:val="clear" w:color="auto" w:fill="auto"/>
            <w:vAlign w:val="center"/>
            <w:hideMark/>
          </w:tcPr>
          <w:p w14:paraId="3239BCB9"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r>
      <w:tr w:rsidR="003E7651" w:rsidRPr="004B3CF1" w14:paraId="5B46A33D" w14:textId="77777777" w:rsidTr="003E7651">
        <w:trPr>
          <w:trHeight w:val="315"/>
        </w:trPr>
        <w:tc>
          <w:tcPr>
            <w:tcW w:w="2000" w:type="dxa"/>
            <w:tcBorders>
              <w:top w:val="nil"/>
              <w:left w:val="single" w:sz="8" w:space="0" w:color="A6A6A6"/>
              <w:bottom w:val="single" w:sz="8" w:space="0" w:color="A6A6A6"/>
              <w:right w:val="single" w:sz="8" w:space="0" w:color="A6A6A6"/>
            </w:tcBorders>
            <w:shd w:val="clear" w:color="auto" w:fill="auto"/>
            <w:noWrap/>
            <w:vAlign w:val="center"/>
            <w:hideMark/>
          </w:tcPr>
          <w:p w14:paraId="514BA634"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BiH</w:t>
            </w:r>
          </w:p>
        </w:tc>
        <w:tc>
          <w:tcPr>
            <w:tcW w:w="1158" w:type="dxa"/>
            <w:tcBorders>
              <w:top w:val="nil"/>
              <w:left w:val="nil"/>
              <w:bottom w:val="single" w:sz="8" w:space="0" w:color="A6A6A6"/>
              <w:right w:val="single" w:sz="8" w:space="0" w:color="A6A6A6"/>
            </w:tcBorders>
            <w:shd w:val="clear" w:color="auto" w:fill="auto"/>
            <w:noWrap/>
            <w:hideMark/>
          </w:tcPr>
          <w:p w14:paraId="5E33FDD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56</w:t>
            </w:r>
          </w:p>
        </w:tc>
        <w:tc>
          <w:tcPr>
            <w:tcW w:w="1006" w:type="dxa"/>
            <w:tcBorders>
              <w:top w:val="nil"/>
              <w:left w:val="nil"/>
              <w:bottom w:val="single" w:sz="8" w:space="0" w:color="A6A6A6"/>
              <w:right w:val="single" w:sz="8" w:space="0" w:color="A6A6A6"/>
            </w:tcBorders>
            <w:shd w:val="clear" w:color="auto" w:fill="auto"/>
            <w:noWrap/>
            <w:hideMark/>
          </w:tcPr>
          <w:p w14:paraId="0B9D2E7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114</w:t>
            </w:r>
          </w:p>
        </w:tc>
        <w:tc>
          <w:tcPr>
            <w:tcW w:w="1200" w:type="dxa"/>
            <w:tcBorders>
              <w:top w:val="nil"/>
              <w:left w:val="nil"/>
              <w:bottom w:val="single" w:sz="8" w:space="0" w:color="A6A6A6"/>
              <w:right w:val="single" w:sz="8" w:space="0" w:color="A6A6A6"/>
            </w:tcBorders>
            <w:shd w:val="clear" w:color="auto" w:fill="auto"/>
            <w:noWrap/>
            <w:hideMark/>
          </w:tcPr>
          <w:p w14:paraId="280C688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w:t>
            </w:r>
          </w:p>
        </w:tc>
        <w:tc>
          <w:tcPr>
            <w:tcW w:w="1006" w:type="dxa"/>
            <w:tcBorders>
              <w:top w:val="nil"/>
              <w:left w:val="nil"/>
              <w:bottom w:val="single" w:sz="8" w:space="0" w:color="A6A6A6"/>
              <w:right w:val="single" w:sz="8" w:space="0" w:color="A6A6A6"/>
            </w:tcBorders>
            <w:shd w:val="clear" w:color="auto" w:fill="auto"/>
            <w:noWrap/>
            <w:hideMark/>
          </w:tcPr>
          <w:p w14:paraId="7F126F42"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10</w:t>
            </w:r>
          </w:p>
        </w:tc>
        <w:tc>
          <w:tcPr>
            <w:tcW w:w="1200" w:type="dxa"/>
            <w:tcBorders>
              <w:top w:val="nil"/>
              <w:left w:val="nil"/>
              <w:bottom w:val="single" w:sz="8" w:space="0" w:color="A6A6A6"/>
              <w:right w:val="single" w:sz="8" w:space="0" w:color="A6A6A6"/>
            </w:tcBorders>
            <w:shd w:val="clear" w:color="auto" w:fill="auto"/>
            <w:noWrap/>
            <w:hideMark/>
          </w:tcPr>
          <w:p w14:paraId="014338F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89</w:t>
            </w:r>
          </w:p>
        </w:tc>
        <w:tc>
          <w:tcPr>
            <w:tcW w:w="1074" w:type="dxa"/>
            <w:tcBorders>
              <w:top w:val="nil"/>
              <w:left w:val="nil"/>
              <w:bottom w:val="single" w:sz="8" w:space="0" w:color="A6A6A6"/>
              <w:right w:val="single" w:sz="8" w:space="0" w:color="A6A6A6"/>
            </w:tcBorders>
            <w:shd w:val="clear" w:color="auto" w:fill="auto"/>
            <w:noWrap/>
            <w:hideMark/>
          </w:tcPr>
          <w:p w14:paraId="0AEDAE5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129</w:t>
            </w:r>
          </w:p>
        </w:tc>
      </w:tr>
      <w:tr w:rsidR="003E7651" w:rsidRPr="004B3CF1" w14:paraId="1248B4FE" w14:textId="77777777" w:rsidTr="003E7651">
        <w:trPr>
          <w:trHeight w:val="315"/>
        </w:trPr>
        <w:tc>
          <w:tcPr>
            <w:tcW w:w="2000" w:type="dxa"/>
            <w:tcBorders>
              <w:top w:val="nil"/>
              <w:left w:val="single" w:sz="8" w:space="0" w:color="A6A6A6"/>
              <w:bottom w:val="single" w:sz="8" w:space="0" w:color="A6A6A6"/>
              <w:right w:val="single" w:sz="8" w:space="0" w:color="A6A6A6"/>
            </w:tcBorders>
            <w:shd w:val="clear" w:color="auto" w:fill="auto"/>
            <w:noWrap/>
            <w:vAlign w:val="center"/>
            <w:hideMark/>
          </w:tcPr>
          <w:p w14:paraId="3FF139C2"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FBiH:</w:t>
            </w:r>
          </w:p>
        </w:tc>
        <w:tc>
          <w:tcPr>
            <w:tcW w:w="1158" w:type="dxa"/>
            <w:tcBorders>
              <w:top w:val="nil"/>
              <w:left w:val="nil"/>
              <w:bottom w:val="single" w:sz="8" w:space="0" w:color="A6A6A6"/>
              <w:right w:val="single" w:sz="8" w:space="0" w:color="A6A6A6"/>
            </w:tcBorders>
            <w:shd w:val="clear" w:color="auto" w:fill="auto"/>
            <w:noWrap/>
            <w:hideMark/>
          </w:tcPr>
          <w:p w14:paraId="24419A8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1,722</w:t>
            </w:r>
          </w:p>
        </w:tc>
        <w:tc>
          <w:tcPr>
            <w:tcW w:w="1006" w:type="dxa"/>
            <w:tcBorders>
              <w:top w:val="nil"/>
              <w:left w:val="nil"/>
              <w:bottom w:val="single" w:sz="8" w:space="0" w:color="A6A6A6"/>
              <w:right w:val="single" w:sz="8" w:space="0" w:color="A6A6A6"/>
            </w:tcBorders>
            <w:shd w:val="clear" w:color="auto" w:fill="auto"/>
            <w:noWrap/>
            <w:hideMark/>
          </w:tcPr>
          <w:p w14:paraId="03D0DD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2,079</w:t>
            </w:r>
          </w:p>
        </w:tc>
        <w:tc>
          <w:tcPr>
            <w:tcW w:w="1200" w:type="dxa"/>
            <w:tcBorders>
              <w:top w:val="nil"/>
              <w:left w:val="nil"/>
              <w:bottom w:val="single" w:sz="8" w:space="0" w:color="A6A6A6"/>
              <w:right w:val="single" w:sz="8" w:space="0" w:color="A6A6A6"/>
            </w:tcBorders>
            <w:shd w:val="clear" w:color="auto" w:fill="auto"/>
            <w:noWrap/>
            <w:hideMark/>
          </w:tcPr>
          <w:p w14:paraId="7EDC5E6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331</w:t>
            </w:r>
          </w:p>
        </w:tc>
        <w:tc>
          <w:tcPr>
            <w:tcW w:w="1006" w:type="dxa"/>
            <w:tcBorders>
              <w:top w:val="nil"/>
              <w:left w:val="nil"/>
              <w:bottom w:val="single" w:sz="8" w:space="0" w:color="A6A6A6"/>
              <w:right w:val="single" w:sz="8" w:space="0" w:color="A6A6A6"/>
            </w:tcBorders>
            <w:shd w:val="clear" w:color="auto" w:fill="auto"/>
            <w:noWrap/>
            <w:hideMark/>
          </w:tcPr>
          <w:p w14:paraId="671F27B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391</w:t>
            </w:r>
          </w:p>
        </w:tc>
        <w:tc>
          <w:tcPr>
            <w:tcW w:w="1200" w:type="dxa"/>
            <w:tcBorders>
              <w:top w:val="nil"/>
              <w:left w:val="nil"/>
              <w:bottom w:val="single" w:sz="8" w:space="0" w:color="A6A6A6"/>
              <w:right w:val="single" w:sz="8" w:space="0" w:color="A6A6A6"/>
            </w:tcBorders>
            <w:shd w:val="clear" w:color="auto" w:fill="auto"/>
            <w:noWrap/>
            <w:hideMark/>
          </w:tcPr>
          <w:p w14:paraId="31440A5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4,664</w:t>
            </w:r>
          </w:p>
        </w:tc>
        <w:tc>
          <w:tcPr>
            <w:tcW w:w="1074" w:type="dxa"/>
            <w:tcBorders>
              <w:top w:val="nil"/>
              <w:left w:val="nil"/>
              <w:bottom w:val="single" w:sz="8" w:space="0" w:color="A6A6A6"/>
              <w:right w:val="single" w:sz="8" w:space="0" w:color="A6A6A6"/>
            </w:tcBorders>
            <w:shd w:val="clear" w:color="auto" w:fill="auto"/>
            <w:noWrap/>
            <w:hideMark/>
          </w:tcPr>
          <w:p w14:paraId="1A4CE06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5,336</w:t>
            </w:r>
          </w:p>
        </w:tc>
      </w:tr>
      <w:tr w:rsidR="003E7651" w:rsidRPr="004B3CF1" w14:paraId="2C219203" w14:textId="77777777" w:rsidTr="003E7651">
        <w:trPr>
          <w:trHeight w:val="315"/>
        </w:trPr>
        <w:tc>
          <w:tcPr>
            <w:tcW w:w="2000" w:type="dxa"/>
            <w:tcBorders>
              <w:top w:val="nil"/>
              <w:left w:val="single" w:sz="8" w:space="0" w:color="A6A6A6"/>
              <w:bottom w:val="single" w:sz="8" w:space="0" w:color="A6A6A6"/>
              <w:right w:val="single" w:sz="8" w:space="0" w:color="A6A6A6"/>
            </w:tcBorders>
            <w:shd w:val="clear" w:color="auto" w:fill="auto"/>
            <w:noWrap/>
            <w:vAlign w:val="center"/>
            <w:hideMark/>
          </w:tcPr>
          <w:p w14:paraId="0A544041"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RS</w:t>
            </w:r>
          </w:p>
        </w:tc>
        <w:tc>
          <w:tcPr>
            <w:tcW w:w="1158" w:type="dxa"/>
            <w:tcBorders>
              <w:top w:val="nil"/>
              <w:left w:val="nil"/>
              <w:bottom w:val="single" w:sz="8" w:space="0" w:color="A6A6A6"/>
              <w:right w:val="single" w:sz="8" w:space="0" w:color="A6A6A6"/>
            </w:tcBorders>
            <w:shd w:val="clear" w:color="auto" w:fill="auto"/>
            <w:noWrap/>
            <w:hideMark/>
          </w:tcPr>
          <w:p w14:paraId="5D31B82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398</w:t>
            </w:r>
          </w:p>
        </w:tc>
        <w:tc>
          <w:tcPr>
            <w:tcW w:w="1006" w:type="dxa"/>
            <w:tcBorders>
              <w:top w:val="nil"/>
              <w:left w:val="nil"/>
              <w:bottom w:val="single" w:sz="8" w:space="0" w:color="A6A6A6"/>
              <w:right w:val="single" w:sz="8" w:space="0" w:color="A6A6A6"/>
            </w:tcBorders>
            <w:shd w:val="clear" w:color="auto" w:fill="auto"/>
            <w:noWrap/>
            <w:hideMark/>
          </w:tcPr>
          <w:p w14:paraId="5771C4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493</w:t>
            </w:r>
          </w:p>
        </w:tc>
        <w:tc>
          <w:tcPr>
            <w:tcW w:w="1200" w:type="dxa"/>
            <w:tcBorders>
              <w:top w:val="nil"/>
              <w:left w:val="nil"/>
              <w:bottom w:val="single" w:sz="8" w:space="0" w:color="A6A6A6"/>
              <w:right w:val="single" w:sz="8" w:space="0" w:color="A6A6A6"/>
            </w:tcBorders>
            <w:shd w:val="clear" w:color="auto" w:fill="auto"/>
            <w:noWrap/>
            <w:hideMark/>
          </w:tcPr>
          <w:p w14:paraId="429A74A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837</w:t>
            </w:r>
          </w:p>
        </w:tc>
        <w:tc>
          <w:tcPr>
            <w:tcW w:w="1006" w:type="dxa"/>
            <w:tcBorders>
              <w:top w:val="nil"/>
              <w:left w:val="nil"/>
              <w:bottom w:val="single" w:sz="8" w:space="0" w:color="A6A6A6"/>
              <w:right w:val="single" w:sz="8" w:space="0" w:color="A6A6A6"/>
            </w:tcBorders>
            <w:shd w:val="clear" w:color="auto" w:fill="auto"/>
            <w:noWrap/>
            <w:hideMark/>
          </w:tcPr>
          <w:p w14:paraId="3A7A1C1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965</w:t>
            </w:r>
          </w:p>
        </w:tc>
        <w:tc>
          <w:tcPr>
            <w:tcW w:w="1200" w:type="dxa"/>
            <w:tcBorders>
              <w:top w:val="nil"/>
              <w:left w:val="nil"/>
              <w:bottom w:val="single" w:sz="8" w:space="0" w:color="A6A6A6"/>
              <w:right w:val="single" w:sz="8" w:space="0" w:color="A6A6A6"/>
            </w:tcBorders>
            <w:shd w:val="clear" w:color="auto" w:fill="auto"/>
            <w:noWrap/>
            <w:hideMark/>
          </w:tcPr>
          <w:p w14:paraId="7995382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1,243</w:t>
            </w:r>
          </w:p>
        </w:tc>
        <w:tc>
          <w:tcPr>
            <w:tcW w:w="1074" w:type="dxa"/>
            <w:tcBorders>
              <w:top w:val="nil"/>
              <w:left w:val="nil"/>
              <w:bottom w:val="single" w:sz="8" w:space="0" w:color="A6A6A6"/>
              <w:right w:val="single" w:sz="8" w:space="0" w:color="A6A6A6"/>
            </w:tcBorders>
            <w:shd w:val="clear" w:color="auto" w:fill="auto"/>
            <w:noWrap/>
            <w:hideMark/>
          </w:tcPr>
          <w:p w14:paraId="6C985C8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1,393</w:t>
            </w:r>
          </w:p>
        </w:tc>
      </w:tr>
      <w:tr w:rsidR="003E7651" w:rsidRPr="004B3CF1" w14:paraId="5F463BBE" w14:textId="77777777" w:rsidTr="003E7651">
        <w:trPr>
          <w:trHeight w:val="315"/>
        </w:trPr>
        <w:tc>
          <w:tcPr>
            <w:tcW w:w="2000" w:type="dxa"/>
            <w:tcBorders>
              <w:top w:val="nil"/>
              <w:left w:val="single" w:sz="8" w:space="0" w:color="A6A6A6"/>
              <w:bottom w:val="single" w:sz="8" w:space="0" w:color="A6A6A6"/>
              <w:right w:val="single" w:sz="8" w:space="0" w:color="A6A6A6"/>
            </w:tcBorders>
            <w:shd w:val="clear" w:color="auto" w:fill="auto"/>
            <w:noWrap/>
            <w:vAlign w:val="center"/>
            <w:hideMark/>
          </w:tcPr>
          <w:p w14:paraId="1EEB4C24" w14:textId="77777777" w:rsidR="003E7651" w:rsidRPr="004B3CF1" w:rsidRDefault="003E7651" w:rsidP="003E7651">
            <w:pPr>
              <w:rPr>
                <w:rFonts w:ascii="Arial" w:hAnsi="Arial" w:cs="Arial"/>
                <w:color w:val="000000"/>
                <w:sz w:val="22"/>
                <w:szCs w:val="22"/>
              </w:rPr>
            </w:pPr>
            <w:r w:rsidRPr="004B3CF1">
              <w:rPr>
                <w:rFonts w:ascii="Arial" w:hAnsi="Arial"/>
                <w:color w:val="000000"/>
                <w:sz w:val="22"/>
                <w:szCs w:val="22"/>
              </w:rPr>
              <w:t>BD BiH</w:t>
            </w:r>
          </w:p>
        </w:tc>
        <w:tc>
          <w:tcPr>
            <w:tcW w:w="1158" w:type="dxa"/>
            <w:tcBorders>
              <w:top w:val="nil"/>
              <w:left w:val="nil"/>
              <w:bottom w:val="single" w:sz="8" w:space="0" w:color="A6A6A6"/>
              <w:right w:val="single" w:sz="8" w:space="0" w:color="A6A6A6"/>
            </w:tcBorders>
            <w:shd w:val="clear" w:color="auto" w:fill="auto"/>
            <w:noWrap/>
            <w:hideMark/>
          </w:tcPr>
          <w:p w14:paraId="43D4CCC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94</w:t>
            </w:r>
          </w:p>
        </w:tc>
        <w:tc>
          <w:tcPr>
            <w:tcW w:w="1006" w:type="dxa"/>
            <w:tcBorders>
              <w:top w:val="nil"/>
              <w:left w:val="nil"/>
              <w:bottom w:val="single" w:sz="8" w:space="0" w:color="A6A6A6"/>
              <w:right w:val="single" w:sz="8" w:space="0" w:color="A6A6A6"/>
            </w:tcBorders>
            <w:shd w:val="clear" w:color="auto" w:fill="auto"/>
            <w:noWrap/>
            <w:hideMark/>
          </w:tcPr>
          <w:p w14:paraId="55BFF37C"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108</w:t>
            </w:r>
          </w:p>
        </w:tc>
        <w:tc>
          <w:tcPr>
            <w:tcW w:w="1200" w:type="dxa"/>
            <w:tcBorders>
              <w:top w:val="nil"/>
              <w:left w:val="nil"/>
              <w:bottom w:val="single" w:sz="8" w:space="0" w:color="A6A6A6"/>
              <w:right w:val="single" w:sz="8" w:space="0" w:color="A6A6A6"/>
            </w:tcBorders>
            <w:shd w:val="clear" w:color="auto" w:fill="auto"/>
            <w:noWrap/>
            <w:hideMark/>
          </w:tcPr>
          <w:p w14:paraId="3FECC10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w:t>
            </w:r>
          </w:p>
        </w:tc>
        <w:tc>
          <w:tcPr>
            <w:tcW w:w="1006" w:type="dxa"/>
            <w:tcBorders>
              <w:top w:val="nil"/>
              <w:left w:val="nil"/>
              <w:bottom w:val="single" w:sz="8" w:space="0" w:color="A6A6A6"/>
              <w:right w:val="single" w:sz="8" w:space="0" w:color="A6A6A6"/>
            </w:tcBorders>
            <w:shd w:val="clear" w:color="auto" w:fill="auto"/>
            <w:noWrap/>
            <w:hideMark/>
          </w:tcPr>
          <w:p w14:paraId="78B6E3DD"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24</w:t>
            </w:r>
          </w:p>
        </w:tc>
        <w:tc>
          <w:tcPr>
            <w:tcW w:w="1200" w:type="dxa"/>
            <w:tcBorders>
              <w:top w:val="nil"/>
              <w:left w:val="nil"/>
              <w:bottom w:val="single" w:sz="8" w:space="0" w:color="A6A6A6"/>
              <w:right w:val="single" w:sz="8" w:space="0" w:color="A6A6A6"/>
            </w:tcBorders>
            <w:shd w:val="clear" w:color="auto" w:fill="auto"/>
            <w:noWrap/>
            <w:hideMark/>
          </w:tcPr>
          <w:p w14:paraId="1B5094D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77</w:t>
            </w:r>
          </w:p>
        </w:tc>
        <w:tc>
          <w:tcPr>
            <w:tcW w:w="1074" w:type="dxa"/>
            <w:tcBorders>
              <w:top w:val="nil"/>
              <w:left w:val="nil"/>
              <w:bottom w:val="single" w:sz="8" w:space="0" w:color="A6A6A6"/>
              <w:right w:val="single" w:sz="8" w:space="0" w:color="A6A6A6"/>
            </w:tcBorders>
            <w:shd w:val="clear" w:color="auto" w:fill="auto"/>
            <w:noWrap/>
            <w:hideMark/>
          </w:tcPr>
          <w:p w14:paraId="7D69CF64"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86</w:t>
            </w:r>
          </w:p>
        </w:tc>
      </w:tr>
      <w:tr w:rsidR="003E7651" w:rsidRPr="004B3CF1" w14:paraId="28D713DA" w14:textId="77777777" w:rsidTr="003E7651">
        <w:trPr>
          <w:trHeight w:val="315"/>
        </w:trPr>
        <w:tc>
          <w:tcPr>
            <w:tcW w:w="2000" w:type="dxa"/>
            <w:tcBorders>
              <w:top w:val="nil"/>
              <w:left w:val="single" w:sz="8" w:space="0" w:color="A6A6A6"/>
              <w:bottom w:val="single" w:sz="8" w:space="0" w:color="A6A6A6"/>
              <w:right w:val="single" w:sz="8" w:space="0" w:color="A6A6A6"/>
            </w:tcBorders>
            <w:shd w:val="clear" w:color="auto" w:fill="auto"/>
            <w:noWrap/>
            <w:vAlign w:val="center"/>
            <w:hideMark/>
          </w:tcPr>
          <w:p w14:paraId="246ED126" w14:textId="77777777" w:rsidR="003E7651" w:rsidRPr="004B3CF1" w:rsidRDefault="003E7651" w:rsidP="003E7651">
            <w:pPr>
              <w:rPr>
                <w:rFonts w:ascii="Arial" w:hAnsi="Arial" w:cs="Arial"/>
                <w:b/>
                <w:bCs/>
                <w:color w:val="000000"/>
                <w:sz w:val="22"/>
                <w:szCs w:val="22"/>
              </w:rPr>
            </w:pPr>
            <w:r w:rsidRPr="004B3CF1">
              <w:rPr>
                <w:rFonts w:ascii="Arial" w:hAnsi="Arial"/>
                <w:b/>
                <w:bCs/>
                <w:color w:val="000000"/>
                <w:sz w:val="22"/>
                <w:szCs w:val="22"/>
              </w:rPr>
              <w:t>TOTAL</w:t>
            </w:r>
          </w:p>
        </w:tc>
        <w:tc>
          <w:tcPr>
            <w:tcW w:w="1158" w:type="dxa"/>
            <w:tcBorders>
              <w:top w:val="nil"/>
              <w:left w:val="nil"/>
              <w:bottom w:val="single" w:sz="8" w:space="0" w:color="A6A6A6"/>
              <w:right w:val="single" w:sz="8" w:space="0" w:color="A6A6A6"/>
            </w:tcBorders>
            <w:shd w:val="clear" w:color="auto" w:fill="auto"/>
            <w:noWrap/>
            <w:hideMark/>
          </w:tcPr>
          <w:p w14:paraId="4A5A729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2,270</w:t>
            </w:r>
          </w:p>
        </w:tc>
        <w:tc>
          <w:tcPr>
            <w:tcW w:w="1006" w:type="dxa"/>
            <w:tcBorders>
              <w:top w:val="nil"/>
              <w:left w:val="nil"/>
              <w:bottom w:val="single" w:sz="8" w:space="0" w:color="A6A6A6"/>
              <w:right w:val="single" w:sz="8" w:space="0" w:color="A6A6A6"/>
            </w:tcBorders>
            <w:shd w:val="clear" w:color="auto" w:fill="auto"/>
            <w:noWrap/>
            <w:hideMark/>
          </w:tcPr>
          <w:p w14:paraId="0AEA4E18"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2,794</w:t>
            </w:r>
          </w:p>
        </w:tc>
        <w:tc>
          <w:tcPr>
            <w:tcW w:w="1200" w:type="dxa"/>
            <w:tcBorders>
              <w:top w:val="nil"/>
              <w:left w:val="nil"/>
              <w:bottom w:val="single" w:sz="8" w:space="0" w:color="A6A6A6"/>
              <w:right w:val="single" w:sz="8" w:space="0" w:color="A6A6A6"/>
            </w:tcBorders>
            <w:shd w:val="clear" w:color="auto" w:fill="auto"/>
            <w:noWrap/>
            <w:hideMark/>
          </w:tcPr>
          <w:p w14:paraId="59C29648"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1,189</w:t>
            </w:r>
          </w:p>
        </w:tc>
        <w:tc>
          <w:tcPr>
            <w:tcW w:w="1006" w:type="dxa"/>
            <w:tcBorders>
              <w:top w:val="nil"/>
              <w:left w:val="nil"/>
              <w:bottom w:val="single" w:sz="8" w:space="0" w:color="A6A6A6"/>
              <w:right w:val="single" w:sz="8" w:space="0" w:color="A6A6A6"/>
            </w:tcBorders>
            <w:shd w:val="clear" w:color="auto" w:fill="auto"/>
            <w:noWrap/>
            <w:hideMark/>
          </w:tcPr>
          <w:p w14:paraId="190C1E6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1,390</w:t>
            </w:r>
          </w:p>
        </w:tc>
        <w:tc>
          <w:tcPr>
            <w:tcW w:w="1200" w:type="dxa"/>
            <w:tcBorders>
              <w:top w:val="nil"/>
              <w:left w:val="nil"/>
              <w:bottom w:val="single" w:sz="8" w:space="0" w:color="A6A6A6"/>
              <w:right w:val="single" w:sz="8" w:space="0" w:color="A6A6A6"/>
            </w:tcBorders>
            <w:shd w:val="clear" w:color="auto" w:fill="auto"/>
            <w:noWrap/>
            <w:hideMark/>
          </w:tcPr>
          <w:p w14:paraId="00F70B8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6,073</w:t>
            </w:r>
          </w:p>
        </w:tc>
        <w:tc>
          <w:tcPr>
            <w:tcW w:w="1074" w:type="dxa"/>
            <w:tcBorders>
              <w:top w:val="nil"/>
              <w:left w:val="nil"/>
              <w:bottom w:val="single" w:sz="8" w:space="0" w:color="A6A6A6"/>
              <w:right w:val="single" w:sz="8" w:space="0" w:color="A6A6A6"/>
            </w:tcBorders>
            <w:shd w:val="clear" w:color="auto" w:fill="auto"/>
            <w:noWrap/>
            <w:hideMark/>
          </w:tcPr>
          <w:p w14:paraId="2081A65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6,944</w:t>
            </w:r>
          </w:p>
        </w:tc>
      </w:tr>
    </w:tbl>
    <w:p w14:paraId="5E2152AB" w14:textId="77777777" w:rsidR="003E7651" w:rsidRPr="004B3CF1" w:rsidRDefault="003E7651" w:rsidP="003E7651">
      <w:pPr>
        <w:pStyle w:val="Tekst"/>
      </w:pPr>
    </w:p>
    <w:p w14:paraId="3F6D62B8" w14:textId="77777777" w:rsidR="003E7651" w:rsidRPr="004B3CF1" w:rsidRDefault="003E7651" w:rsidP="003E7651">
      <w:pPr>
        <w:pStyle w:val="Tekst"/>
      </w:pPr>
      <w:r w:rsidRPr="004B3CF1">
        <w:t>The analysis of suspended sentences shows that 83% of suspended sentences were imposed for the following criminal offences: possession, sale and enabling enjoyment of narcotic drugs (21%), theft and aggravated theft (12%), endangering public transport (9%), inflicting bodily injuries (8%), domestic violence (8%), dam</w:t>
      </w:r>
      <w:r>
        <w:t>aging someone else's property (</w:t>
      </w:r>
      <w:r w:rsidRPr="004B3CF1">
        <w:t xml:space="preserve">4%), forgery of documents security(4%), endangering security (4%), illegal possession, manufacturing and trade of weapons or explosives (3%), forest theft (3%), violent behaviour (3%), as well as evasion and fraud (2% </w:t>
      </w:r>
      <w:r>
        <w:t>each). For other crimes, the</w:t>
      </w:r>
      <w:r w:rsidRPr="004B3CF1">
        <w:t xml:space="preserve"> percentage of the imposed suspended sentences, per offence, is less than 1% of total suspended sentences imposed.</w:t>
      </w:r>
    </w:p>
    <w:p w14:paraId="627100E9" w14:textId="77777777" w:rsidR="003E7651" w:rsidRPr="004B3CF1" w:rsidRDefault="003E7651" w:rsidP="003E7651">
      <w:pPr>
        <w:rPr>
          <w:lang w:eastAsia="hr-HR"/>
        </w:rPr>
      </w:pPr>
    </w:p>
    <w:p w14:paraId="243CE335" w14:textId="77777777" w:rsidR="003E7651" w:rsidRPr="004B3CF1" w:rsidRDefault="003E7651" w:rsidP="003E7651">
      <w:pPr>
        <w:pStyle w:val="TREINASLOV"/>
      </w:pPr>
      <w:bookmarkStart w:id="237" w:name="_Toc97722105"/>
      <w:bookmarkStart w:id="238" w:name="_Toc101944285"/>
      <w:bookmarkStart w:id="239" w:name="_Toc112852491"/>
      <w:r w:rsidRPr="004B3CF1">
        <w:lastRenderedPageBreak/>
        <w:t>Backlog</w:t>
      </w:r>
      <w:r w:rsidRPr="004B3CF1">
        <w:rPr>
          <w:rStyle w:val="FootnoteReference"/>
        </w:rPr>
        <w:footnoteReference w:id="25"/>
      </w:r>
      <w:bookmarkEnd w:id="237"/>
      <w:bookmarkEnd w:id="238"/>
      <w:bookmarkEnd w:id="239"/>
    </w:p>
    <w:p w14:paraId="4EE525B2" w14:textId="77777777" w:rsidR="003E7651" w:rsidRPr="004B3CF1" w:rsidRDefault="003E7651" w:rsidP="003E7651">
      <w:pPr>
        <w:pStyle w:val="Tekst"/>
      </w:pPr>
      <w:r w:rsidRPr="004B3CF1">
        <w:t>In 2021, the total number of pending Kt cases (pending reports and investigations) against known persons suspected of committing a crime increased by 290 cases or 2%, and the number of suspects in pending cases increased by 928 persons or 3%. An increase in the number of pending cases of 481 cases or 9% was observed at the level of district prosecutor's offices, while a slight decrease by 41 cases or 3% of pending cases was observed in the Prosecutor's Office of BiH and in the cantonal prosecutor's office by 151 cases or 2%. The number of pending cases in the Prosecutor's Office of the Brcko District of BiH remained at 2020 level.</w:t>
      </w:r>
    </w:p>
    <w:p w14:paraId="47E3F568" w14:textId="77777777" w:rsidR="003E7651" w:rsidRPr="004B3CF1" w:rsidRDefault="003E7651" w:rsidP="003E7651">
      <w:pPr>
        <w:pStyle w:val="Tekst"/>
        <w:rPr>
          <w:rFonts w:cs="Arial"/>
        </w:rPr>
      </w:pPr>
    </w:p>
    <w:p w14:paraId="0F4A6529"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19</w:t>
      </w:r>
      <w:r w:rsidR="006D1459">
        <w:fldChar w:fldCharType="end"/>
      </w:r>
      <w:r w:rsidRPr="004B3CF1">
        <w:t>: Backlog</w:t>
      </w:r>
    </w:p>
    <w:tbl>
      <w:tblPr>
        <w:tblW w:w="8580" w:type="dxa"/>
        <w:tblInd w:w="-10" w:type="dxa"/>
        <w:tblLook w:val="04A0" w:firstRow="1" w:lastRow="0" w:firstColumn="1" w:lastColumn="0" w:noHBand="0" w:noVBand="1"/>
      </w:tblPr>
      <w:tblGrid>
        <w:gridCol w:w="2103"/>
        <w:gridCol w:w="1158"/>
        <w:gridCol w:w="1239"/>
        <w:gridCol w:w="1020"/>
        <w:gridCol w:w="1020"/>
        <w:gridCol w:w="1020"/>
        <w:gridCol w:w="1020"/>
      </w:tblGrid>
      <w:tr w:rsidR="003E7651" w:rsidRPr="004B3CF1" w14:paraId="64A9820C" w14:textId="77777777" w:rsidTr="003E7651">
        <w:trPr>
          <w:trHeight w:val="675"/>
        </w:trPr>
        <w:tc>
          <w:tcPr>
            <w:tcW w:w="2103"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34178939" w14:textId="77777777" w:rsidR="003E7651" w:rsidRPr="004B3CF1" w:rsidRDefault="003E7651" w:rsidP="003E7651">
            <w:pPr>
              <w:rPr>
                <w:rFonts w:ascii="Arial" w:hAnsi="Arial" w:cs="Arial"/>
                <w:b/>
                <w:color w:val="000000"/>
                <w:sz w:val="22"/>
              </w:rPr>
            </w:pPr>
            <w:r w:rsidRPr="004B3CF1">
              <w:rPr>
                <w:rFonts w:ascii="Arial" w:hAnsi="Arial"/>
                <w:b/>
                <w:color w:val="000000"/>
                <w:sz w:val="22"/>
              </w:rPr>
              <w:t>Prosecutor's offices</w:t>
            </w:r>
          </w:p>
        </w:tc>
        <w:tc>
          <w:tcPr>
            <w:tcW w:w="2397" w:type="dxa"/>
            <w:gridSpan w:val="2"/>
            <w:tcBorders>
              <w:top w:val="single" w:sz="8" w:space="0" w:color="A6A6A6"/>
              <w:left w:val="nil"/>
              <w:bottom w:val="single" w:sz="8" w:space="0" w:color="A6A6A6"/>
              <w:right w:val="single" w:sz="8" w:space="0" w:color="A6A6A6"/>
            </w:tcBorders>
            <w:shd w:val="clear" w:color="auto" w:fill="auto"/>
            <w:vAlign w:val="center"/>
            <w:hideMark/>
          </w:tcPr>
          <w:p w14:paraId="05F81372" w14:textId="77777777" w:rsidR="003E7651" w:rsidRPr="004B3CF1" w:rsidRDefault="003E7651" w:rsidP="003E7651">
            <w:pPr>
              <w:jc w:val="center"/>
              <w:rPr>
                <w:rFonts w:ascii="Arial" w:hAnsi="Arial" w:cs="Arial"/>
                <w:b/>
                <w:color w:val="000000"/>
                <w:sz w:val="22"/>
              </w:rPr>
            </w:pPr>
            <w:r w:rsidRPr="004B3CF1">
              <w:rPr>
                <w:rFonts w:ascii="Arial" w:hAnsi="Arial"/>
                <w:b/>
                <w:color w:val="000000"/>
                <w:sz w:val="22"/>
              </w:rPr>
              <w:t>Number of pending cases as at 31/12/2021</w:t>
            </w:r>
          </w:p>
        </w:tc>
        <w:tc>
          <w:tcPr>
            <w:tcW w:w="4080" w:type="dxa"/>
            <w:gridSpan w:val="4"/>
            <w:tcBorders>
              <w:top w:val="single" w:sz="8" w:space="0" w:color="A6A6A6"/>
              <w:left w:val="nil"/>
              <w:bottom w:val="single" w:sz="8" w:space="0" w:color="A6A6A6"/>
              <w:right w:val="single" w:sz="8" w:space="0" w:color="A6A6A6"/>
            </w:tcBorders>
            <w:shd w:val="clear" w:color="auto" w:fill="auto"/>
            <w:vAlign w:val="center"/>
            <w:hideMark/>
          </w:tcPr>
          <w:p w14:paraId="190EB7AF" w14:textId="77777777" w:rsidR="003E7651" w:rsidRPr="004B3CF1" w:rsidRDefault="003E7651" w:rsidP="003E7651">
            <w:pPr>
              <w:jc w:val="center"/>
              <w:rPr>
                <w:rFonts w:ascii="Arial" w:hAnsi="Arial" w:cs="Arial"/>
                <w:b/>
                <w:color w:val="000000"/>
                <w:sz w:val="22"/>
              </w:rPr>
            </w:pPr>
            <w:r w:rsidRPr="004B3CF1">
              <w:rPr>
                <w:rFonts w:ascii="Arial" w:hAnsi="Arial"/>
                <w:b/>
                <w:color w:val="000000"/>
                <w:sz w:val="22"/>
              </w:rPr>
              <w:t>Change in the number of pending cases compared to 31/12/2020</w:t>
            </w:r>
          </w:p>
        </w:tc>
      </w:tr>
      <w:tr w:rsidR="003E7651" w:rsidRPr="004B3CF1" w14:paraId="64CFF6DA" w14:textId="77777777" w:rsidTr="003E7651">
        <w:trPr>
          <w:trHeight w:val="345"/>
        </w:trPr>
        <w:tc>
          <w:tcPr>
            <w:tcW w:w="2103" w:type="dxa"/>
            <w:vMerge/>
            <w:tcBorders>
              <w:top w:val="nil"/>
              <w:left w:val="single" w:sz="8" w:space="0" w:color="A6A6A6"/>
              <w:bottom w:val="single" w:sz="8" w:space="0" w:color="A6A6A6"/>
              <w:right w:val="single" w:sz="8" w:space="0" w:color="A6A6A6"/>
            </w:tcBorders>
            <w:shd w:val="clear" w:color="auto" w:fill="auto"/>
            <w:vAlign w:val="center"/>
            <w:hideMark/>
          </w:tcPr>
          <w:p w14:paraId="55EEFF84" w14:textId="77777777" w:rsidR="003E7651" w:rsidRPr="004B3CF1" w:rsidRDefault="003E7651" w:rsidP="003E7651">
            <w:pPr>
              <w:rPr>
                <w:rFonts w:ascii="Arial" w:hAnsi="Arial" w:cs="Arial"/>
                <w:b/>
                <w:color w:val="000000"/>
                <w:sz w:val="22"/>
                <w:lang w:eastAsia="bs-Latn-BA"/>
              </w:rPr>
            </w:pPr>
          </w:p>
        </w:tc>
        <w:tc>
          <w:tcPr>
            <w:tcW w:w="1158" w:type="dxa"/>
            <w:tcBorders>
              <w:top w:val="nil"/>
              <w:left w:val="nil"/>
              <w:bottom w:val="single" w:sz="8" w:space="0" w:color="A6A6A6"/>
              <w:right w:val="single" w:sz="8" w:space="0" w:color="A6A6A6"/>
            </w:tcBorders>
            <w:shd w:val="clear" w:color="auto" w:fill="auto"/>
            <w:vAlign w:val="center"/>
            <w:hideMark/>
          </w:tcPr>
          <w:p w14:paraId="4CCD6024" w14:textId="77777777" w:rsidR="003E7651" w:rsidRPr="004B3CF1" w:rsidRDefault="003E7651" w:rsidP="003E7651">
            <w:pPr>
              <w:jc w:val="center"/>
              <w:rPr>
                <w:rFonts w:ascii="Arial" w:hAnsi="Arial" w:cs="Arial"/>
                <w:b/>
                <w:color w:val="000000"/>
                <w:sz w:val="22"/>
              </w:rPr>
            </w:pPr>
            <w:r w:rsidRPr="004B3CF1">
              <w:rPr>
                <w:rFonts w:ascii="Arial" w:hAnsi="Arial"/>
                <w:b/>
                <w:color w:val="000000"/>
                <w:sz w:val="22"/>
              </w:rPr>
              <w:t>Cases</w:t>
            </w:r>
          </w:p>
        </w:tc>
        <w:tc>
          <w:tcPr>
            <w:tcW w:w="1239" w:type="dxa"/>
            <w:tcBorders>
              <w:top w:val="nil"/>
              <w:left w:val="nil"/>
              <w:bottom w:val="single" w:sz="8" w:space="0" w:color="A6A6A6"/>
              <w:right w:val="single" w:sz="8" w:space="0" w:color="A6A6A6"/>
            </w:tcBorders>
            <w:shd w:val="clear" w:color="auto" w:fill="auto"/>
            <w:vAlign w:val="center"/>
            <w:hideMark/>
          </w:tcPr>
          <w:p w14:paraId="7DEE2236" w14:textId="77777777" w:rsidR="003E7651" w:rsidRPr="004B3CF1" w:rsidRDefault="003E7651" w:rsidP="003E7651">
            <w:pPr>
              <w:jc w:val="center"/>
              <w:rPr>
                <w:rFonts w:ascii="Arial" w:hAnsi="Arial" w:cs="Arial"/>
                <w:b/>
                <w:color w:val="000000"/>
                <w:sz w:val="22"/>
              </w:rPr>
            </w:pPr>
            <w:r w:rsidRPr="004B3CF1">
              <w:rPr>
                <w:rFonts w:ascii="Arial" w:hAnsi="Arial"/>
                <w:b/>
                <w:color w:val="000000"/>
                <w:sz w:val="22"/>
              </w:rPr>
              <w:t>Persons</w:t>
            </w:r>
          </w:p>
        </w:tc>
        <w:tc>
          <w:tcPr>
            <w:tcW w:w="2040" w:type="dxa"/>
            <w:gridSpan w:val="2"/>
            <w:tcBorders>
              <w:top w:val="single" w:sz="8" w:space="0" w:color="A6A6A6"/>
              <w:left w:val="nil"/>
              <w:bottom w:val="single" w:sz="8" w:space="0" w:color="A6A6A6"/>
              <w:right w:val="single" w:sz="8" w:space="0" w:color="A6A6A6"/>
            </w:tcBorders>
            <w:shd w:val="clear" w:color="auto" w:fill="auto"/>
            <w:vAlign w:val="center"/>
            <w:hideMark/>
          </w:tcPr>
          <w:p w14:paraId="33A3695B" w14:textId="77777777" w:rsidR="003E7651" w:rsidRPr="004B3CF1" w:rsidRDefault="003E7651" w:rsidP="003E7651">
            <w:pPr>
              <w:jc w:val="center"/>
              <w:rPr>
                <w:rFonts w:ascii="Arial" w:hAnsi="Arial" w:cs="Arial"/>
                <w:b/>
                <w:color w:val="000000"/>
                <w:sz w:val="22"/>
              </w:rPr>
            </w:pPr>
            <w:r w:rsidRPr="004B3CF1">
              <w:rPr>
                <w:rFonts w:ascii="Arial" w:hAnsi="Arial"/>
                <w:b/>
                <w:color w:val="000000"/>
                <w:sz w:val="22"/>
              </w:rPr>
              <w:t>Cases</w:t>
            </w:r>
          </w:p>
        </w:tc>
        <w:tc>
          <w:tcPr>
            <w:tcW w:w="2040" w:type="dxa"/>
            <w:gridSpan w:val="2"/>
            <w:tcBorders>
              <w:top w:val="single" w:sz="8" w:space="0" w:color="A6A6A6"/>
              <w:left w:val="nil"/>
              <w:bottom w:val="single" w:sz="8" w:space="0" w:color="A6A6A6"/>
              <w:right w:val="single" w:sz="8" w:space="0" w:color="A6A6A6"/>
            </w:tcBorders>
            <w:shd w:val="clear" w:color="auto" w:fill="auto"/>
            <w:vAlign w:val="center"/>
            <w:hideMark/>
          </w:tcPr>
          <w:p w14:paraId="1F0D85BA" w14:textId="77777777" w:rsidR="003E7651" w:rsidRPr="004B3CF1" w:rsidRDefault="003E7651" w:rsidP="003E7651">
            <w:pPr>
              <w:jc w:val="center"/>
              <w:rPr>
                <w:rFonts w:ascii="Arial" w:hAnsi="Arial" w:cs="Arial"/>
                <w:b/>
                <w:color w:val="000000"/>
                <w:sz w:val="22"/>
              </w:rPr>
            </w:pPr>
            <w:r w:rsidRPr="004B3CF1">
              <w:rPr>
                <w:rFonts w:ascii="Arial" w:hAnsi="Arial"/>
                <w:b/>
                <w:color w:val="000000"/>
                <w:sz w:val="22"/>
              </w:rPr>
              <w:t>Persons</w:t>
            </w:r>
          </w:p>
        </w:tc>
      </w:tr>
      <w:tr w:rsidR="003E7651" w:rsidRPr="004B3CF1" w14:paraId="6661C6CC"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vAlign w:val="center"/>
            <w:hideMark/>
          </w:tcPr>
          <w:p w14:paraId="193DF193" w14:textId="77777777" w:rsidR="003E7651" w:rsidRPr="004B3CF1" w:rsidRDefault="003E7651" w:rsidP="003E7651">
            <w:pPr>
              <w:autoSpaceDE w:val="0"/>
              <w:autoSpaceDN w:val="0"/>
              <w:adjustRightInd w:val="0"/>
              <w:rPr>
                <w:rFonts w:ascii="Arial" w:hAnsi="Arial" w:cs="Arial"/>
                <w:color w:val="000000"/>
                <w:sz w:val="22"/>
              </w:rPr>
            </w:pPr>
            <w:r w:rsidRPr="004B3CF1">
              <w:rPr>
                <w:rFonts w:ascii="Arial" w:hAnsi="Arial"/>
                <w:color w:val="000000"/>
                <w:sz w:val="22"/>
              </w:rPr>
              <w:t>BiH</w:t>
            </w:r>
          </w:p>
        </w:tc>
        <w:tc>
          <w:tcPr>
            <w:tcW w:w="1158" w:type="dxa"/>
            <w:tcBorders>
              <w:top w:val="nil"/>
              <w:left w:val="nil"/>
              <w:bottom w:val="single" w:sz="8" w:space="0" w:color="A6A6A6"/>
              <w:right w:val="single" w:sz="8" w:space="0" w:color="A6A6A6"/>
            </w:tcBorders>
            <w:shd w:val="clear" w:color="auto" w:fill="auto"/>
            <w:noWrap/>
            <w:hideMark/>
          </w:tcPr>
          <w:p w14:paraId="786948D9"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1,213</w:t>
            </w:r>
          </w:p>
        </w:tc>
        <w:tc>
          <w:tcPr>
            <w:tcW w:w="1239" w:type="dxa"/>
            <w:tcBorders>
              <w:top w:val="nil"/>
              <w:left w:val="nil"/>
              <w:bottom w:val="single" w:sz="8" w:space="0" w:color="A6A6A6"/>
              <w:right w:val="single" w:sz="8" w:space="0" w:color="A6A6A6"/>
            </w:tcBorders>
            <w:shd w:val="clear" w:color="auto" w:fill="auto"/>
            <w:noWrap/>
            <w:hideMark/>
          </w:tcPr>
          <w:p w14:paraId="7A1CB2BA"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6,931</w:t>
            </w:r>
          </w:p>
        </w:tc>
        <w:tc>
          <w:tcPr>
            <w:tcW w:w="1020" w:type="dxa"/>
            <w:tcBorders>
              <w:top w:val="nil"/>
              <w:left w:val="nil"/>
              <w:bottom w:val="single" w:sz="8" w:space="0" w:color="A6A6A6"/>
              <w:right w:val="single" w:sz="8" w:space="0" w:color="A6A6A6"/>
            </w:tcBorders>
            <w:shd w:val="clear" w:color="auto" w:fill="auto"/>
            <w:noWrap/>
            <w:hideMark/>
          </w:tcPr>
          <w:p w14:paraId="3A017A30"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-41</w:t>
            </w:r>
          </w:p>
        </w:tc>
        <w:tc>
          <w:tcPr>
            <w:tcW w:w="1020" w:type="dxa"/>
            <w:tcBorders>
              <w:top w:val="nil"/>
              <w:left w:val="nil"/>
              <w:bottom w:val="single" w:sz="8" w:space="0" w:color="A6A6A6"/>
              <w:right w:val="single" w:sz="8" w:space="0" w:color="A6A6A6"/>
            </w:tcBorders>
            <w:shd w:val="clear" w:color="auto" w:fill="auto"/>
            <w:noWrap/>
            <w:hideMark/>
          </w:tcPr>
          <w:p w14:paraId="65B95D93"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-3%</w:t>
            </w:r>
          </w:p>
        </w:tc>
        <w:tc>
          <w:tcPr>
            <w:tcW w:w="1020" w:type="dxa"/>
            <w:tcBorders>
              <w:top w:val="nil"/>
              <w:left w:val="nil"/>
              <w:bottom w:val="single" w:sz="8" w:space="0" w:color="A6A6A6"/>
              <w:right w:val="single" w:sz="8" w:space="0" w:color="A6A6A6"/>
            </w:tcBorders>
            <w:shd w:val="clear" w:color="auto" w:fill="auto"/>
            <w:noWrap/>
            <w:hideMark/>
          </w:tcPr>
          <w:p w14:paraId="1347BDF3"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-78</w:t>
            </w:r>
          </w:p>
        </w:tc>
        <w:tc>
          <w:tcPr>
            <w:tcW w:w="1020" w:type="dxa"/>
            <w:tcBorders>
              <w:top w:val="nil"/>
              <w:left w:val="nil"/>
              <w:bottom w:val="single" w:sz="8" w:space="0" w:color="A6A6A6"/>
              <w:right w:val="single" w:sz="8" w:space="0" w:color="A6A6A6"/>
            </w:tcBorders>
            <w:shd w:val="clear" w:color="auto" w:fill="auto"/>
            <w:noWrap/>
            <w:hideMark/>
          </w:tcPr>
          <w:p w14:paraId="424EDC2F"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w:t>
            </w:r>
          </w:p>
        </w:tc>
      </w:tr>
      <w:tr w:rsidR="003E7651" w:rsidRPr="004B3CF1" w14:paraId="783168E1"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vAlign w:val="center"/>
            <w:hideMark/>
          </w:tcPr>
          <w:p w14:paraId="50146423" w14:textId="77777777" w:rsidR="003E7651" w:rsidRPr="004B3CF1" w:rsidRDefault="003E7651" w:rsidP="003E7651">
            <w:pPr>
              <w:autoSpaceDE w:val="0"/>
              <w:autoSpaceDN w:val="0"/>
              <w:adjustRightInd w:val="0"/>
              <w:rPr>
                <w:rFonts w:ascii="Arial" w:hAnsi="Arial" w:cs="Arial"/>
                <w:color w:val="000000"/>
                <w:sz w:val="22"/>
              </w:rPr>
            </w:pPr>
            <w:r w:rsidRPr="004B3CF1">
              <w:rPr>
                <w:rFonts w:ascii="Arial" w:hAnsi="Arial"/>
                <w:color w:val="000000"/>
                <w:sz w:val="22"/>
              </w:rPr>
              <w:t>FBiH:</w:t>
            </w:r>
          </w:p>
        </w:tc>
        <w:tc>
          <w:tcPr>
            <w:tcW w:w="1158" w:type="dxa"/>
            <w:tcBorders>
              <w:top w:val="nil"/>
              <w:left w:val="nil"/>
              <w:bottom w:val="single" w:sz="8" w:space="0" w:color="A6A6A6"/>
              <w:right w:val="single" w:sz="8" w:space="0" w:color="A6A6A6"/>
            </w:tcBorders>
            <w:shd w:val="clear" w:color="auto" w:fill="auto"/>
            <w:noWrap/>
            <w:hideMark/>
          </w:tcPr>
          <w:p w14:paraId="39527F5D"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8,911</w:t>
            </w:r>
          </w:p>
        </w:tc>
        <w:tc>
          <w:tcPr>
            <w:tcW w:w="1239" w:type="dxa"/>
            <w:tcBorders>
              <w:top w:val="nil"/>
              <w:left w:val="nil"/>
              <w:bottom w:val="single" w:sz="8" w:space="0" w:color="A6A6A6"/>
              <w:right w:val="single" w:sz="8" w:space="0" w:color="A6A6A6"/>
            </w:tcBorders>
            <w:shd w:val="clear" w:color="auto" w:fill="auto"/>
            <w:noWrap/>
            <w:hideMark/>
          </w:tcPr>
          <w:p w14:paraId="2CECD4CC"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15,887</w:t>
            </w:r>
          </w:p>
        </w:tc>
        <w:tc>
          <w:tcPr>
            <w:tcW w:w="1020" w:type="dxa"/>
            <w:tcBorders>
              <w:top w:val="nil"/>
              <w:left w:val="nil"/>
              <w:bottom w:val="single" w:sz="8" w:space="0" w:color="A6A6A6"/>
              <w:right w:val="single" w:sz="8" w:space="0" w:color="A6A6A6"/>
            </w:tcBorders>
            <w:shd w:val="clear" w:color="auto" w:fill="auto"/>
            <w:noWrap/>
            <w:hideMark/>
          </w:tcPr>
          <w:p w14:paraId="14AC70ED"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-151</w:t>
            </w:r>
          </w:p>
        </w:tc>
        <w:tc>
          <w:tcPr>
            <w:tcW w:w="1020" w:type="dxa"/>
            <w:tcBorders>
              <w:top w:val="nil"/>
              <w:left w:val="nil"/>
              <w:bottom w:val="single" w:sz="8" w:space="0" w:color="A6A6A6"/>
              <w:right w:val="single" w:sz="8" w:space="0" w:color="A6A6A6"/>
            </w:tcBorders>
            <w:shd w:val="clear" w:color="auto" w:fill="auto"/>
            <w:noWrap/>
            <w:hideMark/>
          </w:tcPr>
          <w:p w14:paraId="3674ED45"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-2%</w:t>
            </w:r>
          </w:p>
        </w:tc>
        <w:tc>
          <w:tcPr>
            <w:tcW w:w="1020" w:type="dxa"/>
            <w:tcBorders>
              <w:top w:val="nil"/>
              <w:left w:val="nil"/>
              <w:bottom w:val="single" w:sz="8" w:space="0" w:color="A6A6A6"/>
              <w:right w:val="single" w:sz="8" w:space="0" w:color="A6A6A6"/>
            </w:tcBorders>
            <w:shd w:val="clear" w:color="auto" w:fill="auto"/>
            <w:noWrap/>
            <w:hideMark/>
          </w:tcPr>
          <w:p w14:paraId="3EBF3A3F"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234</w:t>
            </w:r>
          </w:p>
        </w:tc>
        <w:tc>
          <w:tcPr>
            <w:tcW w:w="1020" w:type="dxa"/>
            <w:tcBorders>
              <w:top w:val="nil"/>
              <w:left w:val="nil"/>
              <w:bottom w:val="single" w:sz="8" w:space="0" w:color="A6A6A6"/>
              <w:right w:val="single" w:sz="8" w:space="0" w:color="A6A6A6"/>
            </w:tcBorders>
            <w:shd w:val="clear" w:color="auto" w:fill="auto"/>
            <w:noWrap/>
            <w:hideMark/>
          </w:tcPr>
          <w:p w14:paraId="492A55FB"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w:t>
            </w:r>
          </w:p>
        </w:tc>
      </w:tr>
      <w:tr w:rsidR="003E7651" w:rsidRPr="004B3CF1" w14:paraId="51BBA2F5"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vAlign w:val="center"/>
            <w:hideMark/>
          </w:tcPr>
          <w:p w14:paraId="1A9172C1" w14:textId="77777777" w:rsidR="003E7651" w:rsidRPr="004B3CF1" w:rsidRDefault="003E7651" w:rsidP="003E7651">
            <w:pPr>
              <w:autoSpaceDE w:val="0"/>
              <w:autoSpaceDN w:val="0"/>
              <w:adjustRightInd w:val="0"/>
              <w:rPr>
                <w:rFonts w:ascii="Arial" w:hAnsi="Arial" w:cs="Arial"/>
                <w:color w:val="000000"/>
                <w:sz w:val="22"/>
              </w:rPr>
            </w:pPr>
            <w:r w:rsidRPr="004B3CF1">
              <w:rPr>
                <w:rFonts w:ascii="Arial" w:hAnsi="Arial"/>
                <w:color w:val="000000"/>
                <w:sz w:val="22"/>
              </w:rPr>
              <w:t>RS</w:t>
            </w:r>
          </w:p>
        </w:tc>
        <w:tc>
          <w:tcPr>
            <w:tcW w:w="1158" w:type="dxa"/>
            <w:tcBorders>
              <w:top w:val="nil"/>
              <w:left w:val="nil"/>
              <w:bottom w:val="single" w:sz="8" w:space="0" w:color="A6A6A6"/>
              <w:right w:val="single" w:sz="8" w:space="0" w:color="A6A6A6"/>
            </w:tcBorders>
            <w:shd w:val="clear" w:color="auto" w:fill="auto"/>
            <w:noWrap/>
            <w:hideMark/>
          </w:tcPr>
          <w:p w14:paraId="58EC290F"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5,659</w:t>
            </w:r>
          </w:p>
        </w:tc>
        <w:tc>
          <w:tcPr>
            <w:tcW w:w="1239" w:type="dxa"/>
            <w:tcBorders>
              <w:top w:val="nil"/>
              <w:left w:val="nil"/>
              <w:bottom w:val="single" w:sz="8" w:space="0" w:color="A6A6A6"/>
              <w:right w:val="single" w:sz="8" w:space="0" w:color="A6A6A6"/>
            </w:tcBorders>
            <w:shd w:val="clear" w:color="auto" w:fill="auto"/>
            <w:noWrap/>
            <w:hideMark/>
          </w:tcPr>
          <w:p w14:paraId="76F00135"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8,259</w:t>
            </w:r>
          </w:p>
        </w:tc>
        <w:tc>
          <w:tcPr>
            <w:tcW w:w="1020" w:type="dxa"/>
            <w:tcBorders>
              <w:top w:val="nil"/>
              <w:left w:val="nil"/>
              <w:bottom w:val="single" w:sz="8" w:space="0" w:color="A6A6A6"/>
              <w:right w:val="single" w:sz="8" w:space="0" w:color="A6A6A6"/>
            </w:tcBorders>
            <w:shd w:val="clear" w:color="auto" w:fill="auto"/>
            <w:noWrap/>
            <w:hideMark/>
          </w:tcPr>
          <w:p w14:paraId="706B4982"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481</w:t>
            </w:r>
          </w:p>
        </w:tc>
        <w:tc>
          <w:tcPr>
            <w:tcW w:w="1020" w:type="dxa"/>
            <w:tcBorders>
              <w:top w:val="nil"/>
              <w:left w:val="nil"/>
              <w:bottom w:val="single" w:sz="8" w:space="0" w:color="A6A6A6"/>
              <w:right w:val="single" w:sz="8" w:space="0" w:color="A6A6A6"/>
            </w:tcBorders>
            <w:shd w:val="clear" w:color="auto" w:fill="auto"/>
            <w:noWrap/>
            <w:hideMark/>
          </w:tcPr>
          <w:p w14:paraId="5EEFF8C9"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9%</w:t>
            </w:r>
          </w:p>
        </w:tc>
        <w:tc>
          <w:tcPr>
            <w:tcW w:w="1020" w:type="dxa"/>
            <w:tcBorders>
              <w:top w:val="nil"/>
              <w:left w:val="nil"/>
              <w:bottom w:val="single" w:sz="8" w:space="0" w:color="A6A6A6"/>
              <w:right w:val="single" w:sz="8" w:space="0" w:color="A6A6A6"/>
            </w:tcBorders>
            <w:shd w:val="clear" w:color="auto" w:fill="auto"/>
            <w:noWrap/>
            <w:hideMark/>
          </w:tcPr>
          <w:p w14:paraId="37281AE6"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768</w:t>
            </w:r>
          </w:p>
        </w:tc>
        <w:tc>
          <w:tcPr>
            <w:tcW w:w="1020" w:type="dxa"/>
            <w:tcBorders>
              <w:top w:val="nil"/>
              <w:left w:val="nil"/>
              <w:bottom w:val="single" w:sz="8" w:space="0" w:color="A6A6A6"/>
              <w:right w:val="single" w:sz="8" w:space="0" w:color="A6A6A6"/>
            </w:tcBorders>
            <w:shd w:val="clear" w:color="auto" w:fill="auto"/>
            <w:noWrap/>
            <w:hideMark/>
          </w:tcPr>
          <w:p w14:paraId="189CC844"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10%</w:t>
            </w:r>
          </w:p>
        </w:tc>
      </w:tr>
      <w:tr w:rsidR="003E7651" w:rsidRPr="004B3CF1" w14:paraId="4F939FE5"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vAlign w:val="center"/>
            <w:hideMark/>
          </w:tcPr>
          <w:p w14:paraId="26676B12" w14:textId="77777777" w:rsidR="003E7651" w:rsidRPr="004B3CF1" w:rsidRDefault="003E7651" w:rsidP="003E7651">
            <w:pPr>
              <w:autoSpaceDE w:val="0"/>
              <w:autoSpaceDN w:val="0"/>
              <w:adjustRightInd w:val="0"/>
              <w:rPr>
                <w:rFonts w:ascii="Arial" w:hAnsi="Arial" w:cs="Arial"/>
                <w:color w:val="000000"/>
                <w:sz w:val="22"/>
              </w:rPr>
            </w:pPr>
            <w:r w:rsidRPr="004B3CF1">
              <w:rPr>
                <w:rFonts w:ascii="Arial" w:hAnsi="Arial"/>
                <w:color w:val="000000"/>
                <w:sz w:val="22"/>
              </w:rPr>
              <w:t>Brcko District BiH</w:t>
            </w:r>
          </w:p>
        </w:tc>
        <w:tc>
          <w:tcPr>
            <w:tcW w:w="1158" w:type="dxa"/>
            <w:tcBorders>
              <w:top w:val="nil"/>
              <w:left w:val="nil"/>
              <w:bottom w:val="single" w:sz="8" w:space="0" w:color="A6A6A6"/>
              <w:right w:val="single" w:sz="8" w:space="0" w:color="A6A6A6"/>
            </w:tcBorders>
            <w:shd w:val="clear" w:color="auto" w:fill="auto"/>
            <w:noWrap/>
            <w:hideMark/>
          </w:tcPr>
          <w:p w14:paraId="688351C0"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90</w:t>
            </w:r>
          </w:p>
        </w:tc>
        <w:tc>
          <w:tcPr>
            <w:tcW w:w="1239" w:type="dxa"/>
            <w:tcBorders>
              <w:top w:val="nil"/>
              <w:left w:val="nil"/>
              <w:bottom w:val="single" w:sz="8" w:space="0" w:color="A6A6A6"/>
              <w:right w:val="single" w:sz="8" w:space="0" w:color="A6A6A6"/>
            </w:tcBorders>
            <w:shd w:val="clear" w:color="auto" w:fill="auto"/>
            <w:noWrap/>
            <w:hideMark/>
          </w:tcPr>
          <w:p w14:paraId="10E42625"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130</w:t>
            </w:r>
          </w:p>
        </w:tc>
        <w:tc>
          <w:tcPr>
            <w:tcW w:w="1020" w:type="dxa"/>
            <w:tcBorders>
              <w:top w:val="nil"/>
              <w:left w:val="nil"/>
              <w:bottom w:val="single" w:sz="8" w:space="0" w:color="A6A6A6"/>
              <w:right w:val="single" w:sz="8" w:space="0" w:color="A6A6A6"/>
            </w:tcBorders>
            <w:shd w:val="clear" w:color="auto" w:fill="auto"/>
            <w:noWrap/>
            <w:hideMark/>
          </w:tcPr>
          <w:p w14:paraId="1B98026E"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w:t>
            </w:r>
          </w:p>
        </w:tc>
        <w:tc>
          <w:tcPr>
            <w:tcW w:w="1020" w:type="dxa"/>
            <w:tcBorders>
              <w:top w:val="nil"/>
              <w:left w:val="nil"/>
              <w:bottom w:val="single" w:sz="8" w:space="0" w:color="A6A6A6"/>
              <w:right w:val="single" w:sz="8" w:space="0" w:color="A6A6A6"/>
            </w:tcBorders>
            <w:shd w:val="clear" w:color="auto" w:fill="auto"/>
            <w:noWrap/>
            <w:hideMark/>
          </w:tcPr>
          <w:p w14:paraId="31A1F726"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1%</w:t>
            </w:r>
          </w:p>
        </w:tc>
        <w:tc>
          <w:tcPr>
            <w:tcW w:w="1020" w:type="dxa"/>
            <w:tcBorders>
              <w:top w:val="nil"/>
              <w:left w:val="nil"/>
              <w:bottom w:val="single" w:sz="8" w:space="0" w:color="A6A6A6"/>
              <w:right w:val="single" w:sz="8" w:space="0" w:color="A6A6A6"/>
            </w:tcBorders>
            <w:shd w:val="clear" w:color="auto" w:fill="auto"/>
            <w:noWrap/>
            <w:hideMark/>
          </w:tcPr>
          <w:p w14:paraId="2D9347B2"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4</w:t>
            </w:r>
          </w:p>
        </w:tc>
        <w:tc>
          <w:tcPr>
            <w:tcW w:w="1020" w:type="dxa"/>
            <w:tcBorders>
              <w:top w:val="nil"/>
              <w:left w:val="nil"/>
              <w:bottom w:val="single" w:sz="8" w:space="0" w:color="A6A6A6"/>
              <w:right w:val="single" w:sz="8" w:space="0" w:color="A6A6A6"/>
            </w:tcBorders>
            <w:shd w:val="clear" w:color="auto" w:fill="auto"/>
            <w:noWrap/>
            <w:hideMark/>
          </w:tcPr>
          <w:p w14:paraId="063237CE" w14:textId="77777777" w:rsidR="003E7651" w:rsidRPr="004B3CF1" w:rsidRDefault="003E7651" w:rsidP="003E7651">
            <w:pPr>
              <w:autoSpaceDE w:val="0"/>
              <w:autoSpaceDN w:val="0"/>
              <w:adjustRightInd w:val="0"/>
              <w:jc w:val="right"/>
              <w:rPr>
                <w:rFonts w:ascii="Arial" w:hAnsi="Arial" w:cs="Arial"/>
                <w:color w:val="000000"/>
                <w:sz w:val="22"/>
              </w:rPr>
            </w:pPr>
            <w:r w:rsidRPr="004B3CF1">
              <w:rPr>
                <w:rFonts w:ascii="Arial" w:hAnsi="Arial"/>
                <w:color w:val="000000"/>
                <w:sz w:val="22"/>
              </w:rPr>
              <w:t>3%</w:t>
            </w:r>
          </w:p>
        </w:tc>
      </w:tr>
      <w:tr w:rsidR="003E7651" w:rsidRPr="004B3CF1" w14:paraId="2C470482"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vAlign w:val="center"/>
            <w:hideMark/>
          </w:tcPr>
          <w:p w14:paraId="6D69E7A9" w14:textId="77777777" w:rsidR="003E7651" w:rsidRPr="004B3CF1" w:rsidRDefault="003E7651" w:rsidP="003E7651">
            <w:pPr>
              <w:autoSpaceDE w:val="0"/>
              <w:autoSpaceDN w:val="0"/>
              <w:adjustRightInd w:val="0"/>
              <w:rPr>
                <w:rFonts w:ascii="Arial" w:hAnsi="Arial" w:cs="Arial"/>
                <w:b/>
                <w:bCs/>
                <w:color w:val="000000"/>
                <w:sz w:val="22"/>
              </w:rPr>
            </w:pPr>
            <w:r w:rsidRPr="004B3CF1">
              <w:rPr>
                <w:rFonts w:ascii="Arial" w:hAnsi="Arial"/>
                <w:b/>
                <w:bCs/>
                <w:color w:val="000000"/>
                <w:sz w:val="22"/>
              </w:rPr>
              <w:t>TOTAL</w:t>
            </w:r>
          </w:p>
        </w:tc>
        <w:tc>
          <w:tcPr>
            <w:tcW w:w="1158" w:type="dxa"/>
            <w:tcBorders>
              <w:top w:val="nil"/>
              <w:left w:val="nil"/>
              <w:bottom w:val="single" w:sz="8" w:space="0" w:color="A6A6A6"/>
              <w:right w:val="single" w:sz="8" w:space="0" w:color="A6A6A6"/>
            </w:tcBorders>
            <w:shd w:val="clear" w:color="auto" w:fill="auto"/>
            <w:noWrap/>
            <w:hideMark/>
          </w:tcPr>
          <w:p w14:paraId="12E92593" w14:textId="77777777" w:rsidR="003E7651" w:rsidRPr="004B3CF1" w:rsidRDefault="003E7651" w:rsidP="003E7651">
            <w:pPr>
              <w:autoSpaceDE w:val="0"/>
              <w:autoSpaceDN w:val="0"/>
              <w:adjustRightInd w:val="0"/>
              <w:jc w:val="right"/>
              <w:rPr>
                <w:rFonts w:ascii="Arial" w:hAnsi="Arial" w:cs="Arial"/>
                <w:b/>
                <w:bCs/>
                <w:color w:val="000000"/>
                <w:sz w:val="22"/>
              </w:rPr>
            </w:pPr>
            <w:r w:rsidRPr="004B3CF1">
              <w:rPr>
                <w:rFonts w:ascii="Arial" w:hAnsi="Arial"/>
                <w:b/>
                <w:bCs/>
                <w:color w:val="000000"/>
                <w:sz w:val="22"/>
              </w:rPr>
              <w:t>15,873</w:t>
            </w:r>
          </w:p>
        </w:tc>
        <w:tc>
          <w:tcPr>
            <w:tcW w:w="1239" w:type="dxa"/>
            <w:tcBorders>
              <w:top w:val="nil"/>
              <w:left w:val="nil"/>
              <w:bottom w:val="single" w:sz="8" w:space="0" w:color="A6A6A6"/>
              <w:right w:val="single" w:sz="8" w:space="0" w:color="A6A6A6"/>
            </w:tcBorders>
            <w:shd w:val="clear" w:color="auto" w:fill="auto"/>
            <w:noWrap/>
            <w:hideMark/>
          </w:tcPr>
          <w:p w14:paraId="15533087" w14:textId="77777777" w:rsidR="003E7651" w:rsidRPr="004B3CF1" w:rsidRDefault="003E7651" w:rsidP="003E7651">
            <w:pPr>
              <w:autoSpaceDE w:val="0"/>
              <w:autoSpaceDN w:val="0"/>
              <w:adjustRightInd w:val="0"/>
              <w:jc w:val="right"/>
              <w:rPr>
                <w:rFonts w:ascii="Arial" w:hAnsi="Arial" w:cs="Arial"/>
                <w:b/>
                <w:bCs/>
                <w:color w:val="000000"/>
                <w:sz w:val="22"/>
              </w:rPr>
            </w:pPr>
            <w:r w:rsidRPr="004B3CF1">
              <w:rPr>
                <w:rFonts w:ascii="Arial" w:hAnsi="Arial"/>
                <w:b/>
                <w:bCs/>
                <w:color w:val="000000"/>
                <w:sz w:val="22"/>
              </w:rPr>
              <w:t>31,207</w:t>
            </w:r>
          </w:p>
        </w:tc>
        <w:tc>
          <w:tcPr>
            <w:tcW w:w="1020" w:type="dxa"/>
            <w:tcBorders>
              <w:top w:val="nil"/>
              <w:left w:val="nil"/>
              <w:bottom w:val="single" w:sz="8" w:space="0" w:color="A6A6A6"/>
              <w:right w:val="single" w:sz="8" w:space="0" w:color="A6A6A6"/>
            </w:tcBorders>
            <w:shd w:val="clear" w:color="auto" w:fill="auto"/>
            <w:noWrap/>
            <w:hideMark/>
          </w:tcPr>
          <w:p w14:paraId="33796065" w14:textId="77777777" w:rsidR="003E7651" w:rsidRPr="004B3CF1" w:rsidRDefault="003E7651" w:rsidP="003E7651">
            <w:pPr>
              <w:autoSpaceDE w:val="0"/>
              <w:autoSpaceDN w:val="0"/>
              <w:adjustRightInd w:val="0"/>
              <w:jc w:val="right"/>
              <w:rPr>
                <w:rFonts w:ascii="Arial" w:hAnsi="Arial" w:cs="Arial"/>
                <w:b/>
                <w:bCs/>
                <w:color w:val="000000"/>
                <w:sz w:val="22"/>
              </w:rPr>
            </w:pPr>
            <w:r w:rsidRPr="004B3CF1">
              <w:rPr>
                <w:rFonts w:ascii="Arial" w:hAnsi="Arial"/>
                <w:b/>
                <w:bCs/>
                <w:color w:val="000000"/>
                <w:sz w:val="22"/>
              </w:rPr>
              <w:t>290</w:t>
            </w:r>
          </w:p>
        </w:tc>
        <w:tc>
          <w:tcPr>
            <w:tcW w:w="1020" w:type="dxa"/>
            <w:tcBorders>
              <w:top w:val="nil"/>
              <w:left w:val="nil"/>
              <w:bottom w:val="single" w:sz="8" w:space="0" w:color="A6A6A6"/>
              <w:right w:val="single" w:sz="8" w:space="0" w:color="A6A6A6"/>
            </w:tcBorders>
            <w:shd w:val="clear" w:color="auto" w:fill="auto"/>
            <w:noWrap/>
            <w:hideMark/>
          </w:tcPr>
          <w:p w14:paraId="5273C2C1" w14:textId="77777777" w:rsidR="003E7651" w:rsidRPr="004B3CF1" w:rsidRDefault="003E7651" w:rsidP="003E7651">
            <w:pPr>
              <w:autoSpaceDE w:val="0"/>
              <w:autoSpaceDN w:val="0"/>
              <w:adjustRightInd w:val="0"/>
              <w:jc w:val="right"/>
              <w:rPr>
                <w:rFonts w:ascii="Arial" w:hAnsi="Arial" w:cs="Arial"/>
                <w:b/>
                <w:bCs/>
                <w:color w:val="000000"/>
                <w:sz w:val="22"/>
              </w:rPr>
            </w:pPr>
            <w:r w:rsidRPr="004B3CF1">
              <w:rPr>
                <w:rFonts w:ascii="Arial" w:hAnsi="Arial"/>
                <w:b/>
                <w:bCs/>
                <w:color w:val="000000"/>
                <w:sz w:val="22"/>
              </w:rPr>
              <w:t>2%</w:t>
            </w:r>
          </w:p>
        </w:tc>
        <w:tc>
          <w:tcPr>
            <w:tcW w:w="1020" w:type="dxa"/>
            <w:tcBorders>
              <w:top w:val="nil"/>
              <w:left w:val="nil"/>
              <w:bottom w:val="single" w:sz="8" w:space="0" w:color="A6A6A6"/>
              <w:right w:val="single" w:sz="8" w:space="0" w:color="A6A6A6"/>
            </w:tcBorders>
            <w:shd w:val="clear" w:color="auto" w:fill="auto"/>
            <w:noWrap/>
            <w:hideMark/>
          </w:tcPr>
          <w:p w14:paraId="3E034B91" w14:textId="77777777" w:rsidR="003E7651" w:rsidRPr="004B3CF1" w:rsidRDefault="003E7651" w:rsidP="003E7651">
            <w:pPr>
              <w:autoSpaceDE w:val="0"/>
              <w:autoSpaceDN w:val="0"/>
              <w:adjustRightInd w:val="0"/>
              <w:jc w:val="right"/>
              <w:rPr>
                <w:rFonts w:ascii="Arial" w:hAnsi="Arial" w:cs="Arial"/>
                <w:b/>
                <w:bCs/>
                <w:color w:val="000000"/>
                <w:sz w:val="22"/>
              </w:rPr>
            </w:pPr>
            <w:r w:rsidRPr="004B3CF1">
              <w:rPr>
                <w:rFonts w:ascii="Arial" w:hAnsi="Arial"/>
                <w:b/>
                <w:bCs/>
                <w:color w:val="000000"/>
                <w:sz w:val="22"/>
              </w:rPr>
              <w:t>928</w:t>
            </w:r>
          </w:p>
        </w:tc>
        <w:tc>
          <w:tcPr>
            <w:tcW w:w="1020" w:type="dxa"/>
            <w:tcBorders>
              <w:top w:val="nil"/>
              <w:left w:val="nil"/>
              <w:bottom w:val="single" w:sz="8" w:space="0" w:color="A6A6A6"/>
              <w:right w:val="single" w:sz="8" w:space="0" w:color="A6A6A6"/>
            </w:tcBorders>
            <w:shd w:val="clear" w:color="auto" w:fill="auto"/>
            <w:noWrap/>
            <w:hideMark/>
          </w:tcPr>
          <w:p w14:paraId="1F76D145" w14:textId="77777777" w:rsidR="003E7651" w:rsidRPr="004B3CF1" w:rsidRDefault="003E7651" w:rsidP="003E7651">
            <w:pPr>
              <w:autoSpaceDE w:val="0"/>
              <w:autoSpaceDN w:val="0"/>
              <w:adjustRightInd w:val="0"/>
              <w:jc w:val="right"/>
              <w:rPr>
                <w:rFonts w:ascii="Arial" w:hAnsi="Arial" w:cs="Arial"/>
                <w:b/>
                <w:bCs/>
                <w:color w:val="000000"/>
                <w:sz w:val="22"/>
              </w:rPr>
            </w:pPr>
            <w:r w:rsidRPr="004B3CF1">
              <w:rPr>
                <w:rFonts w:ascii="Arial" w:hAnsi="Arial"/>
                <w:b/>
                <w:bCs/>
                <w:color w:val="000000"/>
                <w:sz w:val="22"/>
              </w:rPr>
              <w:t>3%</w:t>
            </w:r>
          </w:p>
        </w:tc>
      </w:tr>
    </w:tbl>
    <w:p w14:paraId="3B84AACC" w14:textId="77777777" w:rsidR="003E7651" w:rsidRPr="004B3CF1" w:rsidRDefault="003E7651" w:rsidP="003E7651">
      <w:pPr>
        <w:pStyle w:val="TREINASLOV"/>
        <w:rPr>
          <w:color w:val="4F81BD"/>
        </w:rPr>
      </w:pPr>
      <w:bookmarkStart w:id="240" w:name="_Toc97722106"/>
      <w:bookmarkStart w:id="241" w:name="_Toc101944286"/>
      <w:bookmarkStart w:id="242" w:name="_Toc112852492"/>
      <w:r w:rsidRPr="004B3CF1">
        <w:t>The statute of limitations on criminal prosecution</w:t>
      </w:r>
      <w:bookmarkEnd w:id="240"/>
      <w:bookmarkEnd w:id="241"/>
      <w:bookmarkEnd w:id="242"/>
      <w:r w:rsidRPr="004B3CF1">
        <w:t xml:space="preserve"> </w:t>
      </w:r>
    </w:p>
    <w:p w14:paraId="6B991718" w14:textId="77777777" w:rsidR="003E7651" w:rsidRPr="004B3CF1" w:rsidRDefault="003E7651" w:rsidP="003E7651">
      <w:pPr>
        <w:pStyle w:val="Tekst"/>
        <w:rPr>
          <w:color w:val="5B9BD5"/>
        </w:rPr>
      </w:pPr>
      <w:r w:rsidRPr="004B3CF1">
        <w:t xml:space="preserve">In 2021, there were 148 cases against 230 persons registered in the TCMS in which decisions to discontinue investigation were rendered as they fell under the statute of limitations on criminal prosecution before the indictment was filed. In 2020, the prosecutor’s office’s rendered such decisions in 113 cases. This means that in 2021 the number of prosecutorial decisions to terminate the prosecution as it became time barred increased by 35 cases or 31%. As in the previous period, prosecutorial decisions on the expiry statute of limitations were made in the report phase (decision not to conduct investigation in 105 cases or 71%) and in the investigation phase (decisions to discontinue investigation in 43 cases or 29%).  </w:t>
      </w:r>
    </w:p>
    <w:p w14:paraId="6B17DC64" w14:textId="77777777" w:rsidR="003E7651" w:rsidRPr="004B3CF1" w:rsidRDefault="003E7651" w:rsidP="003E7651">
      <w:pPr>
        <w:pStyle w:val="Tekst"/>
      </w:pPr>
      <w:r w:rsidRPr="004B3CF1">
        <w:t>Prosecutorial decisions to discontinue investigation due to the expiry of statute of limitati</w:t>
      </w:r>
      <w:r>
        <w:t xml:space="preserve">ons on criminal prosecution are </w:t>
      </w:r>
      <w:r w:rsidRPr="004B3CF1">
        <w:t>submitted to the Office of Disciplinary Counsel to determine possible liability of prosecutors for such outcome in these cases.</w:t>
      </w:r>
    </w:p>
    <w:p w14:paraId="0D6EDF18" w14:textId="77777777" w:rsidR="003E7651" w:rsidRPr="004B3CF1" w:rsidRDefault="003E7651" w:rsidP="003E7651">
      <w:pPr>
        <w:spacing w:before="80"/>
        <w:jc w:val="both"/>
        <w:rPr>
          <w:rFonts w:ascii="Arial" w:hAnsi="Arial" w:cs="Arial"/>
        </w:rPr>
      </w:pPr>
    </w:p>
    <w:p w14:paraId="71714B72"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20</w:t>
      </w:r>
      <w:r w:rsidR="006D1459">
        <w:fldChar w:fldCharType="end"/>
      </w:r>
      <w:r w:rsidRPr="004B3CF1">
        <w:t>: Statute of limitations prior to indictment</w:t>
      </w:r>
    </w:p>
    <w:tbl>
      <w:tblPr>
        <w:tblW w:w="9285" w:type="dxa"/>
        <w:tblInd w:w="-10" w:type="dxa"/>
        <w:tblLook w:val="04A0" w:firstRow="1" w:lastRow="0" w:firstColumn="1" w:lastColumn="0" w:noHBand="0" w:noVBand="1"/>
      </w:tblPr>
      <w:tblGrid>
        <w:gridCol w:w="2103"/>
        <w:gridCol w:w="1299"/>
        <w:gridCol w:w="1093"/>
        <w:gridCol w:w="1299"/>
        <w:gridCol w:w="1134"/>
        <w:gridCol w:w="1299"/>
        <w:gridCol w:w="1085"/>
      </w:tblGrid>
      <w:tr w:rsidR="003E7651" w:rsidRPr="004B3CF1" w14:paraId="7B6DECF8" w14:textId="77777777" w:rsidTr="003E7651">
        <w:trPr>
          <w:trHeight w:val="720"/>
        </w:trPr>
        <w:tc>
          <w:tcPr>
            <w:tcW w:w="2103"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2268494E" w14:textId="77777777" w:rsidR="003E7651" w:rsidRPr="004B3CF1" w:rsidRDefault="003E7651" w:rsidP="003E7651">
            <w:pPr>
              <w:rPr>
                <w:rFonts w:ascii="Arial" w:hAnsi="Arial" w:cs="Arial"/>
                <w:b/>
                <w:color w:val="000000"/>
                <w:sz w:val="22"/>
                <w:szCs w:val="22"/>
              </w:rPr>
            </w:pPr>
            <w:r w:rsidRPr="004B3CF1">
              <w:rPr>
                <w:rFonts w:ascii="Arial" w:hAnsi="Arial"/>
                <w:b/>
                <w:color w:val="000000"/>
                <w:sz w:val="22"/>
                <w:szCs w:val="22"/>
              </w:rPr>
              <w:lastRenderedPageBreak/>
              <w:t>Prosecutor's offices</w:t>
            </w:r>
          </w:p>
        </w:tc>
        <w:tc>
          <w:tcPr>
            <w:tcW w:w="2392" w:type="dxa"/>
            <w:gridSpan w:val="2"/>
            <w:tcBorders>
              <w:top w:val="single" w:sz="8" w:space="0" w:color="A6A6A6"/>
              <w:left w:val="nil"/>
              <w:bottom w:val="single" w:sz="8" w:space="0" w:color="A6A6A6"/>
              <w:right w:val="single" w:sz="8" w:space="0" w:color="A6A6A6"/>
            </w:tcBorders>
            <w:shd w:val="clear" w:color="auto" w:fill="auto"/>
            <w:vAlign w:val="center"/>
            <w:hideMark/>
          </w:tcPr>
          <w:p w14:paraId="15D0F69A"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 xml:space="preserve">Relative statute of limitations </w:t>
            </w:r>
          </w:p>
        </w:tc>
        <w:tc>
          <w:tcPr>
            <w:tcW w:w="2433" w:type="dxa"/>
            <w:gridSpan w:val="2"/>
            <w:tcBorders>
              <w:top w:val="single" w:sz="8" w:space="0" w:color="A6A6A6"/>
              <w:left w:val="nil"/>
              <w:bottom w:val="single" w:sz="8" w:space="0" w:color="A6A6A6"/>
              <w:right w:val="single" w:sz="8" w:space="0" w:color="A6A6A6"/>
            </w:tcBorders>
            <w:shd w:val="clear" w:color="auto" w:fill="auto"/>
            <w:vAlign w:val="center"/>
            <w:hideMark/>
          </w:tcPr>
          <w:p w14:paraId="0C912D71"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 xml:space="preserve">Absolute statute of limitations </w:t>
            </w:r>
          </w:p>
        </w:tc>
        <w:tc>
          <w:tcPr>
            <w:tcW w:w="2357" w:type="dxa"/>
            <w:gridSpan w:val="2"/>
            <w:tcBorders>
              <w:top w:val="single" w:sz="8" w:space="0" w:color="A6A6A6"/>
              <w:left w:val="single" w:sz="12" w:space="0" w:color="A6A6A6"/>
              <w:bottom w:val="single" w:sz="8" w:space="0" w:color="A6A6A6"/>
              <w:right w:val="single" w:sz="8" w:space="0" w:color="A6A6A6"/>
            </w:tcBorders>
            <w:shd w:val="clear" w:color="auto" w:fill="auto"/>
            <w:vAlign w:val="center"/>
            <w:hideMark/>
          </w:tcPr>
          <w:p w14:paraId="38890412"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TOTAL</w:t>
            </w:r>
          </w:p>
        </w:tc>
      </w:tr>
      <w:tr w:rsidR="003E7651" w:rsidRPr="004B3CF1" w14:paraId="145C1BF3" w14:textId="77777777" w:rsidTr="003E7651">
        <w:trPr>
          <w:trHeight w:val="345"/>
        </w:trPr>
        <w:tc>
          <w:tcPr>
            <w:tcW w:w="2103" w:type="dxa"/>
            <w:vMerge/>
            <w:tcBorders>
              <w:top w:val="nil"/>
              <w:left w:val="single" w:sz="8" w:space="0" w:color="A6A6A6"/>
              <w:bottom w:val="single" w:sz="8" w:space="0" w:color="A6A6A6"/>
              <w:right w:val="single" w:sz="8" w:space="0" w:color="A6A6A6"/>
            </w:tcBorders>
            <w:shd w:val="clear" w:color="auto" w:fill="auto"/>
            <w:vAlign w:val="center"/>
            <w:hideMark/>
          </w:tcPr>
          <w:p w14:paraId="4328DC68" w14:textId="77777777" w:rsidR="003E7651" w:rsidRPr="004B3CF1" w:rsidRDefault="003E7651" w:rsidP="003E7651">
            <w:pPr>
              <w:rPr>
                <w:rFonts w:ascii="Arial" w:hAnsi="Arial" w:cs="Arial"/>
                <w:b/>
                <w:color w:val="000000"/>
                <w:sz w:val="22"/>
                <w:szCs w:val="22"/>
                <w:lang w:eastAsia="bs-Latn-BA"/>
              </w:rPr>
            </w:pPr>
          </w:p>
        </w:tc>
        <w:tc>
          <w:tcPr>
            <w:tcW w:w="1299" w:type="dxa"/>
            <w:tcBorders>
              <w:top w:val="nil"/>
              <w:left w:val="nil"/>
              <w:bottom w:val="single" w:sz="8" w:space="0" w:color="A6A6A6"/>
              <w:right w:val="single" w:sz="8" w:space="0" w:color="A6A6A6"/>
            </w:tcBorders>
            <w:shd w:val="clear" w:color="auto" w:fill="auto"/>
            <w:vAlign w:val="center"/>
            <w:hideMark/>
          </w:tcPr>
          <w:p w14:paraId="119C546E"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093" w:type="dxa"/>
            <w:tcBorders>
              <w:top w:val="nil"/>
              <w:left w:val="nil"/>
              <w:bottom w:val="single" w:sz="8" w:space="0" w:color="A6A6A6"/>
              <w:right w:val="single" w:sz="8" w:space="0" w:color="A6A6A6"/>
            </w:tcBorders>
            <w:shd w:val="clear" w:color="auto" w:fill="auto"/>
            <w:vAlign w:val="center"/>
            <w:hideMark/>
          </w:tcPr>
          <w:p w14:paraId="355FC0DA"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c>
          <w:tcPr>
            <w:tcW w:w="1299" w:type="dxa"/>
            <w:tcBorders>
              <w:top w:val="nil"/>
              <w:left w:val="nil"/>
              <w:bottom w:val="single" w:sz="8" w:space="0" w:color="A6A6A6"/>
              <w:right w:val="single" w:sz="8" w:space="0" w:color="A6A6A6"/>
            </w:tcBorders>
            <w:shd w:val="clear" w:color="auto" w:fill="auto"/>
            <w:vAlign w:val="center"/>
            <w:hideMark/>
          </w:tcPr>
          <w:p w14:paraId="35762A36"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134" w:type="dxa"/>
            <w:tcBorders>
              <w:top w:val="nil"/>
              <w:left w:val="nil"/>
              <w:bottom w:val="single" w:sz="8" w:space="0" w:color="A6A6A6"/>
              <w:right w:val="nil"/>
            </w:tcBorders>
            <w:shd w:val="clear" w:color="auto" w:fill="auto"/>
            <w:vAlign w:val="center"/>
            <w:hideMark/>
          </w:tcPr>
          <w:p w14:paraId="113E2A3E"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c>
          <w:tcPr>
            <w:tcW w:w="1299" w:type="dxa"/>
            <w:tcBorders>
              <w:top w:val="nil"/>
              <w:left w:val="single" w:sz="12" w:space="0" w:color="A6A6A6"/>
              <w:bottom w:val="single" w:sz="8" w:space="0" w:color="A6A6A6"/>
              <w:right w:val="single" w:sz="8" w:space="0" w:color="A6A6A6"/>
            </w:tcBorders>
            <w:shd w:val="clear" w:color="auto" w:fill="auto"/>
            <w:vAlign w:val="center"/>
            <w:hideMark/>
          </w:tcPr>
          <w:p w14:paraId="18E75116"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Cases</w:t>
            </w:r>
          </w:p>
        </w:tc>
        <w:tc>
          <w:tcPr>
            <w:tcW w:w="1058" w:type="dxa"/>
            <w:tcBorders>
              <w:top w:val="nil"/>
              <w:left w:val="nil"/>
              <w:bottom w:val="single" w:sz="8" w:space="0" w:color="A6A6A6"/>
              <w:right w:val="single" w:sz="8" w:space="0" w:color="A6A6A6"/>
            </w:tcBorders>
            <w:shd w:val="clear" w:color="auto" w:fill="auto"/>
            <w:vAlign w:val="center"/>
            <w:hideMark/>
          </w:tcPr>
          <w:p w14:paraId="7D1E742F" w14:textId="77777777" w:rsidR="003E7651" w:rsidRPr="004B3CF1" w:rsidRDefault="003E7651" w:rsidP="003E7651">
            <w:pPr>
              <w:jc w:val="center"/>
              <w:rPr>
                <w:rFonts w:ascii="Arial" w:hAnsi="Arial" w:cs="Arial"/>
                <w:b/>
                <w:color w:val="000000"/>
                <w:sz w:val="22"/>
                <w:szCs w:val="22"/>
              </w:rPr>
            </w:pPr>
            <w:r w:rsidRPr="004B3CF1">
              <w:rPr>
                <w:rFonts w:ascii="Arial" w:hAnsi="Arial"/>
                <w:b/>
                <w:color w:val="000000"/>
                <w:sz w:val="22"/>
                <w:szCs w:val="22"/>
              </w:rPr>
              <w:t>Persons</w:t>
            </w:r>
          </w:p>
        </w:tc>
      </w:tr>
      <w:tr w:rsidR="003E7651" w:rsidRPr="004B3CF1" w14:paraId="4A077D3C"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hideMark/>
          </w:tcPr>
          <w:p w14:paraId="2CA8E9E8"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BiH</w:t>
            </w:r>
          </w:p>
        </w:tc>
        <w:tc>
          <w:tcPr>
            <w:tcW w:w="1299" w:type="dxa"/>
            <w:tcBorders>
              <w:top w:val="nil"/>
              <w:left w:val="nil"/>
              <w:bottom w:val="single" w:sz="8" w:space="0" w:color="A6A6A6"/>
              <w:right w:val="single" w:sz="8" w:space="0" w:color="A6A6A6"/>
            </w:tcBorders>
            <w:shd w:val="clear" w:color="auto" w:fill="auto"/>
            <w:noWrap/>
            <w:hideMark/>
          </w:tcPr>
          <w:p w14:paraId="67223EB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093" w:type="dxa"/>
            <w:tcBorders>
              <w:top w:val="nil"/>
              <w:left w:val="nil"/>
              <w:bottom w:val="single" w:sz="8" w:space="0" w:color="A6A6A6"/>
              <w:right w:val="single" w:sz="8" w:space="0" w:color="A6A6A6"/>
            </w:tcBorders>
            <w:shd w:val="clear" w:color="auto" w:fill="auto"/>
            <w:noWrap/>
          </w:tcPr>
          <w:p w14:paraId="27CC3591"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299" w:type="dxa"/>
            <w:tcBorders>
              <w:top w:val="nil"/>
              <w:left w:val="nil"/>
              <w:bottom w:val="single" w:sz="8" w:space="0" w:color="A6A6A6"/>
              <w:right w:val="single" w:sz="8" w:space="0" w:color="A6A6A6"/>
            </w:tcBorders>
            <w:shd w:val="clear" w:color="auto" w:fill="auto"/>
            <w:noWrap/>
            <w:hideMark/>
          </w:tcPr>
          <w:p w14:paraId="602FBBA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134" w:type="dxa"/>
            <w:tcBorders>
              <w:top w:val="nil"/>
              <w:left w:val="nil"/>
              <w:bottom w:val="single" w:sz="8" w:space="0" w:color="A6A6A6"/>
              <w:right w:val="nil"/>
            </w:tcBorders>
            <w:shd w:val="clear" w:color="auto" w:fill="auto"/>
            <w:noWrap/>
          </w:tcPr>
          <w:p w14:paraId="223F473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299" w:type="dxa"/>
            <w:tcBorders>
              <w:top w:val="nil"/>
              <w:left w:val="single" w:sz="12" w:space="0" w:color="A6A6A6"/>
              <w:bottom w:val="single" w:sz="8" w:space="0" w:color="A6A6A6"/>
              <w:right w:val="single" w:sz="8" w:space="0" w:color="A6A6A6"/>
            </w:tcBorders>
            <w:shd w:val="clear" w:color="auto" w:fill="auto"/>
            <w:noWrap/>
          </w:tcPr>
          <w:p w14:paraId="709CF13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w:t>
            </w:r>
          </w:p>
        </w:tc>
        <w:tc>
          <w:tcPr>
            <w:tcW w:w="1058" w:type="dxa"/>
            <w:tcBorders>
              <w:top w:val="nil"/>
              <w:left w:val="nil"/>
              <w:bottom w:val="single" w:sz="8" w:space="0" w:color="A6A6A6"/>
              <w:right w:val="single" w:sz="8" w:space="0" w:color="A6A6A6"/>
            </w:tcBorders>
            <w:shd w:val="clear" w:color="auto" w:fill="auto"/>
            <w:noWrap/>
          </w:tcPr>
          <w:p w14:paraId="4FDF7139"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w:t>
            </w:r>
          </w:p>
        </w:tc>
      </w:tr>
      <w:tr w:rsidR="003E7651" w:rsidRPr="004B3CF1" w14:paraId="0ACF55F0"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hideMark/>
          </w:tcPr>
          <w:p w14:paraId="1C5C455C"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FBiH:</w:t>
            </w:r>
          </w:p>
        </w:tc>
        <w:tc>
          <w:tcPr>
            <w:tcW w:w="1299" w:type="dxa"/>
            <w:tcBorders>
              <w:top w:val="nil"/>
              <w:left w:val="nil"/>
              <w:bottom w:val="single" w:sz="8" w:space="0" w:color="A6A6A6"/>
              <w:right w:val="single" w:sz="8" w:space="0" w:color="A6A6A6"/>
            </w:tcBorders>
            <w:shd w:val="clear" w:color="auto" w:fill="auto"/>
            <w:noWrap/>
            <w:hideMark/>
          </w:tcPr>
          <w:p w14:paraId="1ADD96B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56</w:t>
            </w:r>
          </w:p>
        </w:tc>
        <w:tc>
          <w:tcPr>
            <w:tcW w:w="1093" w:type="dxa"/>
            <w:tcBorders>
              <w:top w:val="nil"/>
              <w:left w:val="nil"/>
              <w:bottom w:val="single" w:sz="8" w:space="0" w:color="A6A6A6"/>
              <w:right w:val="single" w:sz="8" w:space="0" w:color="A6A6A6"/>
            </w:tcBorders>
            <w:shd w:val="clear" w:color="auto" w:fill="auto"/>
            <w:noWrap/>
          </w:tcPr>
          <w:p w14:paraId="41ECB2F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99</w:t>
            </w:r>
          </w:p>
        </w:tc>
        <w:tc>
          <w:tcPr>
            <w:tcW w:w="1299" w:type="dxa"/>
            <w:tcBorders>
              <w:top w:val="nil"/>
              <w:left w:val="nil"/>
              <w:bottom w:val="single" w:sz="8" w:space="0" w:color="A6A6A6"/>
              <w:right w:val="single" w:sz="8" w:space="0" w:color="A6A6A6"/>
            </w:tcBorders>
            <w:shd w:val="clear" w:color="auto" w:fill="auto"/>
            <w:noWrap/>
            <w:hideMark/>
          </w:tcPr>
          <w:p w14:paraId="309A938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26</w:t>
            </w:r>
          </w:p>
        </w:tc>
        <w:tc>
          <w:tcPr>
            <w:tcW w:w="1134" w:type="dxa"/>
            <w:tcBorders>
              <w:top w:val="nil"/>
              <w:left w:val="nil"/>
              <w:bottom w:val="single" w:sz="8" w:space="0" w:color="A6A6A6"/>
              <w:right w:val="nil"/>
            </w:tcBorders>
            <w:shd w:val="clear" w:color="auto" w:fill="auto"/>
            <w:noWrap/>
          </w:tcPr>
          <w:p w14:paraId="351BA90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37</w:t>
            </w:r>
          </w:p>
        </w:tc>
        <w:tc>
          <w:tcPr>
            <w:tcW w:w="1299" w:type="dxa"/>
            <w:tcBorders>
              <w:top w:val="nil"/>
              <w:left w:val="single" w:sz="12" w:space="0" w:color="A6A6A6"/>
              <w:bottom w:val="single" w:sz="8" w:space="0" w:color="A6A6A6"/>
              <w:right w:val="single" w:sz="8" w:space="0" w:color="A6A6A6"/>
            </w:tcBorders>
            <w:shd w:val="clear" w:color="auto" w:fill="auto"/>
            <w:noWrap/>
          </w:tcPr>
          <w:p w14:paraId="012FF704"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82</w:t>
            </w:r>
          </w:p>
        </w:tc>
        <w:tc>
          <w:tcPr>
            <w:tcW w:w="1058" w:type="dxa"/>
            <w:tcBorders>
              <w:top w:val="nil"/>
              <w:left w:val="nil"/>
              <w:bottom w:val="single" w:sz="8" w:space="0" w:color="A6A6A6"/>
              <w:right w:val="single" w:sz="8" w:space="0" w:color="A6A6A6"/>
            </w:tcBorders>
            <w:shd w:val="clear" w:color="auto" w:fill="auto"/>
            <w:noWrap/>
          </w:tcPr>
          <w:p w14:paraId="282411E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136</w:t>
            </w:r>
          </w:p>
        </w:tc>
      </w:tr>
      <w:tr w:rsidR="003E7651" w:rsidRPr="004B3CF1" w14:paraId="7B701044"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hideMark/>
          </w:tcPr>
          <w:p w14:paraId="4F208BB3"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RS</w:t>
            </w:r>
          </w:p>
        </w:tc>
        <w:tc>
          <w:tcPr>
            <w:tcW w:w="1299" w:type="dxa"/>
            <w:tcBorders>
              <w:top w:val="nil"/>
              <w:left w:val="nil"/>
              <w:bottom w:val="single" w:sz="8" w:space="0" w:color="A6A6A6"/>
              <w:right w:val="single" w:sz="8" w:space="0" w:color="A6A6A6"/>
            </w:tcBorders>
            <w:shd w:val="clear" w:color="auto" w:fill="auto"/>
            <w:noWrap/>
          </w:tcPr>
          <w:p w14:paraId="2E9C3A5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36</w:t>
            </w:r>
          </w:p>
        </w:tc>
        <w:tc>
          <w:tcPr>
            <w:tcW w:w="1093" w:type="dxa"/>
            <w:tcBorders>
              <w:top w:val="nil"/>
              <w:left w:val="nil"/>
              <w:bottom w:val="single" w:sz="8" w:space="0" w:color="A6A6A6"/>
              <w:right w:val="single" w:sz="8" w:space="0" w:color="A6A6A6"/>
            </w:tcBorders>
            <w:shd w:val="clear" w:color="auto" w:fill="auto"/>
            <w:noWrap/>
          </w:tcPr>
          <w:p w14:paraId="3A77EC55"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58</w:t>
            </w:r>
          </w:p>
        </w:tc>
        <w:tc>
          <w:tcPr>
            <w:tcW w:w="1299" w:type="dxa"/>
            <w:tcBorders>
              <w:top w:val="nil"/>
              <w:left w:val="nil"/>
              <w:bottom w:val="single" w:sz="8" w:space="0" w:color="A6A6A6"/>
              <w:right w:val="single" w:sz="8" w:space="0" w:color="A6A6A6"/>
            </w:tcBorders>
            <w:shd w:val="clear" w:color="auto" w:fill="auto"/>
            <w:noWrap/>
          </w:tcPr>
          <w:p w14:paraId="25B25DF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28</w:t>
            </w:r>
          </w:p>
        </w:tc>
        <w:tc>
          <w:tcPr>
            <w:tcW w:w="1134" w:type="dxa"/>
            <w:tcBorders>
              <w:top w:val="nil"/>
              <w:left w:val="nil"/>
              <w:bottom w:val="single" w:sz="8" w:space="0" w:color="A6A6A6"/>
              <w:right w:val="nil"/>
            </w:tcBorders>
            <w:shd w:val="clear" w:color="auto" w:fill="auto"/>
            <w:noWrap/>
          </w:tcPr>
          <w:p w14:paraId="46CB5B1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34</w:t>
            </w:r>
          </w:p>
        </w:tc>
        <w:tc>
          <w:tcPr>
            <w:tcW w:w="1299" w:type="dxa"/>
            <w:tcBorders>
              <w:top w:val="nil"/>
              <w:left w:val="single" w:sz="12" w:space="0" w:color="A6A6A6"/>
              <w:bottom w:val="single" w:sz="8" w:space="0" w:color="A6A6A6"/>
              <w:right w:val="single" w:sz="8" w:space="0" w:color="A6A6A6"/>
            </w:tcBorders>
            <w:shd w:val="clear" w:color="auto" w:fill="auto"/>
            <w:noWrap/>
          </w:tcPr>
          <w:p w14:paraId="027362F2"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64</w:t>
            </w:r>
          </w:p>
        </w:tc>
        <w:tc>
          <w:tcPr>
            <w:tcW w:w="1058" w:type="dxa"/>
            <w:tcBorders>
              <w:top w:val="nil"/>
              <w:left w:val="nil"/>
              <w:bottom w:val="single" w:sz="8" w:space="0" w:color="A6A6A6"/>
              <w:right w:val="single" w:sz="8" w:space="0" w:color="A6A6A6"/>
            </w:tcBorders>
            <w:shd w:val="clear" w:color="auto" w:fill="auto"/>
            <w:noWrap/>
          </w:tcPr>
          <w:p w14:paraId="1FA7979C"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92</w:t>
            </w:r>
          </w:p>
        </w:tc>
      </w:tr>
      <w:tr w:rsidR="003E7651" w:rsidRPr="004B3CF1" w14:paraId="5BF5DAA2"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hideMark/>
          </w:tcPr>
          <w:p w14:paraId="152CF452"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BD BiH</w:t>
            </w:r>
          </w:p>
        </w:tc>
        <w:tc>
          <w:tcPr>
            <w:tcW w:w="1299" w:type="dxa"/>
            <w:tcBorders>
              <w:top w:val="nil"/>
              <w:left w:val="nil"/>
              <w:bottom w:val="single" w:sz="8" w:space="0" w:color="A6A6A6"/>
              <w:right w:val="single" w:sz="8" w:space="0" w:color="A6A6A6"/>
            </w:tcBorders>
            <w:shd w:val="clear" w:color="auto" w:fill="auto"/>
            <w:noWrap/>
          </w:tcPr>
          <w:p w14:paraId="78A5ABC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093" w:type="dxa"/>
            <w:tcBorders>
              <w:top w:val="nil"/>
              <w:left w:val="nil"/>
              <w:bottom w:val="single" w:sz="8" w:space="0" w:color="A6A6A6"/>
              <w:right w:val="single" w:sz="8" w:space="0" w:color="A6A6A6"/>
            </w:tcBorders>
            <w:shd w:val="clear" w:color="auto" w:fill="auto"/>
            <w:noWrap/>
          </w:tcPr>
          <w:p w14:paraId="06BAED4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w:t>
            </w:r>
          </w:p>
        </w:tc>
        <w:tc>
          <w:tcPr>
            <w:tcW w:w="1299" w:type="dxa"/>
            <w:tcBorders>
              <w:top w:val="nil"/>
              <w:left w:val="nil"/>
              <w:bottom w:val="single" w:sz="8" w:space="0" w:color="A6A6A6"/>
              <w:right w:val="single" w:sz="8" w:space="0" w:color="A6A6A6"/>
            </w:tcBorders>
            <w:shd w:val="clear" w:color="auto" w:fill="auto"/>
            <w:noWrap/>
          </w:tcPr>
          <w:p w14:paraId="4C2D481B"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134" w:type="dxa"/>
            <w:tcBorders>
              <w:top w:val="nil"/>
              <w:left w:val="nil"/>
              <w:bottom w:val="single" w:sz="8" w:space="0" w:color="A6A6A6"/>
              <w:right w:val="nil"/>
            </w:tcBorders>
            <w:shd w:val="clear" w:color="auto" w:fill="auto"/>
            <w:noWrap/>
          </w:tcPr>
          <w:p w14:paraId="00341E10"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0</w:t>
            </w:r>
          </w:p>
        </w:tc>
        <w:tc>
          <w:tcPr>
            <w:tcW w:w="1299" w:type="dxa"/>
            <w:tcBorders>
              <w:top w:val="nil"/>
              <w:left w:val="single" w:sz="12" w:space="0" w:color="A6A6A6"/>
              <w:bottom w:val="single" w:sz="8" w:space="0" w:color="A6A6A6"/>
              <w:right w:val="single" w:sz="8" w:space="0" w:color="A6A6A6"/>
            </w:tcBorders>
            <w:shd w:val="clear" w:color="auto" w:fill="auto"/>
            <w:noWrap/>
          </w:tcPr>
          <w:p w14:paraId="6A71EEA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w:t>
            </w:r>
          </w:p>
        </w:tc>
        <w:tc>
          <w:tcPr>
            <w:tcW w:w="1058" w:type="dxa"/>
            <w:tcBorders>
              <w:top w:val="nil"/>
              <w:left w:val="nil"/>
              <w:bottom w:val="single" w:sz="8" w:space="0" w:color="A6A6A6"/>
              <w:right w:val="single" w:sz="8" w:space="0" w:color="A6A6A6"/>
            </w:tcBorders>
            <w:shd w:val="clear" w:color="auto" w:fill="auto"/>
            <w:noWrap/>
          </w:tcPr>
          <w:p w14:paraId="2FDD684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w:t>
            </w:r>
          </w:p>
        </w:tc>
      </w:tr>
      <w:tr w:rsidR="003E7651" w:rsidRPr="004B3CF1" w14:paraId="6EAFAE49" w14:textId="77777777" w:rsidTr="003E7651">
        <w:trPr>
          <w:trHeight w:val="315"/>
        </w:trPr>
        <w:tc>
          <w:tcPr>
            <w:tcW w:w="2103" w:type="dxa"/>
            <w:tcBorders>
              <w:top w:val="nil"/>
              <w:left w:val="single" w:sz="8" w:space="0" w:color="A6A6A6"/>
              <w:bottom w:val="single" w:sz="8" w:space="0" w:color="A6A6A6"/>
              <w:right w:val="single" w:sz="8" w:space="0" w:color="A6A6A6"/>
            </w:tcBorders>
            <w:shd w:val="clear" w:color="auto" w:fill="auto"/>
            <w:noWrap/>
            <w:hideMark/>
          </w:tcPr>
          <w:p w14:paraId="01D16234" w14:textId="77777777" w:rsidR="003E7651" w:rsidRPr="004B3CF1" w:rsidRDefault="003E7651" w:rsidP="003E7651">
            <w:pPr>
              <w:autoSpaceDE w:val="0"/>
              <w:autoSpaceDN w:val="0"/>
              <w:adjustRightInd w:val="0"/>
              <w:rPr>
                <w:rFonts w:ascii="Arial" w:hAnsi="Arial" w:cs="Arial"/>
                <w:b/>
                <w:bCs/>
                <w:color w:val="000000"/>
                <w:sz w:val="22"/>
                <w:szCs w:val="22"/>
              </w:rPr>
            </w:pPr>
            <w:r w:rsidRPr="004B3CF1">
              <w:rPr>
                <w:rFonts w:ascii="Arial" w:hAnsi="Arial"/>
                <w:b/>
                <w:bCs/>
                <w:color w:val="000000"/>
                <w:sz w:val="22"/>
                <w:szCs w:val="22"/>
              </w:rPr>
              <w:t>TOTAL</w:t>
            </w:r>
          </w:p>
        </w:tc>
        <w:tc>
          <w:tcPr>
            <w:tcW w:w="1299" w:type="dxa"/>
            <w:tcBorders>
              <w:top w:val="nil"/>
              <w:left w:val="nil"/>
              <w:bottom w:val="single" w:sz="8" w:space="0" w:color="A6A6A6"/>
              <w:right w:val="single" w:sz="8" w:space="0" w:color="A6A6A6"/>
            </w:tcBorders>
            <w:shd w:val="clear" w:color="auto" w:fill="auto"/>
            <w:noWrap/>
          </w:tcPr>
          <w:p w14:paraId="58B1273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93</w:t>
            </w:r>
          </w:p>
        </w:tc>
        <w:tc>
          <w:tcPr>
            <w:tcW w:w="1093" w:type="dxa"/>
            <w:tcBorders>
              <w:top w:val="nil"/>
              <w:left w:val="nil"/>
              <w:bottom w:val="single" w:sz="8" w:space="0" w:color="A6A6A6"/>
              <w:right w:val="single" w:sz="8" w:space="0" w:color="A6A6A6"/>
            </w:tcBorders>
            <w:shd w:val="clear" w:color="auto" w:fill="auto"/>
            <w:noWrap/>
          </w:tcPr>
          <w:p w14:paraId="1F39C638"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158</w:t>
            </w:r>
          </w:p>
        </w:tc>
        <w:tc>
          <w:tcPr>
            <w:tcW w:w="1299" w:type="dxa"/>
            <w:tcBorders>
              <w:top w:val="nil"/>
              <w:left w:val="nil"/>
              <w:bottom w:val="single" w:sz="8" w:space="0" w:color="A6A6A6"/>
              <w:right w:val="single" w:sz="8" w:space="0" w:color="A6A6A6"/>
            </w:tcBorders>
            <w:shd w:val="clear" w:color="auto" w:fill="auto"/>
            <w:noWrap/>
          </w:tcPr>
          <w:p w14:paraId="06761209"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55</w:t>
            </w:r>
          </w:p>
        </w:tc>
        <w:tc>
          <w:tcPr>
            <w:tcW w:w="1134" w:type="dxa"/>
            <w:tcBorders>
              <w:top w:val="nil"/>
              <w:left w:val="nil"/>
              <w:bottom w:val="single" w:sz="8" w:space="0" w:color="A6A6A6"/>
              <w:right w:val="nil"/>
            </w:tcBorders>
            <w:shd w:val="clear" w:color="auto" w:fill="auto"/>
            <w:noWrap/>
          </w:tcPr>
          <w:p w14:paraId="7A9EA5E1"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72</w:t>
            </w:r>
          </w:p>
        </w:tc>
        <w:tc>
          <w:tcPr>
            <w:tcW w:w="1299" w:type="dxa"/>
            <w:tcBorders>
              <w:top w:val="nil"/>
              <w:left w:val="single" w:sz="12" w:space="0" w:color="A6A6A6"/>
              <w:bottom w:val="single" w:sz="8" w:space="0" w:color="A6A6A6"/>
              <w:right w:val="single" w:sz="8" w:space="0" w:color="A6A6A6"/>
            </w:tcBorders>
            <w:shd w:val="clear" w:color="auto" w:fill="auto"/>
            <w:noWrap/>
          </w:tcPr>
          <w:p w14:paraId="334E94F0"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148</w:t>
            </w:r>
          </w:p>
        </w:tc>
        <w:tc>
          <w:tcPr>
            <w:tcW w:w="1058" w:type="dxa"/>
            <w:tcBorders>
              <w:top w:val="nil"/>
              <w:left w:val="nil"/>
              <w:bottom w:val="single" w:sz="8" w:space="0" w:color="A6A6A6"/>
              <w:right w:val="single" w:sz="8" w:space="0" w:color="A6A6A6"/>
            </w:tcBorders>
            <w:shd w:val="clear" w:color="auto" w:fill="auto"/>
            <w:noWrap/>
          </w:tcPr>
          <w:p w14:paraId="68B479C0"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230</w:t>
            </w:r>
          </w:p>
        </w:tc>
      </w:tr>
    </w:tbl>
    <w:p w14:paraId="64BE2A2B" w14:textId="77777777" w:rsidR="003E7651" w:rsidRPr="004B3CF1" w:rsidRDefault="003E7651" w:rsidP="003E7651">
      <w:pPr>
        <w:spacing w:after="120"/>
        <w:jc w:val="both"/>
        <w:rPr>
          <w:rFonts w:ascii="Arial" w:hAnsi="Arial" w:cs="Arial"/>
        </w:rPr>
      </w:pPr>
    </w:p>
    <w:p w14:paraId="6E649301" w14:textId="77777777" w:rsidR="003E7651" w:rsidRPr="004B3CF1" w:rsidRDefault="003E7651" w:rsidP="003E7651">
      <w:pPr>
        <w:pStyle w:val="Tekst"/>
      </w:pPr>
      <w:r w:rsidRPr="004B3CF1">
        <w:t>In 2021, the functionality with special indicators for monitoring the statute of limitations has been introduced in the TCMS in order to alert prosecutors about the approaching statute of limitations in criminal cases.</w:t>
      </w:r>
    </w:p>
    <w:p w14:paraId="23686FF9" w14:textId="77777777" w:rsidR="003E7651" w:rsidRPr="004B3CF1" w:rsidRDefault="003E7651" w:rsidP="003E7651">
      <w:pPr>
        <w:pStyle w:val="TREINASLOV"/>
      </w:pPr>
      <w:bookmarkStart w:id="243" w:name="_Toc97722107"/>
      <w:bookmarkStart w:id="244" w:name="_Toc101944287"/>
      <w:bookmarkStart w:id="245" w:name="_Toc112852493"/>
      <w:r w:rsidRPr="004B3CF1">
        <w:t>Breakdown of crimes</w:t>
      </w:r>
      <w:bookmarkEnd w:id="243"/>
      <w:bookmarkEnd w:id="244"/>
      <w:bookmarkEnd w:id="245"/>
    </w:p>
    <w:p w14:paraId="789C586E" w14:textId="77777777" w:rsidR="003E7651" w:rsidRPr="004B3CF1" w:rsidRDefault="003E7651" w:rsidP="003E7651">
      <w:pPr>
        <w:pStyle w:val="Tekst"/>
      </w:pPr>
      <w:r w:rsidRPr="004B3CF1">
        <w:t xml:space="preserve">The following table presents data on the number of indictments by chapters of the BiH Criminal Code, since the crimes under these chapters account for most indictments filed in 2021. As in </w:t>
      </w:r>
      <w:r>
        <w:t>2020, the crimes listed in the t</w:t>
      </w:r>
      <w:r w:rsidRPr="004B3CF1">
        <w:t xml:space="preserve">able account for 80% of the total number of indictments filed in 2021. </w:t>
      </w:r>
    </w:p>
    <w:p w14:paraId="20F95DE9" w14:textId="77777777" w:rsidR="003E7651" w:rsidRPr="004B3CF1" w:rsidRDefault="003E7651" w:rsidP="003E7651">
      <w:pPr>
        <w:pStyle w:val="Tekst"/>
      </w:pPr>
      <w:r w:rsidRPr="004B3CF1">
        <w:t xml:space="preserve">Complete data on the breakdown of crimes and data on all chapters and articles of criminal codes are available at vsts.pravosudje.ba.  </w:t>
      </w:r>
    </w:p>
    <w:p w14:paraId="1994877E" w14:textId="77777777" w:rsidR="003E7651" w:rsidRPr="004B3CF1" w:rsidRDefault="003E7651" w:rsidP="003E7651">
      <w:pPr>
        <w:pStyle w:val="Tekst"/>
        <w:rPr>
          <w:rFonts w:cs="Arial"/>
        </w:rPr>
      </w:pPr>
    </w:p>
    <w:p w14:paraId="721EAA10" w14:textId="77777777" w:rsidR="003E7651" w:rsidRPr="004B3CF1" w:rsidRDefault="003E7651" w:rsidP="003E7651">
      <w:pPr>
        <w:pStyle w:val="Caption"/>
      </w:pPr>
      <w:r w:rsidRPr="004B3CF1">
        <w:t xml:space="preserve">Table </w:t>
      </w:r>
      <w:r w:rsidR="006D1459">
        <w:fldChar w:fldCharType="begin"/>
      </w:r>
      <w:r w:rsidR="006D1459">
        <w:instrText xml:space="preserve"> SEQ Tablica</w:instrText>
      </w:r>
      <w:r w:rsidR="006D1459">
        <w:instrText xml:space="preserve"> \* ARABIC </w:instrText>
      </w:r>
      <w:r w:rsidR="006D1459">
        <w:fldChar w:fldCharType="separate"/>
      </w:r>
      <w:r w:rsidRPr="004B3CF1">
        <w:t>21</w:t>
      </w:r>
      <w:r w:rsidR="006D1459">
        <w:fldChar w:fldCharType="end"/>
      </w:r>
      <w:r w:rsidRPr="004B3CF1">
        <w:t>: Breakdown of crimes</w:t>
      </w:r>
    </w:p>
    <w:tbl>
      <w:tblPr>
        <w:tblW w:w="9119" w:type="dxa"/>
        <w:tblInd w:w="-10" w:type="dxa"/>
        <w:tblLook w:val="04A0" w:firstRow="1" w:lastRow="0" w:firstColumn="1" w:lastColumn="0" w:noHBand="0" w:noVBand="1"/>
      </w:tblPr>
      <w:tblGrid>
        <w:gridCol w:w="1140"/>
        <w:gridCol w:w="1416"/>
        <w:gridCol w:w="2695"/>
        <w:gridCol w:w="1098"/>
        <w:gridCol w:w="889"/>
        <w:gridCol w:w="990"/>
        <w:gridCol w:w="891"/>
      </w:tblGrid>
      <w:tr w:rsidR="003E7651" w:rsidRPr="004B3CF1" w14:paraId="7683DA18" w14:textId="77777777" w:rsidTr="003E7651">
        <w:trPr>
          <w:trHeight w:val="900"/>
        </w:trPr>
        <w:tc>
          <w:tcPr>
            <w:tcW w:w="1140"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1D6F17FC"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Law</w:t>
            </w:r>
          </w:p>
        </w:tc>
        <w:tc>
          <w:tcPr>
            <w:tcW w:w="1416"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49F7CEE0"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Chapter</w:t>
            </w:r>
          </w:p>
        </w:tc>
        <w:tc>
          <w:tcPr>
            <w:tcW w:w="2695"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42C84749"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Description</w:t>
            </w:r>
          </w:p>
        </w:tc>
        <w:tc>
          <w:tcPr>
            <w:tcW w:w="1987" w:type="dxa"/>
            <w:gridSpan w:val="2"/>
            <w:tcBorders>
              <w:top w:val="single" w:sz="8" w:space="0" w:color="A6A6A6"/>
              <w:left w:val="nil"/>
              <w:bottom w:val="single" w:sz="8" w:space="0" w:color="A6A6A6"/>
              <w:right w:val="single" w:sz="8" w:space="0" w:color="A6A6A6"/>
            </w:tcBorders>
            <w:shd w:val="clear" w:color="auto" w:fill="auto"/>
            <w:tcMar>
              <w:left w:w="28" w:type="dxa"/>
              <w:right w:w="28" w:type="dxa"/>
            </w:tcMar>
            <w:vAlign w:val="center"/>
            <w:hideMark/>
          </w:tcPr>
          <w:p w14:paraId="1863822E"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Indictments filed in 2020</w:t>
            </w:r>
          </w:p>
        </w:tc>
        <w:tc>
          <w:tcPr>
            <w:tcW w:w="1881" w:type="dxa"/>
            <w:gridSpan w:val="2"/>
            <w:tcBorders>
              <w:top w:val="single" w:sz="8" w:space="0" w:color="A6A6A6"/>
              <w:left w:val="nil"/>
              <w:bottom w:val="single" w:sz="8" w:space="0" w:color="A6A6A6"/>
              <w:right w:val="single" w:sz="8" w:space="0" w:color="A6A6A6"/>
            </w:tcBorders>
            <w:shd w:val="clear" w:color="auto" w:fill="auto"/>
            <w:tcMar>
              <w:left w:w="28" w:type="dxa"/>
              <w:right w:w="28" w:type="dxa"/>
            </w:tcMar>
            <w:vAlign w:val="center"/>
            <w:hideMark/>
          </w:tcPr>
          <w:p w14:paraId="3C85DD34"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Indictments filed in 2021</w:t>
            </w:r>
          </w:p>
        </w:tc>
      </w:tr>
      <w:tr w:rsidR="003E7651" w:rsidRPr="004B3CF1" w14:paraId="30CD6E9C" w14:textId="77777777" w:rsidTr="003E7651">
        <w:trPr>
          <w:trHeight w:val="315"/>
        </w:trPr>
        <w:tc>
          <w:tcPr>
            <w:tcW w:w="1140" w:type="dxa"/>
            <w:vMerge/>
            <w:tcBorders>
              <w:top w:val="single" w:sz="8" w:space="0" w:color="A6A6A6"/>
              <w:left w:val="single" w:sz="8" w:space="0" w:color="A6A6A6"/>
              <w:bottom w:val="single" w:sz="8" w:space="0" w:color="A6A6A6"/>
              <w:right w:val="single" w:sz="8" w:space="0" w:color="A6A6A6"/>
            </w:tcBorders>
            <w:vAlign w:val="center"/>
            <w:hideMark/>
          </w:tcPr>
          <w:p w14:paraId="3B52D27D" w14:textId="77777777" w:rsidR="003E7651" w:rsidRPr="004B3CF1" w:rsidRDefault="003E7651" w:rsidP="003E7651">
            <w:pPr>
              <w:ind w:left="4" w:hanging="4"/>
              <w:rPr>
                <w:rFonts w:ascii="Arial" w:hAnsi="Arial" w:cs="Arial"/>
                <w:color w:val="000000"/>
                <w:sz w:val="22"/>
                <w:szCs w:val="22"/>
              </w:rPr>
            </w:pPr>
          </w:p>
        </w:tc>
        <w:tc>
          <w:tcPr>
            <w:tcW w:w="1416" w:type="dxa"/>
            <w:vMerge/>
            <w:tcBorders>
              <w:top w:val="single" w:sz="8" w:space="0" w:color="A6A6A6"/>
              <w:left w:val="single" w:sz="8" w:space="0" w:color="A6A6A6"/>
              <w:bottom w:val="single" w:sz="8" w:space="0" w:color="A6A6A6"/>
              <w:right w:val="single" w:sz="8" w:space="0" w:color="A6A6A6"/>
            </w:tcBorders>
            <w:vAlign w:val="center"/>
            <w:hideMark/>
          </w:tcPr>
          <w:p w14:paraId="7361E457" w14:textId="77777777" w:rsidR="003E7651" w:rsidRPr="004B3CF1" w:rsidRDefault="003E7651" w:rsidP="003E7651">
            <w:pPr>
              <w:ind w:left="4" w:hanging="4"/>
              <w:rPr>
                <w:rFonts w:ascii="Arial" w:hAnsi="Arial" w:cs="Arial"/>
                <w:color w:val="000000"/>
                <w:sz w:val="22"/>
                <w:szCs w:val="22"/>
              </w:rPr>
            </w:pPr>
          </w:p>
        </w:tc>
        <w:tc>
          <w:tcPr>
            <w:tcW w:w="2695" w:type="dxa"/>
            <w:vMerge/>
            <w:tcBorders>
              <w:top w:val="single" w:sz="8" w:space="0" w:color="A6A6A6"/>
              <w:left w:val="single" w:sz="8" w:space="0" w:color="A6A6A6"/>
              <w:bottom w:val="single" w:sz="8" w:space="0" w:color="A6A6A6"/>
              <w:right w:val="single" w:sz="8" w:space="0" w:color="A6A6A6"/>
            </w:tcBorders>
            <w:vAlign w:val="center"/>
            <w:hideMark/>
          </w:tcPr>
          <w:p w14:paraId="0D81E322" w14:textId="77777777" w:rsidR="003E7651" w:rsidRPr="004B3CF1" w:rsidRDefault="003E7651" w:rsidP="003E7651">
            <w:pPr>
              <w:ind w:left="4" w:hanging="4"/>
              <w:rPr>
                <w:rFonts w:ascii="Arial" w:hAnsi="Arial" w:cs="Arial"/>
                <w:color w:val="000000"/>
                <w:sz w:val="22"/>
                <w:szCs w:val="22"/>
              </w:rPr>
            </w:pPr>
          </w:p>
        </w:tc>
        <w:tc>
          <w:tcPr>
            <w:tcW w:w="1098"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4AF336D7"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Cases</w:t>
            </w:r>
          </w:p>
        </w:tc>
        <w:tc>
          <w:tcPr>
            <w:tcW w:w="889"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6F8BA561"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Persons</w:t>
            </w:r>
          </w:p>
        </w:tc>
        <w:tc>
          <w:tcPr>
            <w:tcW w:w="990"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5B545AD2"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Cases</w:t>
            </w:r>
          </w:p>
        </w:tc>
        <w:tc>
          <w:tcPr>
            <w:tcW w:w="891"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4E2D095F" w14:textId="77777777" w:rsidR="003E7651" w:rsidRPr="004B3CF1" w:rsidRDefault="003E7651" w:rsidP="003E7651">
            <w:pPr>
              <w:ind w:left="4" w:hanging="4"/>
              <w:jc w:val="center"/>
              <w:rPr>
                <w:rFonts w:ascii="Arial" w:hAnsi="Arial" w:cs="Arial"/>
                <w:color w:val="000000"/>
                <w:sz w:val="22"/>
                <w:szCs w:val="22"/>
              </w:rPr>
            </w:pPr>
            <w:r w:rsidRPr="004B3CF1">
              <w:rPr>
                <w:rFonts w:ascii="Arial" w:hAnsi="Arial"/>
                <w:color w:val="000000"/>
                <w:sz w:val="22"/>
                <w:szCs w:val="22"/>
              </w:rPr>
              <w:t>Persons</w:t>
            </w:r>
          </w:p>
        </w:tc>
      </w:tr>
      <w:tr w:rsidR="003E7651" w:rsidRPr="004B3CF1" w14:paraId="01D799D0" w14:textId="77777777" w:rsidTr="003E7651">
        <w:trPr>
          <w:trHeight w:val="615"/>
        </w:trPr>
        <w:tc>
          <w:tcPr>
            <w:tcW w:w="1140" w:type="dxa"/>
            <w:vMerge w:val="restart"/>
            <w:tcBorders>
              <w:top w:val="nil"/>
              <w:left w:val="single" w:sz="8" w:space="0" w:color="A6A6A6"/>
              <w:bottom w:val="single" w:sz="8" w:space="0" w:color="A6A6A6"/>
              <w:right w:val="single" w:sz="8" w:space="0" w:color="A6A6A6"/>
            </w:tcBorders>
            <w:shd w:val="clear" w:color="auto" w:fill="auto"/>
            <w:vAlign w:val="center"/>
            <w:hideMark/>
          </w:tcPr>
          <w:p w14:paraId="54191C21"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Code of BiH</w:t>
            </w: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62590670"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BiH Chapter XVIII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0C58D879"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economy and market integrity and criminal offences in the area of customs</w:t>
            </w:r>
          </w:p>
        </w:tc>
        <w:tc>
          <w:tcPr>
            <w:tcW w:w="1098" w:type="dxa"/>
            <w:tcBorders>
              <w:top w:val="nil"/>
              <w:left w:val="nil"/>
              <w:bottom w:val="single" w:sz="8" w:space="0" w:color="A6A6A6"/>
              <w:right w:val="single" w:sz="8" w:space="0" w:color="A6A6A6"/>
            </w:tcBorders>
            <w:shd w:val="clear" w:color="auto" w:fill="auto"/>
            <w:vAlign w:val="center"/>
            <w:hideMark/>
          </w:tcPr>
          <w:p w14:paraId="47754F0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72</w:t>
            </w:r>
          </w:p>
        </w:tc>
        <w:tc>
          <w:tcPr>
            <w:tcW w:w="889" w:type="dxa"/>
            <w:tcBorders>
              <w:top w:val="nil"/>
              <w:left w:val="nil"/>
              <w:bottom w:val="single" w:sz="8" w:space="0" w:color="A6A6A6"/>
              <w:right w:val="single" w:sz="8" w:space="0" w:color="A6A6A6"/>
            </w:tcBorders>
            <w:shd w:val="clear" w:color="auto" w:fill="auto"/>
            <w:vAlign w:val="center"/>
            <w:hideMark/>
          </w:tcPr>
          <w:p w14:paraId="7A64CA47"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86</w:t>
            </w:r>
          </w:p>
        </w:tc>
        <w:tc>
          <w:tcPr>
            <w:tcW w:w="990" w:type="dxa"/>
            <w:tcBorders>
              <w:top w:val="nil"/>
              <w:left w:val="nil"/>
              <w:bottom w:val="single" w:sz="8" w:space="0" w:color="A6A6A6"/>
              <w:right w:val="single" w:sz="8" w:space="0" w:color="A6A6A6"/>
            </w:tcBorders>
            <w:shd w:val="clear" w:color="auto" w:fill="auto"/>
            <w:vAlign w:val="center"/>
          </w:tcPr>
          <w:p w14:paraId="07B0FBBC"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98</w:t>
            </w:r>
          </w:p>
        </w:tc>
        <w:tc>
          <w:tcPr>
            <w:tcW w:w="891" w:type="dxa"/>
            <w:tcBorders>
              <w:top w:val="nil"/>
              <w:left w:val="nil"/>
              <w:bottom w:val="single" w:sz="8" w:space="0" w:color="A6A6A6"/>
              <w:right w:val="single" w:sz="8" w:space="0" w:color="A6A6A6"/>
            </w:tcBorders>
            <w:shd w:val="clear" w:color="auto" w:fill="auto"/>
            <w:vAlign w:val="center"/>
          </w:tcPr>
          <w:p w14:paraId="2BB60B2D"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131</w:t>
            </w:r>
          </w:p>
        </w:tc>
      </w:tr>
      <w:tr w:rsidR="003E7651" w:rsidRPr="004B3CF1" w14:paraId="0539E0B0" w14:textId="77777777" w:rsidTr="003E7651">
        <w:trPr>
          <w:trHeight w:val="915"/>
        </w:trPr>
        <w:tc>
          <w:tcPr>
            <w:tcW w:w="1140" w:type="dxa"/>
            <w:vMerge/>
            <w:tcBorders>
              <w:top w:val="nil"/>
              <w:left w:val="single" w:sz="8" w:space="0" w:color="A6A6A6"/>
              <w:bottom w:val="single" w:sz="8" w:space="0" w:color="A6A6A6"/>
              <w:right w:val="single" w:sz="8" w:space="0" w:color="A6A6A6"/>
            </w:tcBorders>
            <w:vAlign w:val="center"/>
            <w:hideMark/>
          </w:tcPr>
          <w:p w14:paraId="47347995"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43292BBD"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BiH Chapter XVII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1D7FBDA4"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humanity and values protected under international law</w:t>
            </w:r>
          </w:p>
        </w:tc>
        <w:tc>
          <w:tcPr>
            <w:tcW w:w="1098" w:type="dxa"/>
            <w:tcBorders>
              <w:top w:val="nil"/>
              <w:left w:val="nil"/>
              <w:bottom w:val="single" w:sz="8" w:space="0" w:color="A6A6A6"/>
              <w:right w:val="single" w:sz="8" w:space="0" w:color="A6A6A6"/>
            </w:tcBorders>
            <w:shd w:val="clear" w:color="auto" w:fill="auto"/>
            <w:vAlign w:val="center"/>
            <w:hideMark/>
          </w:tcPr>
          <w:p w14:paraId="489AF71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60</w:t>
            </w:r>
          </w:p>
        </w:tc>
        <w:tc>
          <w:tcPr>
            <w:tcW w:w="889" w:type="dxa"/>
            <w:tcBorders>
              <w:top w:val="nil"/>
              <w:left w:val="nil"/>
              <w:bottom w:val="single" w:sz="8" w:space="0" w:color="A6A6A6"/>
              <w:right w:val="single" w:sz="8" w:space="0" w:color="A6A6A6"/>
            </w:tcBorders>
            <w:shd w:val="clear" w:color="auto" w:fill="auto"/>
            <w:vAlign w:val="center"/>
            <w:hideMark/>
          </w:tcPr>
          <w:p w14:paraId="7C064E9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106</w:t>
            </w:r>
          </w:p>
        </w:tc>
        <w:tc>
          <w:tcPr>
            <w:tcW w:w="990" w:type="dxa"/>
            <w:tcBorders>
              <w:top w:val="nil"/>
              <w:left w:val="nil"/>
              <w:bottom w:val="single" w:sz="8" w:space="0" w:color="A6A6A6"/>
              <w:right w:val="single" w:sz="8" w:space="0" w:color="A6A6A6"/>
            </w:tcBorders>
            <w:shd w:val="clear" w:color="auto" w:fill="auto"/>
            <w:vAlign w:val="center"/>
          </w:tcPr>
          <w:p w14:paraId="19023F97"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40</w:t>
            </w:r>
          </w:p>
        </w:tc>
        <w:tc>
          <w:tcPr>
            <w:tcW w:w="891" w:type="dxa"/>
            <w:tcBorders>
              <w:top w:val="nil"/>
              <w:left w:val="nil"/>
              <w:bottom w:val="single" w:sz="8" w:space="0" w:color="A6A6A6"/>
              <w:right w:val="single" w:sz="8" w:space="0" w:color="A6A6A6"/>
            </w:tcBorders>
            <w:shd w:val="clear" w:color="auto" w:fill="auto"/>
            <w:vAlign w:val="center"/>
          </w:tcPr>
          <w:p w14:paraId="064E4F03"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96</w:t>
            </w:r>
          </w:p>
        </w:tc>
      </w:tr>
      <w:tr w:rsidR="003E7651" w:rsidRPr="004B3CF1" w14:paraId="4A79D7E4" w14:textId="77777777" w:rsidTr="003E7651">
        <w:trPr>
          <w:trHeight w:val="615"/>
        </w:trPr>
        <w:tc>
          <w:tcPr>
            <w:tcW w:w="1140" w:type="dxa"/>
            <w:vMerge w:val="restart"/>
            <w:tcBorders>
              <w:top w:val="nil"/>
              <w:left w:val="single" w:sz="8" w:space="0" w:color="A6A6A6"/>
              <w:right w:val="single" w:sz="8" w:space="0" w:color="A6A6A6"/>
            </w:tcBorders>
            <w:shd w:val="clear" w:color="auto" w:fill="auto"/>
            <w:vAlign w:val="center"/>
            <w:hideMark/>
          </w:tcPr>
          <w:p w14:paraId="186D7510"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Code of the FBiH </w:t>
            </w: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3A30B856"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FBiH CHAPTER XXV</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7A1C86B1"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 xml:space="preserve">Criminal offences against human health </w:t>
            </w:r>
          </w:p>
        </w:tc>
        <w:tc>
          <w:tcPr>
            <w:tcW w:w="1098" w:type="dxa"/>
            <w:tcBorders>
              <w:top w:val="nil"/>
              <w:left w:val="nil"/>
              <w:bottom w:val="single" w:sz="8" w:space="0" w:color="A6A6A6"/>
              <w:right w:val="single" w:sz="8" w:space="0" w:color="A6A6A6"/>
            </w:tcBorders>
            <w:shd w:val="clear" w:color="auto" w:fill="auto"/>
            <w:vAlign w:val="center"/>
            <w:hideMark/>
          </w:tcPr>
          <w:p w14:paraId="3368312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1,841</w:t>
            </w:r>
          </w:p>
        </w:tc>
        <w:tc>
          <w:tcPr>
            <w:tcW w:w="889" w:type="dxa"/>
            <w:tcBorders>
              <w:top w:val="nil"/>
              <w:left w:val="nil"/>
              <w:bottom w:val="single" w:sz="8" w:space="0" w:color="A6A6A6"/>
              <w:right w:val="single" w:sz="8" w:space="0" w:color="A6A6A6"/>
            </w:tcBorders>
            <w:shd w:val="clear" w:color="auto" w:fill="auto"/>
            <w:vAlign w:val="center"/>
            <w:hideMark/>
          </w:tcPr>
          <w:p w14:paraId="3F31B081"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1,964</w:t>
            </w:r>
          </w:p>
        </w:tc>
        <w:tc>
          <w:tcPr>
            <w:tcW w:w="990" w:type="dxa"/>
            <w:tcBorders>
              <w:top w:val="nil"/>
              <w:left w:val="nil"/>
              <w:bottom w:val="single" w:sz="8" w:space="0" w:color="A6A6A6"/>
              <w:right w:val="single" w:sz="8" w:space="0" w:color="A6A6A6"/>
            </w:tcBorders>
            <w:shd w:val="clear" w:color="auto" w:fill="auto"/>
            <w:vAlign w:val="center"/>
          </w:tcPr>
          <w:p w14:paraId="704D25D1"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1,866</w:t>
            </w:r>
          </w:p>
        </w:tc>
        <w:tc>
          <w:tcPr>
            <w:tcW w:w="891" w:type="dxa"/>
            <w:tcBorders>
              <w:top w:val="nil"/>
              <w:left w:val="nil"/>
              <w:bottom w:val="single" w:sz="8" w:space="0" w:color="A6A6A6"/>
              <w:right w:val="single" w:sz="8" w:space="0" w:color="A6A6A6"/>
            </w:tcBorders>
            <w:shd w:val="clear" w:color="auto" w:fill="auto"/>
            <w:vAlign w:val="center"/>
          </w:tcPr>
          <w:p w14:paraId="5AB0C4C6"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1,982</w:t>
            </w:r>
          </w:p>
        </w:tc>
      </w:tr>
      <w:tr w:rsidR="003E7651" w:rsidRPr="004B3CF1" w14:paraId="2F00FC40" w14:textId="77777777" w:rsidTr="003E7651">
        <w:trPr>
          <w:trHeight w:val="315"/>
        </w:trPr>
        <w:tc>
          <w:tcPr>
            <w:tcW w:w="1140" w:type="dxa"/>
            <w:vMerge/>
            <w:tcBorders>
              <w:left w:val="single" w:sz="8" w:space="0" w:color="A6A6A6"/>
              <w:right w:val="single" w:sz="8" w:space="0" w:color="A6A6A6"/>
            </w:tcBorders>
            <w:vAlign w:val="center"/>
            <w:hideMark/>
          </w:tcPr>
          <w:p w14:paraId="3F5C1840"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4B1B2199"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FBiH CHAPTER XXV</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6AE4B5F5"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property</w:t>
            </w:r>
          </w:p>
        </w:tc>
        <w:tc>
          <w:tcPr>
            <w:tcW w:w="1098" w:type="dxa"/>
            <w:tcBorders>
              <w:top w:val="nil"/>
              <w:left w:val="nil"/>
              <w:bottom w:val="single" w:sz="8" w:space="0" w:color="A6A6A6"/>
              <w:right w:val="single" w:sz="8" w:space="0" w:color="A6A6A6"/>
            </w:tcBorders>
            <w:shd w:val="clear" w:color="auto" w:fill="auto"/>
            <w:vAlign w:val="center"/>
            <w:hideMark/>
          </w:tcPr>
          <w:p w14:paraId="63256DDD"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1,436</w:t>
            </w:r>
          </w:p>
        </w:tc>
        <w:tc>
          <w:tcPr>
            <w:tcW w:w="889" w:type="dxa"/>
            <w:tcBorders>
              <w:top w:val="nil"/>
              <w:left w:val="nil"/>
              <w:bottom w:val="single" w:sz="8" w:space="0" w:color="A6A6A6"/>
              <w:right w:val="single" w:sz="8" w:space="0" w:color="A6A6A6"/>
            </w:tcBorders>
            <w:shd w:val="clear" w:color="auto" w:fill="auto"/>
            <w:vAlign w:val="center"/>
            <w:hideMark/>
          </w:tcPr>
          <w:p w14:paraId="2DF4ACD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1,798</w:t>
            </w:r>
          </w:p>
        </w:tc>
        <w:tc>
          <w:tcPr>
            <w:tcW w:w="990" w:type="dxa"/>
            <w:tcBorders>
              <w:top w:val="nil"/>
              <w:left w:val="nil"/>
              <w:bottom w:val="single" w:sz="8" w:space="0" w:color="A6A6A6"/>
              <w:right w:val="single" w:sz="8" w:space="0" w:color="A6A6A6"/>
            </w:tcBorders>
            <w:shd w:val="clear" w:color="auto" w:fill="auto"/>
            <w:vAlign w:val="center"/>
          </w:tcPr>
          <w:p w14:paraId="1E97DA73"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1,770</w:t>
            </w:r>
          </w:p>
        </w:tc>
        <w:tc>
          <w:tcPr>
            <w:tcW w:w="891" w:type="dxa"/>
            <w:tcBorders>
              <w:top w:val="nil"/>
              <w:left w:val="nil"/>
              <w:bottom w:val="single" w:sz="8" w:space="0" w:color="A6A6A6"/>
              <w:right w:val="single" w:sz="8" w:space="0" w:color="A6A6A6"/>
            </w:tcBorders>
            <w:shd w:val="clear" w:color="auto" w:fill="auto"/>
            <w:vAlign w:val="center"/>
          </w:tcPr>
          <w:p w14:paraId="42A42A8B"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2,159</w:t>
            </w:r>
          </w:p>
        </w:tc>
      </w:tr>
      <w:tr w:rsidR="003E7651" w:rsidRPr="004B3CF1" w14:paraId="68A40BBB" w14:textId="77777777" w:rsidTr="003E7651">
        <w:trPr>
          <w:trHeight w:val="615"/>
        </w:trPr>
        <w:tc>
          <w:tcPr>
            <w:tcW w:w="1140" w:type="dxa"/>
            <w:vMerge/>
            <w:tcBorders>
              <w:left w:val="single" w:sz="8" w:space="0" w:color="A6A6A6"/>
              <w:right w:val="single" w:sz="8" w:space="0" w:color="A6A6A6"/>
            </w:tcBorders>
            <w:vAlign w:val="center"/>
            <w:hideMark/>
          </w:tcPr>
          <w:p w14:paraId="53D9F05A"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6AE68303"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FBiH CHAPTER xxxxx</w:t>
            </w:r>
          </w:p>
        </w:tc>
        <w:tc>
          <w:tcPr>
            <w:tcW w:w="2695" w:type="dxa"/>
            <w:tcBorders>
              <w:top w:val="nil"/>
              <w:left w:val="nil"/>
              <w:bottom w:val="single" w:sz="8" w:space="0" w:color="A6A6A6"/>
              <w:right w:val="single" w:sz="8" w:space="0" w:color="A6A6A6"/>
            </w:tcBorders>
            <w:shd w:val="clear" w:color="auto" w:fill="auto"/>
            <w:noWrap/>
            <w:tcMar>
              <w:left w:w="28" w:type="dxa"/>
              <w:right w:w="28" w:type="dxa"/>
            </w:tcMar>
            <w:vAlign w:val="center"/>
            <w:hideMark/>
          </w:tcPr>
          <w:p w14:paraId="283CED85"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public order and legal transaction</w:t>
            </w:r>
          </w:p>
        </w:tc>
        <w:tc>
          <w:tcPr>
            <w:tcW w:w="1098" w:type="dxa"/>
            <w:tcBorders>
              <w:top w:val="nil"/>
              <w:left w:val="nil"/>
              <w:bottom w:val="single" w:sz="8" w:space="0" w:color="A6A6A6"/>
              <w:right w:val="single" w:sz="8" w:space="0" w:color="A6A6A6"/>
            </w:tcBorders>
            <w:shd w:val="clear" w:color="auto" w:fill="auto"/>
            <w:vAlign w:val="center"/>
            <w:hideMark/>
          </w:tcPr>
          <w:p w14:paraId="4470E2A7"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641</w:t>
            </w:r>
          </w:p>
        </w:tc>
        <w:tc>
          <w:tcPr>
            <w:tcW w:w="889" w:type="dxa"/>
            <w:tcBorders>
              <w:top w:val="nil"/>
              <w:left w:val="nil"/>
              <w:bottom w:val="single" w:sz="8" w:space="0" w:color="A6A6A6"/>
              <w:right w:val="single" w:sz="8" w:space="0" w:color="A6A6A6"/>
            </w:tcBorders>
            <w:shd w:val="clear" w:color="auto" w:fill="auto"/>
            <w:vAlign w:val="center"/>
            <w:hideMark/>
          </w:tcPr>
          <w:p w14:paraId="39B40A9E"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775</w:t>
            </w:r>
          </w:p>
        </w:tc>
        <w:tc>
          <w:tcPr>
            <w:tcW w:w="990" w:type="dxa"/>
            <w:tcBorders>
              <w:top w:val="nil"/>
              <w:left w:val="nil"/>
              <w:bottom w:val="single" w:sz="8" w:space="0" w:color="A6A6A6"/>
              <w:right w:val="single" w:sz="8" w:space="0" w:color="A6A6A6"/>
            </w:tcBorders>
            <w:shd w:val="clear" w:color="auto" w:fill="auto"/>
            <w:vAlign w:val="center"/>
          </w:tcPr>
          <w:p w14:paraId="4B082318"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862</w:t>
            </w:r>
          </w:p>
        </w:tc>
        <w:tc>
          <w:tcPr>
            <w:tcW w:w="891" w:type="dxa"/>
            <w:tcBorders>
              <w:top w:val="nil"/>
              <w:left w:val="nil"/>
              <w:bottom w:val="single" w:sz="8" w:space="0" w:color="A6A6A6"/>
              <w:right w:val="single" w:sz="8" w:space="0" w:color="A6A6A6"/>
            </w:tcBorders>
            <w:shd w:val="clear" w:color="auto" w:fill="auto"/>
            <w:vAlign w:val="center"/>
          </w:tcPr>
          <w:p w14:paraId="12372571"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1,076</w:t>
            </w:r>
          </w:p>
        </w:tc>
      </w:tr>
      <w:tr w:rsidR="003E7651" w:rsidRPr="004B3CF1" w14:paraId="334CDC56" w14:textId="77777777" w:rsidTr="003E7651">
        <w:trPr>
          <w:trHeight w:val="315"/>
        </w:trPr>
        <w:tc>
          <w:tcPr>
            <w:tcW w:w="1140" w:type="dxa"/>
            <w:vMerge/>
            <w:tcBorders>
              <w:left w:val="single" w:sz="8" w:space="0" w:color="A6A6A6"/>
              <w:right w:val="single" w:sz="8" w:space="0" w:color="A6A6A6"/>
            </w:tcBorders>
            <w:vAlign w:val="center"/>
            <w:hideMark/>
          </w:tcPr>
          <w:p w14:paraId="78630129"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0930883F"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FBiH CHAPTER XXVIII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25E7803A"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public traffic safety</w:t>
            </w:r>
          </w:p>
        </w:tc>
        <w:tc>
          <w:tcPr>
            <w:tcW w:w="1098" w:type="dxa"/>
            <w:tcBorders>
              <w:top w:val="nil"/>
              <w:left w:val="nil"/>
              <w:bottom w:val="single" w:sz="8" w:space="0" w:color="A6A6A6"/>
              <w:right w:val="single" w:sz="8" w:space="0" w:color="A6A6A6"/>
            </w:tcBorders>
            <w:shd w:val="clear" w:color="auto" w:fill="auto"/>
            <w:vAlign w:val="center"/>
            <w:hideMark/>
          </w:tcPr>
          <w:p w14:paraId="3D2EF26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457</w:t>
            </w:r>
          </w:p>
        </w:tc>
        <w:tc>
          <w:tcPr>
            <w:tcW w:w="889" w:type="dxa"/>
            <w:tcBorders>
              <w:top w:val="nil"/>
              <w:left w:val="nil"/>
              <w:bottom w:val="single" w:sz="8" w:space="0" w:color="A6A6A6"/>
              <w:right w:val="single" w:sz="8" w:space="0" w:color="A6A6A6"/>
            </w:tcBorders>
            <w:shd w:val="clear" w:color="auto" w:fill="auto"/>
            <w:vAlign w:val="center"/>
            <w:hideMark/>
          </w:tcPr>
          <w:p w14:paraId="4D16689B"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462</w:t>
            </w:r>
          </w:p>
        </w:tc>
        <w:tc>
          <w:tcPr>
            <w:tcW w:w="990" w:type="dxa"/>
            <w:tcBorders>
              <w:top w:val="nil"/>
              <w:left w:val="nil"/>
              <w:bottom w:val="single" w:sz="8" w:space="0" w:color="A6A6A6"/>
              <w:right w:val="single" w:sz="8" w:space="0" w:color="A6A6A6"/>
            </w:tcBorders>
            <w:shd w:val="clear" w:color="auto" w:fill="auto"/>
            <w:vAlign w:val="center"/>
          </w:tcPr>
          <w:p w14:paraId="6FB7E091"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574</w:t>
            </w:r>
          </w:p>
        </w:tc>
        <w:tc>
          <w:tcPr>
            <w:tcW w:w="891" w:type="dxa"/>
            <w:tcBorders>
              <w:top w:val="nil"/>
              <w:left w:val="nil"/>
              <w:bottom w:val="single" w:sz="8" w:space="0" w:color="A6A6A6"/>
              <w:right w:val="single" w:sz="8" w:space="0" w:color="A6A6A6"/>
            </w:tcBorders>
            <w:shd w:val="clear" w:color="auto" w:fill="auto"/>
            <w:vAlign w:val="center"/>
          </w:tcPr>
          <w:p w14:paraId="7C2F07D8"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577</w:t>
            </w:r>
          </w:p>
        </w:tc>
      </w:tr>
      <w:tr w:rsidR="003E7651" w:rsidRPr="004B3CF1" w14:paraId="087795E1" w14:textId="77777777" w:rsidTr="003E7651">
        <w:trPr>
          <w:trHeight w:val="615"/>
        </w:trPr>
        <w:tc>
          <w:tcPr>
            <w:tcW w:w="1140" w:type="dxa"/>
            <w:vMerge/>
            <w:tcBorders>
              <w:left w:val="single" w:sz="8" w:space="0" w:color="A6A6A6"/>
              <w:right w:val="single" w:sz="8" w:space="0" w:color="A6A6A6"/>
            </w:tcBorders>
            <w:vAlign w:val="center"/>
            <w:hideMark/>
          </w:tcPr>
          <w:p w14:paraId="26AD9441"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6C1D4040"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FBiH CHAPTER XVI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3936D1C2"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life and limb</w:t>
            </w:r>
          </w:p>
        </w:tc>
        <w:tc>
          <w:tcPr>
            <w:tcW w:w="1098" w:type="dxa"/>
            <w:tcBorders>
              <w:top w:val="nil"/>
              <w:left w:val="nil"/>
              <w:bottom w:val="single" w:sz="8" w:space="0" w:color="A6A6A6"/>
              <w:right w:val="single" w:sz="8" w:space="0" w:color="A6A6A6"/>
            </w:tcBorders>
            <w:shd w:val="clear" w:color="auto" w:fill="auto"/>
            <w:vAlign w:val="center"/>
            <w:hideMark/>
          </w:tcPr>
          <w:p w14:paraId="0719D8B8"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475</w:t>
            </w:r>
          </w:p>
        </w:tc>
        <w:tc>
          <w:tcPr>
            <w:tcW w:w="889" w:type="dxa"/>
            <w:tcBorders>
              <w:top w:val="nil"/>
              <w:left w:val="nil"/>
              <w:bottom w:val="single" w:sz="8" w:space="0" w:color="A6A6A6"/>
              <w:right w:val="single" w:sz="8" w:space="0" w:color="A6A6A6"/>
            </w:tcBorders>
            <w:shd w:val="clear" w:color="auto" w:fill="auto"/>
            <w:vAlign w:val="center"/>
            <w:hideMark/>
          </w:tcPr>
          <w:p w14:paraId="059BCB23"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589</w:t>
            </w:r>
          </w:p>
        </w:tc>
        <w:tc>
          <w:tcPr>
            <w:tcW w:w="990" w:type="dxa"/>
            <w:tcBorders>
              <w:top w:val="nil"/>
              <w:left w:val="nil"/>
              <w:bottom w:val="single" w:sz="8" w:space="0" w:color="A6A6A6"/>
              <w:right w:val="single" w:sz="8" w:space="0" w:color="A6A6A6"/>
            </w:tcBorders>
            <w:shd w:val="clear" w:color="auto" w:fill="auto"/>
            <w:vAlign w:val="center"/>
          </w:tcPr>
          <w:p w14:paraId="44CCAB5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612</w:t>
            </w:r>
          </w:p>
        </w:tc>
        <w:tc>
          <w:tcPr>
            <w:tcW w:w="891" w:type="dxa"/>
            <w:tcBorders>
              <w:top w:val="nil"/>
              <w:left w:val="nil"/>
              <w:bottom w:val="single" w:sz="8" w:space="0" w:color="A6A6A6"/>
              <w:right w:val="single" w:sz="8" w:space="0" w:color="A6A6A6"/>
            </w:tcBorders>
            <w:shd w:val="clear" w:color="auto" w:fill="auto"/>
            <w:vAlign w:val="center"/>
          </w:tcPr>
          <w:p w14:paraId="7AD6408F"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754</w:t>
            </w:r>
          </w:p>
        </w:tc>
      </w:tr>
      <w:tr w:rsidR="003E7651" w:rsidRPr="004B3CF1" w14:paraId="0DB96690" w14:textId="77777777" w:rsidTr="003E7651">
        <w:trPr>
          <w:trHeight w:val="615"/>
        </w:trPr>
        <w:tc>
          <w:tcPr>
            <w:tcW w:w="1140" w:type="dxa"/>
            <w:vMerge/>
            <w:tcBorders>
              <w:left w:val="single" w:sz="8" w:space="0" w:color="A6A6A6"/>
              <w:bottom w:val="single" w:sz="8" w:space="0" w:color="A6A6A6"/>
              <w:right w:val="single" w:sz="8" w:space="0" w:color="A6A6A6"/>
            </w:tcBorders>
            <w:shd w:val="clear" w:color="auto" w:fill="auto"/>
            <w:vAlign w:val="center"/>
            <w:hideMark/>
          </w:tcPr>
          <w:p w14:paraId="6EBD89D0"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785CEFCA"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FBiH CHAPTER XX</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206802B5"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marriage, family and youth</w:t>
            </w:r>
          </w:p>
        </w:tc>
        <w:tc>
          <w:tcPr>
            <w:tcW w:w="1098" w:type="dxa"/>
            <w:tcBorders>
              <w:top w:val="nil"/>
              <w:left w:val="nil"/>
              <w:bottom w:val="single" w:sz="8" w:space="0" w:color="A6A6A6"/>
              <w:right w:val="single" w:sz="8" w:space="0" w:color="A6A6A6"/>
            </w:tcBorders>
            <w:shd w:val="clear" w:color="auto" w:fill="auto"/>
            <w:vAlign w:val="center"/>
            <w:hideMark/>
          </w:tcPr>
          <w:p w14:paraId="513CAA00"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507</w:t>
            </w:r>
          </w:p>
        </w:tc>
        <w:tc>
          <w:tcPr>
            <w:tcW w:w="889" w:type="dxa"/>
            <w:tcBorders>
              <w:top w:val="nil"/>
              <w:left w:val="nil"/>
              <w:bottom w:val="single" w:sz="8" w:space="0" w:color="A6A6A6"/>
              <w:right w:val="single" w:sz="8" w:space="0" w:color="A6A6A6"/>
            </w:tcBorders>
            <w:shd w:val="clear" w:color="auto" w:fill="auto"/>
            <w:vAlign w:val="center"/>
            <w:hideMark/>
          </w:tcPr>
          <w:p w14:paraId="1F52B07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522</w:t>
            </w:r>
          </w:p>
        </w:tc>
        <w:tc>
          <w:tcPr>
            <w:tcW w:w="990" w:type="dxa"/>
            <w:tcBorders>
              <w:top w:val="nil"/>
              <w:left w:val="nil"/>
              <w:bottom w:val="single" w:sz="8" w:space="0" w:color="A6A6A6"/>
              <w:right w:val="single" w:sz="8" w:space="0" w:color="A6A6A6"/>
            </w:tcBorders>
            <w:shd w:val="clear" w:color="auto" w:fill="auto"/>
            <w:vAlign w:val="center"/>
          </w:tcPr>
          <w:p w14:paraId="4247D536"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588</w:t>
            </w:r>
          </w:p>
        </w:tc>
        <w:tc>
          <w:tcPr>
            <w:tcW w:w="891" w:type="dxa"/>
            <w:tcBorders>
              <w:top w:val="nil"/>
              <w:left w:val="nil"/>
              <w:bottom w:val="single" w:sz="8" w:space="0" w:color="A6A6A6"/>
              <w:right w:val="single" w:sz="8" w:space="0" w:color="A6A6A6"/>
            </w:tcBorders>
            <w:shd w:val="clear" w:color="auto" w:fill="auto"/>
            <w:vAlign w:val="center"/>
          </w:tcPr>
          <w:p w14:paraId="58CB639D"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612</w:t>
            </w:r>
          </w:p>
        </w:tc>
      </w:tr>
      <w:tr w:rsidR="003E7651" w:rsidRPr="004B3CF1" w14:paraId="45BFF8AC" w14:textId="77777777" w:rsidTr="003E7651">
        <w:trPr>
          <w:trHeight w:val="315"/>
        </w:trPr>
        <w:tc>
          <w:tcPr>
            <w:tcW w:w="1140" w:type="dxa"/>
            <w:vMerge w:val="restart"/>
            <w:tcBorders>
              <w:top w:val="nil"/>
              <w:left w:val="single" w:sz="8" w:space="0" w:color="A6A6A6"/>
              <w:right w:val="single" w:sz="8" w:space="0" w:color="A6A6A6"/>
            </w:tcBorders>
            <w:shd w:val="clear" w:color="auto" w:fill="auto"/>
            <w:vAlign w:val="center"/>
            <w:hideMark/>
          </w:tcPr>
          <w:p w14:paraId="1CA064B4"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Code of the RS</w:t>
            </w: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5043FE51"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RS CHAPTER XX</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5B805AB7"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property</w:t>
            </w:r>
          </w:p>
        </w:tc>
        <w:tc>
          <w:tcPr>
            <w:tcW w:w="1098" w:type="dxa"/>
            <w:tcBorders>
              <w:top w:val="nil"/>
              <w:left w:val="nil"/>
              <w:bottom w:val="single" w:sz="8" w:space="0" w:color="A6A6A6"/>
              <w:right w:val="single" w:sz="8" w:space="0" w:color="A6A6A6"/>
            </w:tcBorders>
            <w:shd w:val="clear" w:color="auto" w:fill="auto"/>
            <w:vAlign w:val="center"/>
            <w:hideMark/>
          </w:tcPr>
          <w:p w14:paraId="662510E5"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927</w:t>
            </w:r>
          </w:p>
        </w:tc>
        <w:tc>
          <w:tcPr>
            <w:tcW w:w="889" w:type="dxa"/>
            <w:tcBorders>
              <w:top w:val="nil"/>
              <w:left w:val="nil"/>
              <w:bottom w:val="single" w:sz="8" w:space="0" w:color="A6A6A6"/>
              <w:right w:val="single" w:sz="8" w:space="0" w:color="A6A6A6"/>
            </w:tcBorders>
            <w:shd w:val="clear" w:color="auto" w:fill="auto"/>
            <w:vAlign w:val="center"/>
            <w:hideMark/>
          </w:tcPr>
          <w:p w14:paraId="3706090B"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1,081</w:t>
            </w:r>
          </w:p>
        </w:tc>
        <w:tc>
          <w:tcPr>
            <w:tcW w:w="990" w:type="dxa"/>
            <w:tcBorders>
              <w:top w:val="nil"/>
              <w:left w:val="nil"/>
              <w:bottom w:val="single" w:sz="8" w:space="0" w:color="A6A6A6"/>
              <w:right w:val="single" w:sz="8" w:space="0" w:color="A6A6A6"/>
            </w:tcBorders>
            <w:shd w:val="clear" w:color="auto" w:fill="auto"/>
            <w:vAlign w:val="center"/>
          </w:tcPr>
          <w:p w14:paraId="7D95BB64"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917</w:t>
            </w:r>
          </w:p>
        </w:tc>
        <w:tc>
          <w:tcPr>
            <w:tcW w:w="891" w:type="dxa"/>
            <w:tcBorders>
              <w:top w:val="nil"/>
              <w:left w:val="nil"/>
              <w:bottom w:val="single" w:sz="8" w:space="0" w:color="A6A6A6"/>
              <w:right w:val="single" w:sz="8" w:space="0" w:color="A6A6A6"/>
            </w:tcBorders>
            <w:shd w:val="clear" w:color="auto" w:fill="auto"/>
            <w:vAlign w:val="center"/>
          </w:tcPr>
          <w:p w14:paraId="7442E7B5"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1,089</w:t>
            </w:r>
          </w:p>
        </w:tc>
      </w:tr>
      <w:tr w:rsidR="003E7651" w:rsidRPr="004B3CF1" w14:paraId="728E982F" w14:textId="77777777" w:rsidTr="003E7651">
        <w:trPr>
          <w:trHeight w:val="315"/>
        </w:trPr>
        <w:tc>
          <w:tcPr>
            <w:tcW w:w="1140" w:type="dxa"/>
            <w:vMerge/>
            <w:tcBorders>
              <w:left w:val="single" w:sz="8" w:space="0" w:color="A6A6A6"/>
              <w:right w:val="single" w:sz="8" w:space="0" w:color="A6A6A6"/>
            </w:tcBorders>
            <w:vAlign w:val="center"/>
            <w:hideMark/>
          </w:tcPr>
          <w:p w14:paraId="70B3CA4E"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3C64FAC9"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RS CHAPTER XII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08F5D2F4"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life and limb</w:t>
            </w:r>
          </w:p>
        </w:tc>
        <w:tc>
          <w:tcPr>
            <w:tcW w:w="1098" w:type="dxa"/>
            <w:tcBorders>
              <w:top w:val="nil"/>
              <w:left w:val="nil"/>
              <w:bottom w:val="single" w:sz="8" w:space="0" w:color="A6A6A6"/>
              <w:right w:val="single" w:sz="8" w:space="0" w:color="A6A6A6"/>
            </w:tcBorders>
            <w:shd w:val="clear" w:color="auto" w:fill="auto"/>
            <w:vAlign w:val="center"/>
            <w:hideMark/>
          </w:tcPr>
          <w:p w14:paraId="59AA9DA0"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375</w:t>
            </w:r>
          </w:p>
        </w:tc>
        <w:tc>
          <w:tcPr>
            <w:tcW w:w="889" w:type="dxa"/>
            <w:tcBorders>
              <w:top w:val="nil"/>
              <w:left w:val="nil"/>
              <w:bottom w:val="single" w:sz="8" w:space="0" w:color="A6A6A6"/>
              <w:right w:val="single" w:sz="8" w:space="0" w:color="A6A6A6"/>
            </w:tcBorders>
            <w:shd w:val="clear" w:color="auto" w:fill="auto"/>
            <w:vAlign w:val="center"/>
            <w:hideMark/>
          </w:tcPr>
          <w:p w14:paraId="016DEBCE"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453</w:t>
            </w:r>
          </w:p>
        </w:tc>
        <w:tc>
          <w:tcPr>
            <w:tcW w:w="990" w:type="dxa"/>
            <w:tcBorders>
              <w:top w:val="nil"/>
              <w:left w:val="nil"/>
              <w:bottom w:val="single" w:sz="8" w:space="0" w:color="A6A6A6"/>
              <w:right w:val="single" w:sz="8" w:space="0" w:color="A6A6A6"/>
            </w:tcBorders>
            <w:shd w:val="clear" w:color="auto" w:fill="auto"/>
            <w:vAlign w:val="center"/>
          </w:tcPr>
          <w:p w14:paraId="70FBE7CB"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366</w:t>
            </w:r>
          </w:p>
        </w:tc>
        <w:tc>
          <w:tcPr>
            <w:tcW w:w="891" w:type="dxa"/>
            <w:tcBorders>
              <w:top w:val="nil"/>
              <w:left w:val="nil"/>
              <w:bottom w:val="single" w:sz="8" w:space="0" w:color="A6A6A6"/>
              <w:right w:val="single" w:sz="8" w:space="0" w:color="A6A6A6"/>
            </w:tcBorders>
            <w:shd w:val="clear" w:color="auto" w:fill="auto"/>
            <w:vAlign w:val="center"/>
          </w:tcPr>
          <w:p w14:paraId="0AF84C2A"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480</w:t>
            </w:r>
          </w:p>
        </w:tc>
      </w:tr>
      <w:tr w:rsidR="003E7651" w:rsidRPr="004B3CF1" w14:paraId="1F510F68" w14:textId="77777777" w:rsidTr="003E7651">
        <w:trPr>
          <w:trHeight w:val="615"/>
        </w:trPr>
        <w:tc>
          <w:tcPr>
            <w:tcW w:w="1140" w:type="dxa"/>
            <w:vMerge/>
            <w:tcBorders>
              <w:left w:val="single" w:sz="8" w:space="0" w:color="A6A6A6"/>
              <w:right w:val="single" w:sz="8" w:space="0" w:color="A6A6A6"/>
            </w:tcBorders>
            <w:vAlign w:val="center"/>
          </w:tcPr>
          <w:p w14:paraId="6371345D"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tcPr>
          <w:p w14:paraId="08F2C634"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RS CHAPTER XII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tcPr>
          <w:p w14:paraId="64AA7A60"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marriage and family</w:t>
            </w:r>
          </w:p>
        </w:tc>
        <w:tc>
          <w:tcPr>
            <w:tcW w:w="1098" w:type="dxa"/>
            <w:tcBorders>
              <w:top w:val="nil"/>
              <w:left w:val="nil"/>
              <w:bottom w:val="single" w:sz="8" w:space="0" w:color="A6A6A6"/>
              <w:right w:val="single" w:sz="8" w:space="0" w:color="A6A6A6"/>
            </w:tcBorders>
            <w:shd w:val="clear" w:color="auto" w:fill="auto"/>
            <w:vAlign w:val="center"/>
          </w:tcPr>
          <w:p w14:paraId="7B25ABA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317</w:t>
            </w:r>
          </w:p>
        </w:tc>
        <w:tc>
          <w:tcPr>
            <w:tcW w:w="889" w:type="dxa"/>
            <w:tcBorders>
              <w:top w:val="nil"/>
              <w:left w:val="nil"/>
              <w:bottom w:val="single" w:sz="8" w:space="0" w:color="A6A6A6"/>
              <w:right w:val="single" w:sz="8" w:space="0" w:color="A6A6A6"/>
            </w:tcBorders>
            <w:shd w:val="clear" w:color="auto" w:fill="auto"/>
            <w:vAlign w:val="center"/>
          </w:tcPr>
          <w:p w14:paraId="6F36623B"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327</w:t>
            </w:r>
          </w:p>
        </w:tc>
        <w:tc>
          <w:tcPr>
            <w:tcW w:w="990" w:type="dxa"/>
            <w:tcBorders>
              <w:top w:val="nil"/>
              <w:left w:val="nil"/>
              <w:bottom w:val="single" w:sz="8" w:space="0" w:color="A6A6A6"/>
              <w:right w:val="single" w:sz="8" w:space="0" w:color="A6A6A6"/>
            </w:tcBorders>
            <w:shd w:val="clear" w:color="auto" w:fill="auto"/>
            <w:vAlign w:val="center"/>
          </w:tcPr>
          <w:p w14:paraId="14635F5B"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386</w:t>
            </w:r>
          </w:p>
        </w:tc>
        <w:tc>
          <w:tcPr>
            <w:tcW w:w="891" w:type="dxa"/>
            <w:tcBorders>
              <w:top w:val="nil"/>
              <w:left w:val="nil"/>
              <w:bottom w:val="single" w:sz="8" w:space="0" w:color="A6A6A6"/>
              <w:right w:val="single" w:sz="8" w:space="0" w:color="A6A6A6"/>
            </w:tcBorders>
            <w:shd w:val="clear" w:color="auto" w:fill="auto"/>
            <w:vAlign w:val="center"/>
          </w:tcPr>
          <w:p w14:paraId="434DEB84"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401</w:t>
            </w:r>
          </w:p>
        </w:tc>
      </w:tr>
      <w:tr w:rsidR="003E7651" w:rsidRPr="004B3CF1" w14:paraId="62FD96BE" w14:textId="77777777" w:rsidTr="003E7651">
        <w:trPr>
          <w:trHeight w:val="613"/>
        </w:trPr>
        <w:tc>
          <w:tcPr>
            <w:tcW w:w="1140" w:type="dxa"/>
            <w:vMerge/>
            <w:tcBorders>
              <w:left w:val="single" w:sz="8" w:space="0" w:color="A6A6A6"/>
              <w:right w:val="single" w:sz="8" w:space="0" w:color="A6A6A6"/>
            </w:tcBorders>
            <w:vAlign w:val="center"/>
            <w:hideMark/>
          </w:tcPr>
          <w:p w14:paraId="03C8C434"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481BB3F1" w14:textId="77777777" w:rsidR="003E7651" w:rsidRPr="004B3CF1" w:rsidRDefault="003E7651" w:rsidP="003E7651">
            <w:pPr>
              <w:rPr>
                <w:rFonts w:ascii="Arial" w:hAnsi="Arial" w:cs="Arial"/>
                <w:sz w:val="22"/>
                <w:szCs w:val="22"/>
              </w:rPr>
            </w:pPr>
            <w:r w:rsidRPr="004B3CF1">
              <w:rPr>
                <w:rFonts w:ascii="Arial" w:hAnsi="Arial"/>
                <w:sz w:val="22"/>
                <w:szCs w:val="22"/>
              </w:rPr>
              <w:t>CC RS CHAPTER XII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69D2EF1A" w14:textId="77777777" w:rsidR="003E7651" w:rsidRPr="004B3CF1" w:rsidRDefault="003E7651" w:rsidP="003E7651">
            <w:pPr>
              <w:rPr>
                <w:rFonts w:ascii="Arial" w:hAnsi="Arial" w:cs="Arial"/>
                <w:sz w:val="22"/>
                <w:szCs w:val="22"/>
              </w:rPr>
            </w:pPr>
            <w:r w:rsidRPr="004B3CF1">
              <w:rPr>
                <w:rFonts w:ascii="Arial" w:hAnsi="Arial"/>
                <w:sz w:val="22"/>
                <w:szCs w:val="22"/>
              </w:rPr>
              <w:t>Criminal offences against freedom and rights of citizens</w:t>
            </w:r>
          </w:p>
        </w:tc>
        <w:tc>
          <w:tcPr>
            <w:tcW w:w="1098" w:type="dxa"/>
            <w:tcBorders>
              <w:top w:val="nil"/>
              <w:left w:val="nil"/>
              <w:bottom w:val="single" w:sz="8" w:space="0" w:color="A6A6A6"/>
              <w:right w:val="single" w:sz="8" w:space="0" w:color="A6A6A6"/>
            </w:tcBorders>
            <w:shd w:val="clear" w:color="auto" w:fill="auto"/>
            <w:vAlign w:val="center"/>
          </w:tcPr>
          <w:p w14:paraId="5C2BAE6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207</w:t>
            </w:r>
          </w:p>
        </w:tc>
        <w:tc>
          <w:tcPr>
            <w:tcW w:w="889" w:type="dxa"/>
            <w:tcBorders>
              <w:top w:val="nil"/>
              <w:left w:val="nil"/>
              <w:bottom w:val="single" w:sz="8" w:space="0" w:color="A6A6A6"/>
              <w:right w:val="single" w:sz="8" w:space="0" w:color="A6A6A6"/>
            </w:tcBorders>
            <w:shd w:val="clear" w:color="auto" w:fill="auto"/>
            <w:vAlign w:val="center"/>
          </w:tcPr>
          <w:p w14:paraId="12CDBBB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220</w:t>
            </w:r>
          </w:p>
        </w:tc>
        <w:tc>
          <w:tcPr>
            <w:tcW w:w="990" w:type="dxa"/>
            <w:tcBorders>
              <w:top w:val="nil"/>
              <w:left w:val="nil"/>
              <w:bottom w:val="single" w:sz="8" w:space="0" w:color="A6A6A6"/>
              <w:right w:val="single" w:sz="8" w:space="0" w:color="A6A6A6"/>
            </w:tcBorders>
            <w:shd w:val="clear" w:color="auto" w:fill="auto"/>
            <w:vAlign w:val="center"/>
          </w:tcPr>
          <w:p w14:paraId="79A66A30"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193</w:t>
            </w:r>
          </w:p>
        </w:tc>
        <w:tc>
          <w:tcPr>
            <w:tcW w:w="891" w:type="dxa"/>
            <w:tcBorders>
              <w:top w:val="nil"/>
              <w:left w:val="nil"/>
              <w:bottom w:val="single" w:sz="8" w:space="0" w:color="A6A6A6"/>
              <w:right w:val="single" w:sz="8" w:space="0" w:color="A6A6A6"/>
            </w:tcBorders>
            <w:shd w:val="clear" w:color="auto" w:fill="auto"/>
            <w:vAlign w:val="center"/>
          </w:tcPr>
          <w:p w14:paraId="00449B11"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208</w:t>
            </w:r>
          </w:p>
        </w:tc>
      </w:tr>
      <w:tr w:rsidR="003E7651" w:rsidRPr="004B3CF1" w14:paraId="07AE7347" w14:textId="77777777" w:rsidTr="003E7651">
        <w:trPr>
          <w:trHeight w:val="315"/>
        </w:trPr>
        <w:tc>
          <w:tcPr>
            <w:tcW w:w="1140" w:type="dxa"/>
            <w:vMerge/>
            <w:tcBorders>
              <w:left w:val="single" w:sz="8" w:space="0" w:color="A6A6A6"/>
              <w:right w:val="single" w:sz="8" w:space="0" w:color="A6A6A6"/>
            </w:tcBorders>
            <w:vAlign w:val="center"/>
            <w:hideMark/>
          </w:tcPr>
          <w:p w14:paraId="358CE060"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78889392"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CC RS CHAPTER XXXI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2A9239EF"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offences against public traffic safety</w:t>
            </w:r>
          </w:p>
        </w:tc>
        <w:tc>
          <w:tcPr>
            <w:tcW w:w="1098" w:type="dxa"/>
            <w:tcBorders>
              <w:top w:val="nil"/>
              <w:left w:val="nil"/>
              <w:bottom w:val="single" w:sz="8" w:space="0" w:color="A6A6A6"/>
              <w:right w:val="single" w:sz="8" w:space="0" w:color="A6A6A6"/>
            </w:tcBorders>
            <w:shd w:val="clear" w:color="auto" w:fill="auto"/>
            <w:vAlign w:val="center"/>
            <w:hideMark/>
          </w:tcPr>
          <w:p w14:paraId="46C53CE5"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211</w:t>
            </w:r>
          </w:p>
        </w:tc>
        <w:tc>
          <w:tcPr>
            <w:tcW w:w="889" w:type="dxa"/>
            <w:tcBorders>
              <w:top w:val="nil"/>
              <w:left w:val="nil"/>
              <w:bottom w:val="single" w:sz="8" w:space="0" w:color="A6A6A6"/>
              <w:right w:val="single" w:sz="8" w:space="0" w:color="A6A6A6"/>
            </w:tcBorders>
            <w:shd w:val="clear" w:color="auto" w:fill="auto"/>
            <w:vAlign w:val="center"/>
            <w:hideMark/>
          </w:tcPr>
          <w:p w14:paraId="17BE0A71"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212</w:t>
            </w:r>
          </w:p>
        </w:tc>
        <w:tc>
          <w:tcPr>
            <w:tcW w:w="990" w:type="dxa"/>
            <w:tcBorders>
              <w:top w:val="nil"/>
              <w:left w:val="nil"/>
              <w:bottom w:val="single" w:sz="8" w:space="0" w:color="A6A6A6"/>
              <w:right w:val="single" w:sz="8" w:space="0" w:color="A6A6A6"/>
            </w:tcBorders>
            <w:shd w:val="clear" w:color="auto" w:fill="auto"/>
            <w:vAlign w:val="center"/>
          </w:tcPr>
          <w:p w14:paraId="70A33E14"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194</w:t>
            </w:r>
          </w:p>
        </w:tc>
        <w:tc>
          <w:tcPr>
            <w:tcW w:w="891" w:type="dxa"/>
            <w:tcBorders>
              <w:top w:val="nil"/>
              <w:left w:val="nil"/>
              <w:bottom w:val="single" w:sz="8" w:space="0" w:color="A6A6A6"/>
              <w:right w:val="single" w:sz="8" w:space="0" w:color="A6A6A6"/>
            </w:tcBorders>
            <w:shd w:val="clear" w:color="auto" w:fill="auto"/>
            <w:vAlign w:val="center"/>
          </w:tcPr>
          <w:p w14:paraId="41918BD6"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204</w:t>
            </w:r>
          </w:p>
        </w:tc>
      </w:tr>
      <w:tr w:rsidR="003E7651" w:rsidRPr="004B3CF1" w14:paraId="0F8EA4AF" w14:textId="77777777" w:rsidTr="003E7651">
        <w:trPr>
          <w:trHeight w:val="881"/>
        </w:trPr>
        <w:tc>
          <w:tcPr>
            <w:tcW w:w="1140" w:type="dxa"/>
            <w:vMerge/>
            <w:tcBorders>
              <w:left w:val="single" w:sz="8" w:space="0" w:color="A6A6A6"/>
              <w:bottom w:val="single" w:sz="8" w:space="0" w:color="A6A6A6"/>
              <w:right w:val="single" w:sz="8" w:space="0" w:color="A6A6A6"/>
            </w:tcBorders>
            <w:vAlign w:val="center"/>
          </w:tcPr>
          <w:p w14:paraId="4A8918CC"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tcPr>
          <w:p w14:paraId="0889382F"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CC RS CHAPTER XXVII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tcPr>
          <w:p w14:paraId="133D1009"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 offences against legal transactions</w:t>
            </w:r>
          </w:p>
        </w:tc>
        <w:tc>
          <w:tcPr>
            <w:tcW w:w="1098" w:type="dxa"/>
            <w:tcBorders>
              <w:top w:val="nil"/>
              <w:left w:val="nil"/>
              <w:bottom w:val="single" w:sz="8" w:space="0" w:color="A6A6A6"/>
              <w:right w:val="single" w:sz="8" w:space="0" w:color="A6A6A6"/>
            </w:tcBorders>
            <w:shd w:val="clear" w:color="auto" w:fill="auto"/>
            <w:vAlign w:val="center"/>
          </w:tcPr>
          <w:p w14:paraId="289CDC26"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136</w:t>
            </w:r>
          </w:p>
        </w:tc>
        <w:tc>
          <w:tcPr>
            <w:tcW w:w="889" w:type="dxa"/>
            <w:tcBorders>
              <w:top w:val="nil"/>
              <w:left w:val="nil"/>
              <w:bottom w:val="single" w:sz="8" w:space="0" w:color="A6A6A6"/>
              <w:right w:val="single" w:sz="8" w:space="0" w:color="A6A6A6"/>
            </w:tcBorders>
            <w:shd w:val="clear" w:color="auto" w:fill="auto"/>
            <w:vAlign w:val="center"/>
          </w:tcPr>
          <w:p w14:paraId="24B65E18"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152</w:t>
            </w:r>
          </w:p>
        </w:tc>
        <w:tc>
          <w:tcPr>
            <w:tcW w:w="990" w:type="dxa"/>
            <w:tcBorders>
              <w:top w:val="nil"/>
              <w:left w:val="nil"/>
              <w:bottom w:val="single" w:sz="8" w:space="0" w:color="A6A6A6"/>
              <w:right w:val="single" w:sz="8" w:space="0" w:color="A6A6A6"/>
            </w:tcBorders>
            <w:shd w:val="clear" w:color="auto" w:fill="auto"/>
            <w:vAlign w:val="center"/>
          </w:tcPr>
          <w:p w14:paraId="034492B8"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209</w:t>
            </w:r>
          </w:p>
        </w:tc>
        <w:tc>
          <w:tcPr>
            <w:tcW w:w="891" w:type="dxa"/>
            <w:tcBorders>
              <w:top w:val="nil"/>
              <w:left w:val="nil"/>
              <w:bottom w:val="single" w:sz="8" w:space="0" w:color="A6A6A6"/>
              <w:right w:val="single" w:sz="8" w:space="0" w:color="A6A6A6"/>
            </w:tcBorders>
            <w:shd w:val="clear" w:color="auto" w:fill="auto"/>
            <w:vAlign w:val="center"/>
          </w:tcPr>
          <w:p w14:paraId="78BD41B5"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226</w:t>
            </w:r>
          </w:p>
        </w:tc>
      </w:tr>
      <w:tr w:rsidR="003E7651" w:rsidRPr="004B3CF1" w14:paraId="373D7BCF" w14:textId="77777777" w:rsidTr="003E7651">
        <w:trPr>
          <w:trHeight w:val="315"/>
        </w:trPr>
        <w:tc>
          <w:tcPr>
            <w:tcW w:w="1140" w:type="dxa"/>
            <w:vMerge w:val="restart"/>
            <w:tcBorders>
              <w:top w:val="nil"/>
              <w:left w:val="single" w:sz="8" w:space="0" w:color="A6A6A6"/>
              <w:bottom w:val="single" w:sz="8" w:space="0" w:color="A6A6A6"/>
              <w:right w:val="single" w:sz="8" w:space="0" w:color="A6A6A6"/>
            </w:tcBorders>
            <w:shd w:val="clear" w:color="auto" w:fill="auto"/>
            <w:vAlign w:val="center"/>
            <w:hideMark/>
          </w:tcPr>
          <w:p w14:paraId="6E509594" w14:textId="77777777" w:rsidR="003E7651" w:rsidRPr="004B3CF1" w:rsidRDefault="003E7651" w:rsidP="003E7651">
            <w:pPr>
              <w:ind w:left="4" w:hanging="4"/>
              <w:rPr>
                <w:rFonts w:ascii="Arial" w:hAnsi="Arial" w:cs="Arial"/>
                <w:color w:val="000000"/>
                <w:sz w:val="22"/>
                <w:szCs w:val="22"/>
              </w:rPr>
            </w:pPr>
            <w:r w:rsidRPr="004B3CF1">
              <w:rPr>
                <w:rFonts w:ascii="Arial" w:hAnsi="Arial"/>
                <w:color w:val="000000"/>
                <w:sz w:val="22"/>
                <w:szCs w:val="22"/>
              </w:rPr>
              <w:t>Criminal Code of BD BiH</w:t>
            </w: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24873DF6"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CC BDBiH XXV</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7360CF1F"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 offences against property</w:t>
            </w:r>
          </w:p>
        </w:tc>
        <w:tc>
          <w:tcPr>
            <w:tcW w:w="1098" w:type="dxa"/>
            <w:tcBorders>
              <w:top w:val="nil"/>
              <w:left w:val="nil"/>
              <w:bottom w:val="single" w:sz="8" w:space="0" w:color="A6A6A6"/>
              <w:right w:val="single" w:sz="8" w:space="0" w:color="A6A6A6"/>
            </w:tcBorders>
            <w:shd w:val="clear" w:color="auto" w:fill="auto"/>
            <w:vAlign w:val="center"/>
            <w:hideMark/>
          </w:tcPr>
          <w:p w14:paraId="63F6C06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55</w:t>
            </w:r>
          </w:p>
        </w:tc>
        <w:tc>
          <w:tcPr>
            <w:tcW w:w="889" w:type="dxa"/>
            <w:tcBorders>
              <w:top w:val="nil"/>
              <w:left w:val="nil"/>
              <w:bottom w:val="single" w:sz="8" w:space="0" w:color="A6A6A6"/>
              <w:right w:val="single" w:sz="8" w:space="0" w:color="A6A6A6"/>
            </w:tcBorders>
            <w:shd w:val="clear" w:color="auto" w:fill="auto"/>
            <w:vAlign w:val="center"/>
            <w:hideMark/>
          </w:tcPr>
          <w:p w14:paraId="0C40689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67</w:t>
            </w:r>
          </w:p>
        </w:tc>
        <w:tc>
          <w:tcPr>
            <w:tcW w:w="990" w:type="dxa"/>
            <w:tcBorders>
              <w:top w:val="nil"/>
              <w:left w:val="nil"/>
              <w:bottom w:val="single" w:sz="8" w:space="0" w:color="A6A6A6"/>
              <w:right w:val="single" w:sz="8" w:space="0" w:color="A6A6A6"/>
            </w:tcBorders>
            <w:shd w:val="clear" w:color="auto" w:fill="auto"/>
            <w:vAlign w:val="center"/>
          </w:tcPr>
          <w:p w14:paraId="1DF85626"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53</w:t>
            </w:r>
          </w:p>
        </w:tc>
        <w:tc>
          <w:tcPr>
            <w:tcW w:w="891" w:type="dxa"/>
            <w:tcBorders>
              <w:top w:val="nil"/>
              <w:left w:val="nil"/>
              <w:bottom w:val="single" w:sz="8" w:space="0" w:color="A6A6A6"/>
              <w:right w:val="single" w:sz="8" w:space="0" w:color="A6A6A6"/>
            </w:tcBorders>
            <w:shd w:val="clear" w:color="auto" w:fill="auto"/>
            <w:vAlign w:val="center"/>
          </w:tcPr>
          <w:p w14:paraId="5B0DB09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60</w:t>
            </w:r>
          </w:p>
        </w:tc>
      </w:tr>
      <w:tr w:rsidR="003E7651" w:rsidRPr="004B3CF1" w14:paraId="2DABBB33" w14:textId="77777777" w:rsidTr="003E7651">
        <w:trPr>
          <w:trHeight w:val="315"/>
        </w:trPr>
        <w:tc>
          <w:tcPr>
            <w:tcW w:w="1140" w:type="dxa"/>
            <w:vMerge/>
            <w:tcBorders>
              <w:top w:val="nil"/>
              <w:left w:val="single" w:sz="8" w:space="0" w:color="A6A6A6"/>
              <w:bottom w:val="single" w:sz="8" w:space="0" w:color="A6A6A6"/>
              <w:right w:val="single" w:sz="8" w:space="0" w:color="A6A6A6"/>
            </w:tcBorders>
            <w:vAlign w:val="center"/>
            <w:hideMark/>
          </w:tcPr>
          <w:p w14:paraId="4CC388F1"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0469701A"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CC BDBiH CHAPTER XVI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5BFE5429"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 offences against life and limb</w:t>
            </w:r>
          </w:p>
        </w:tc>
        <w:tc>
          <w:tcPr>
            <w:tcW w:w="1098" w:type="dxa"/>
            <w:tcBorders>
              <w:top w:val="nil"/>
              <w:left w:val="nil"/>
              <w:bottom w:val="single" w:sz="8" w:space="0" w:color="A6A6A6"/>
              <w:right w:val="single" w:sz="8" w:space="0" w:color="A6A6A6"/>
            </w:tcBorders>
            <w:shd w:val="clear" w:color="auto" w:fill="auto"/>
            <w:vAlign w:val="center"/>
            <w:hideMark/>
          </w:tcPr>
          <w:p w14:paraId="46EF8402"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15</w:t>
            </w:r>
          </w:p>
        </w:tc>
        <w:tc>
          <w:tcPr>
            <w:tcW w:w="889" w:type="dxa"/>
            <w:tcBorders>
              <w:top w:val="nil"/>
              <w:left w:val="nil"/>
              <w:bottom w:val="single" w:sz="8" w:space="0" w:color="A6A6A6"/>
              <w:right w:val="single" w:sz="8" w:space="0" w:color="A6A6A6"/>
            </w:tcBorders>
            <w:shd w:val="clear" w:color="auto" w:fill="auto"/>
            <w:vAlign w:val="center"/>
            <w:hideMark/>
          </w:tcPr>
          <w:p w14:paraId="6DA815C5"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19</w:t>
            </w:r>
          </w:p>
        </w:tc>
        <w:tc>
          <w:tcPr>
            <w:tcW w:w="990" w:type="dxa"/>
            <w:tcBorders>
              <w:top w:val="nil"/>
              <w:left w:val="nil"/>
              <w:bottom w:val="single" w:sz="8" w:space="0" w:color="A6A6A6"/>
              <w:right w:val="single" w:sz="8" w:space="0" w:color="A6A6A6"/>
            </w:tcBorders>
            <w:shd w:val="clear" w:color="auto" w:fill="auto"/>
            <w:vAlign w:val="center"/>
          </w:tcPr>
          <w:p w14:paraId="6458069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29</w:t>
            </w:r>
          </w:p>
        </w:tc>
        <w:tc>
          <w:tcPr>
            <w:tcW w:w="891" w:type="dxa"/>
            <w:tcBorders>
              <w:top w:val="nil"/>
              <w:left w:val="nil"/>
              <w:bottom w:val="single" w:sz="8" w:space="0" w:color="A6A6A6"/>
              <w:right w:val="single" w:sz="8" w:space="0" w:color="A6A6A6"/>
            </w:tcBorders>
            <w:shd w:val="clear" w:color="auto" w:fill="auto"/>
            <w:vAlign w:val="center"/>
          </w:tcPr>
          <w:p w14:paraId="2002FCD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40</w:t>
            </w:r>
          </w:p>
        </w:tc>
      </w:tr>
      <w:tr w:rsidR="003E7651" w:rsidRPr="004B3CF1" w14:paraId="203BA1F5" w14:textId="77777777" w:rsidTr="003E7651">
        <w:trPr>
          <w:trHeight w:val="590"/>
        </w:trPr>
        <w:tc>
          <w:tcPr>
            <w:tcW w:w="1140" w:type="dxa"/>
            <w:vMerge/>
            <w:tcBorders>
              <w:top w:val="nil"/>
              <w:left w:val="single" w:sz="8" w:space="0" w:color="A6A6A6"/>
              <w:bottom w:val="single" w:sz="8" w:space="0" w:color="A6A6A6"/>
              <w:right w:val="single" w:sz="8" w:space="0" w:color="A6A6A6"/>
            </w:tcBorders>
            <w:vAlign w:val="center"/>
          </w:tcPr>
          <w:p w14:paraId="3039523E"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tcPr>
          <w:p w14:paraId="2214EFA3"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CC BDBiH CHAPTER XX</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tcPr>
          <w:p w14:paraId="183A1543"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 offences against marriage, family and youth</w:t>
            </w:r>
          </w:p>
        </w:tc>
        <w:tc>
          <w:tcPr>
            <w:tcW w:w="1098" w:type="dxa"/>
            <w:tcBorders>
              <w:top w:val="nil"/>
              <w:left w:val="nil"/>
              <w:bottom w:val="single" w:sz="8" w:space="0" w:color="A6A6A6"/>
              <w:right w:val="single" w:sz="8" w:space="0" w:color="A6A6A6"/>
            </w:tcBorders>
            <w:shd w:val="clear" w:color="auto" w:fill="auto"/>
            <w:vAlign w:val="center"/>
          </w:tcPr>
          <w:p w14:paraId="074E650A"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14</w:t>
            </w:r>
          </w:p>
        </w:tc>
        <w:tc>
          <w:tcPr>
            <w:tcW w:w="889" w:type="dxa"/>
            <w:tcBorders>
              <w:top w:val="nil"/>
              <w:left w:val="nil"/>
              <w:bottom w:val="single" w:sz="8" w:space="0" w:color="A6A6A6"/>
              <w:right w:val="single" w:sz="8" w:space="0" w:color="A6A6A6"/>
            </w:tcBorders>
            <w:shd w:val="clear" w:color="auto" w:fill="auto"/>
            <w:vAlign w:val="center"/>
          </w:tcPr>
          <w:p w14:paraId="6586DEDD"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14</w:t>
            </w:r>
          </w:p>
        </w:tc>
        <w:tc>
          <w:tcPr>
            <w:tcW w:w="990" w:type="dxa"/>
            <w:tcBorders>
              <w:top w:val="nil"/>
              <w:left w:val="nil"/>
              <w:bottom w:val="single" w:sz="8" w:space="0" w:color="A6A6A6"/>
              <w:right w:val="single" w:sz="8" w:space="0" w:color="A6A6A6"/>
            </w:tcBorders>
            <w:shd w:val="clear" w:color="auto" w:fill="auto"/>
            <w:vAlign w:val="center"/>
          </w:tcPr>
          <w:p w14:paraId="0220A0E7"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18</w:t>
            </w:r>
          </w:p>
        </w:tc>
        <w:tc>
          <w:tcPr>
            <w:tcW w:w="891" w:type="dxa"/>
            <w:tcBorders>
              <w:top w:val="nil"/>
              <w:left w:val="nil"/>
              <w:bottom w:val="single" w:sz="8" w:space="0" w:color="A6A6A6"/>
              <w:right w:val="single" w:sz="8" w:space="0" w:color="A6A6A6"/>
            </w:tcBorders>
            <w:shd w:val="clear" w:color="auto" w:fill="auto"/>
            <w:vAlign w:val="center"/>
          </w:tcPr>
          <w:p w14:paraId="38C95E83"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19</w:t>
            </w:r>
          </w:p>
        </w:tc>
      </w:tr>
      <w:tr w:rsidR="003E7651" w:rsidRPr="004B3CF1" w14:paraId="2354C2BC" w14:textId="77777777" w:rsidTr="003E7651">
        <w:trPr>
          <w:trHeight w:val="615"/>
        </w:trPr>
        <w:tc>
          <w:tcPr>
            <w:tcW w:w="1140" w:type="dxa"/>
            <w:vMerge/>
            <w:tcBorders>
              <w:top w:val="nil"/>
              <w:left w:val="single" w:sz="8" w:space="0" w:color="A6A6A6"/>
              <w:bottom w:val="single" w:sz="8" w:space="0" w:color="A6A6A6"/>
              <w:right w:val="single" w:sz="8" w:space="0" w:color="A6A6A6"/>
            </w:tcBorders>
            <w:vAlign w:val="center"/>
          </w:tcPr>
          <w:p w14:paraId="2AC100BB"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tcPr>
          <w:p w14:paraId="4945DFC6"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CC BDBiH CHAPTER XXVIII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tcPr>
          <w:p w14:paraId="18A6809B"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 offences against public traffic safety</w:t>
            </w:r>
          </w:p>
        </w:tc>
        <w:tc>
          <w:tcPr>
            <w:tcW w:w="1098" w:type="dxa"/>
            <w:tcBorders>
              <w:top w:val="nil"/>
              <w:left w:val="nil"/>
              <w:bottom w:val="single" w:sz="8" w:space="0" w:color="A6A6A6"/>
              <w:right w:val="single" w:sz="8" w:space="0" w:color="A6A6A6"/>
            </w:tcBorders>
            <w:shd w:val="clear" w:color="auto" w:fill="auto"/>
            <w:vAlign w:val="center"/>
          </w:tcPr>
          <w:p w14:paraId="46A06D56"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16</w:t>
            </w:r>
          </w:p>
        </w:tc>
        <w:tc>
          <w:tcPr>
            <w:tcW w:w="889" w:type="dxa"/>
            <w:tcBorders>
              <w:top w:val="nil"/>
              <w:left w:val="nil"/>
              <w:bottom w:val="single" w:sz="8" w:space="0" w:color="A6A6A6"/>
              <w:right w:val="single" w:sz="8" w:space="0" w:color="A6A6A6"/>
            </w:tcBorders>
            <w:shd w:val="clear" w:color="auto" w:fill="auto"/>
            <w:vAlign w:val="center"/>
          </w:tcPr>
          <w:p w14:paraId="138F4A78"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16</w:t>
            </w:r>
          </w:p>
        </w:tc>
        <w:tc>
          <w:tcPr>
            <w:tcW w:w="990" w:type="dxa"/>
            <w:tcBorders>
              <w:top w:val="nil"/>
              <w:left w:val="nil"/>
              <w:bottom w:val="single" w:sz="8" w:space="0" w:color="A6A6A6"/>
              <w:right w:val="single" w:sz="8" w:space="0" w:color="A6A6A6"/>
            </w:tcBorders>
            <w:shd w:val="clear" w:color="auto" w:fill="auto"/>
            <w:vAlign w:val="center"/>
          </w:tcPr>
          <w:p w14:paraId="7B28A958"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w:t>
            </w:r>
          </w:p>
        </w:tc>
        <w:tc>
          <w:tcPr>
            <w:tcW w:w="891" w:type="dxa"/>
            <w:tcBorders>
              <w:top w:val="nil"/>
              <w:left w:val="nil"/>
              <w:bottom w:val="single" w:sz="8" w:space="0" w:color="A6A6A6"/>
              <w:right w:val="single" w:sz="8" w:space="0" w:color="A6A6A6"/>
            </w:tcBorders>
            <w:shd w:val="clear" w:color="auto" w:fill="auto"/>
            <w:vAlign w:val="center"/>
          </w:tcPr>
          <w:p w14:paraId="61F5874F"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17</w:t>
            </w:r>
          </w:p>
        </w:tc>
      </w:tr>
      <w:tr w:rsidR="003E7651" w:rsidRPr="004B3CF1" w14:paraId="4F9E20D4" w14:textId="77777777" w:rsidTr="003E7651">
        <w:trPr>
          <w:trHeight w:val="615"/>
        </w:trPr>
        <w:tc>
          <w:tcPr>
            <w:tcW w:w="1140" w:type="dxa"/>
            <w:vMerge/>
            <w:tcBorders>
              <w:top w:val="nil"/>
              <w:left w:val="single" w:sz="8" w:space="0" w:color="A6A6A6"/>
              <w:bottom w:val="single" w:sz="8" w:space="0" w:color="A6A6A6"/>
              <w:right w:val="single" w:sz="8" w:space="0" w:color="A6A6A6"/>
            </w:tcBorders>
            <w:vAlign w:val="center"/>
            <w:hideMark/>
          </w:tcPr>
          <w:p w14:paraId="05BF6265" w14:textId="77777777" w:rsidR="003E7651" w:rsidRPr="004B3CF1" w:rsidRDefault="003E7651" w:rsidP="003E7651">
            <w:pPr>
              <w:ind w:left="4" w:hanging="4"/>
              <w:rPr>
                <w:rFonts w:ascii="Arial" w:hAnsi="Arial" w:cs="Arial"/>
                <w:color w:val="000000"/>
                <w:sz w:val="22"/>
                <w:szCs w:val="22"/>
              </w:rPr>
            </w:pPr>
          </w:p>
        </w:tc>
        <w:tc>
          <w:tcPr>
            <w:tcW w:w="1416"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1A2E63BB"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CC BDBiH XXI</w:t>
            </w:r>
          </w:p>
        </w:tc>
        <w:tc>
          <w:tcPr>
            <w:tcW w:w="2695" w:type="dxa"/>
            <w:tcBorders>
              <w:top w:val="nil"/>
              <w:left w:val="nil"/>
              <w:bottom w:val="single" w:sz="8" w:space="0" w:color="A6A6A6"/>
              <w:right w:val="single" w:sz="8" w:space="0" w:color="A6A6A6"/>
            </w:tcBorders>
            <w:shd w:val="clear" w:color="auto" w:fill="auto"/>
            <w:tcMar>
              <w:left w:w="28" w:type="dxa"/>
              <w:right w:w="28" w:type="dxa"/>
            </w:tcMar>
            <w:vAlign w:val="center"/>
            <w:hideMark/>
          </w:tcPr>
          <w:p w14:paraId="00B4C8C4" w14:textId="77777777" w:rsidR="003E7651" w:rsidRPr="004B3CF1" w:rsidRDefault="003E7651" w:rsidP="003E7651">
            <w:pPr>
              <w:autoSpaceDE w:val="0"/>
              <w:autoSpaceDN w:val="0"/>
              <w:adjustRightInd w:val="0"/>
              <w:rPr>
                <w:rFonts w:ascii="Arial" w:hAnsi="Arial" w:cs="Arial"/>
                <w:color w:val="000000"/>
                <w:sz w:val="22"/>
                <w:szCs w:val="22"/>
              </w:rPr>
            </w:pPr>
            <w:r w:rsidRPr="004B3CF1">
              <w:rPr>
                <w:rFonts w:ascii="Arial" w:hAnsi="Arial"/>
                <w:color w:val="000000"/>
                <w:sz w:val="22"/>
                <w:szCs w:val="22"/>
              </w:rPr>
              <w:t>Criminal offences against human health</w:t>
            </w:r>
          </w:p>
        </w:tc>
        <w:tc>
          <w:tcPr>
            <w:tcW w:w="1098" w:type="dxa"/>
            <w:tcBorders>
              <w:top w:val="nil"/>
              <w:left w:val="nil"/>
              <w:bottom w:val="single" w:sz="8" w:space="0" w:color="A6A6A6"/>
              <w:right w:val="single" w:sz="8" w:space="0" w:color="A6A6A6"/>
            </w:tcBorders>
            <w:shd w:val="clear" w:color="auto" w:fill="auto"/>
            <w:vAlign w:val="center"/>
          </w:tcPr>
          <w:p w14:paraId="3286B3C9"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31</w:t>
            </w:r>
          </w:p>
        </w:tc>
        <w:tc>
          <w:tcPr>
            <w:tcW w:w="889" w:type="dxa"/>
            <w:tcBorders>
              <w:top w:val="nil"/>
              <w:left w:val="nil"/>
              <w:bottom w:val="single" w:sz="8" w:space="0" w:color="A6A6A6"/>
              <w:right w:val="single" w:sz="8" w:space="0" w:color="A6A6A6"/>
            </w:tcBorders>
            <w:shd w:val="clear" w:color="auto" w:fill="auto"/>
            <w:vAlign w:val="center"/>
          </w:tcPr>
          <w:p w14:paraId="74AC02C7" w14:textId="77777777" w:rsidR="003E7651" w:rsidRPr="004B3CF1" w:rsidRDefault="003E7651" w:rsidP="003E7651">
            <w:pPr>
              <w:ind w:left="4" w:hanging="4"/>
              <w:jc w:val="right"/>
              <w:rPr>
                <w:rFonts w:ascii="Arial" w:hAnsi="Arial" w:cs="Arial"/>
                <w:color w:val="000000"/>
                <w:sz w:val="22"/>
                <w:szCs w:val="22"/>
              </w:rPr>
            </w:pPr>
            <w:r w:rsidRPr="004B3CF1">
              <w:rPr>
                <w:rFonts w:ascii="Arial" w:hAnsi="Arial"/>
                <w:color w:val="000000"/>
                <w:sz w:val="22"/>
                <w:szCs w:val="22"/>
              </w:rPr>
              <w:t>37</w:t>
            </w:r>
          </w:p>
        </w:tc>
        <w:tc>
          <w:tcPr>
            <w:tcW w:w="990" w:type="dxa"/>
            <w:tcBorders>
              <w:top w:val="nil"/>
              <w:left w:val="nil"/>
              <w:bottom w:val="single" w:sz="8" w:space="0" w:color="A6A6A6"/>
              <w:right w:val="single" w:sz="8" w:space="0" w:color="A6A6A6"/>
            </w:tcBorders>
            <w:shd w:val="clear" w:color="auto" w:fill="auto"/>
            <w:vAlign w:val="center"/>
          </w:tcPr>
          <w:p w14:paraId="05F3930E"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11</w:t>
            </w:r>
          </w:p>
        </w:tc>
        <w:tc>
          <w:tcPr>
            <w:tcW w:w="891" w:type="dxa"/>
            <w:tcBorders>
              <w:top w:val="nil"/>
              <w:left w:val="nil"/>
              <w:bottom w:val="single" w:sz="8" w:space="0" w:color="A6A6A6"/>
              <w:right w:val="single" w:sz="8" w:space="0" w:color="A6A6A6"/>
            </w:tcBorders>
            <w:shd w:val="clear" w:color="auto" w:fill="auto"/>
            <w:vAlign w:val="center"/>
          </w:tcPr>
          <w:p w14:paraId="6C5D3A9A" w14:textId="77777777" w:rsidR="003E7651" w:rsidRPr="004B3CF1" w:rsidRDefault="003E7651" w:rsidP="003E7651">
            <w:pPr>
              <w:autoSpaceDE w:val="0"/>
              <w:autoSpaceDN w:val="0"/>
              <w:adjustRightInd w:val="0"/>
              <w:jc w:val="right"/>
              <w:rPr>
                <w:rFonts w:ascii="Arial" w:hAnsi="Arial" w:cs="Arial"/>
                <w:color w:val="000000"/>
                <w:sz w:val="22"/>
                <w:szCs w:val="22"/>
              </w:rPr>
            </w:pPr>
            <w:r w:rsidRPr="004B3CF1">
              <w:rPr>
                <w:rFonts w:ascii="Arial" w:hAnsi="Arial"/>
                <w:color w:val="000000"/>
                <w:sz w:val="22"/>
                <w:szCs w:val="22"/>
              </w:rPr>
              <w:t>14</w:t>
            </w:r>
          </w:p>
        </w:tc>
      </w:tr>
      <w:tr w:rsidR="003E7651" w:rsidRPr="004B3CF1" w14:paraId="1D0FC200" w14:textId="77777777" w:rsidTr="003E7651">
        <w:trPr>
          <w:trHeight w:val="717"/>
        </w:trPr>
        <w:tc>
          <w:tcPr>
            <w:tcW w:w="5251" w:type="dxa"/>
            <w:gridSpan w:val="3"/>
            <w:tcBorders>
              <w:top w:val="single" w:sz="8" w:space="0" w:color="A6A6A6"/>
              <w:left w:val="single" w:sz="8" w:space="0" w:color="A6A6A6"/>
              <w:bottom w:val="single" w:sz="8" w:space="0" w:color="979991"/>
              <w:right w:val="single" w:sz="8" w:space="0" w:color="A6A6A6"/>
            </w:tcBorders>
            <w:shd w:val="clear" w:color="auto" w:fill="auto"/>
            <w:vAlign w:val="center"/>
            <w:hideMark/>
          </w:tcPr>
          <w:p w14:paraId="005E3AAA" w14:textId="77777777" w:rsidR="003E7651" w:rsidRPr="004B3CF1" w:rsidRDefault="003E7651" w:rsidP="003E7651">
            <w:pPr>
              <w:ind w:left="4" w:hanging="4"/>
              <w:rPr>
                <w:rFonts w:ascii="Arial" w:hAnsi="Arial" w:cs="Arial"/>
                <w:b/>
                <w:bCs/>
                <w:color w:val="000000"/>
                <w:sz w:val="22"/>
                <w:szCs w:val="22"/>
              </w:rPr>
            </w:pPr>
            <w:r w:rsidRPr="004B3CF1">
              <w:rPr>
                <w:rFonts w:ascii="Arial" w:hAnsi="Arial"/>
                <w:b/>
                <w:bCs/>
                <w:color w:val="000000"/>
                <w:sz w:val="22"/>
                <w:szCs w:val="22"/>
              </w:rPr>
              <w:t>TOTAL FOR THE ABOVE CHAPTERS OF CRIMINAL CODES</w:t>
            </w:r>
          </w:p>
        </w:tc>
        <w:tc>
          <w:tcPr>
            <w:tcW w:w="1098" w:type="dxa"/>
            <w:tcBorders>
              <w:top w:val="nil"/>
              <w:left w:val="nil"/>
              <w:bottom w:val="single" w:sz="8" w:space="0" w:color="979991"/>
              <w:right w:val="single" w:sz="8" w:space="0" w:color="A6A6A6"/>
            </w:tcBorders>
            <w:shd w:val="clear" w:color="auto" w:fill="auto"/>
            <w:vAlign w:val="center"/>
            <w:hideMark/>
          </w:tcPr>
          <w:p w14:paraId="39FD3079" w14:textId="77777777" w:rsidR="003E7651" w:rsidRPr="004B3CF1" w:rsidRDefault="003E7651" w:rsidP="003E7651">
            <w:pPr>
              <w:ind w:left="4" w:hanging="4"/>
              <w:jc w:val="right"/>
              <w:rPr>
                <w:rFonts w:ascii="Arial" w:hAnsi="Arial" w:cs="Arial"/>
                <w:b/>
                <w:bCs/>
                <w:color w:val="000000"/>
                <w:sz w:val="22"/>
                <w:szCs w:val="22"/>
              </w:rPr>
            </w:pPr>
            <w:r w:rsidRPr="004B3CF1">
              <w:rPr>
                <w:rFonts w:ascii="Arial" w:hAnsi="Arial"/>
                <w:b/>
                <w:bCs/>
                <w:color w:val="000000"/>
                <w:sz w:val="22"/>
                <w:szCs w:val="22"/>
              </w:rPr>
              <w:t>7,827</w:t>
            </w:r>
          </w:p>
        </w:tc>
        <w:tc>
          <w:tcPr>
            <w:tcW w:w="889" w:type="dxa"/>
            <w:tcBorders>
              <w:top w:val="nil"/>
              <w:left w:val="nil"/>
              <w:bottom w:val="single" w:sz="8" w:space="0" w:color="979991"/>
              <w:right w:val="single" w:sz="8" w:space="0" w:color="A6A6A6"/>
            </w:tcBorders>
            <w:shd w:val="clear" w:color="auto" w:fill="auto"/>
            <w:vAlign w:val="center"/>
            <w:hideMark/>
          </w:tcPr>
          <w:p w14:paraId="41396BF3" w14:textId="77777777" w:rsidR="003E7651" w:rsidRPr="004B3CF1" w:rsidRDefault="003E7651" w:rsidP="003E7651">
            <w:pPr>
              <w:ind w:left="4" w:hanging="4"/>
              <w:jc w:val="right"/>
              <w:rPr>
                <w:rFonts w:ascii="Arial" w:hAnsi="Arial" w:cs="Arial"/>
                <w:b/>
                <w:bCs/>
                <w:color w:val="000000"/>
                <w:sz w:val="22"/>
                <w:szCs w:val="22"/>
              </w:rPr>
            </w:pPr>
            <w:r w:rsidRPr="004B3CF1">
              <w:rPr>
                <w:rFonts w:ascii="Arial" w:hAnsi="Arial"/>
                <w:b/>
                <w:bCs/>
                <w:color w:val="000000"/>
                <w:sz w:val="22"/>
                <w:szCs w:val="22"/>
              </w:rPr>
              <w:t>8,955</w:t>
            </w:r>
          </w:p>
        </w:tc>
        <w:tc>
          <w:tcPr>
            <w:tcW w:w="990" w:type="dxa"/>
            <w:tcBorders>
              <w:top w:val="nil"/>
              <w:left w:val="nil"/>
              <w:bottom w:val="single" w:sz="8" w:space="0" w:color="979991"/>
              <w:right w:val="single" w:sz="8" w:space="0" w:color="A6A6A6"/>
            </w:tcBorders>
            <w:shd w:val="clear" w:color="auto" w:fill="auto"/>
            <w:vAlign w:val="center"/>
          </w:tcPr>
          <w:p w14:paraId="52EF10E8" w14:textId="77777777" w:rsidR="003E7651" w:rsidRPr="004B3CF1" w:rsidRDefault="003E7651" w:rsidP="003E7651">
            <w:pPr>
              <w:ind w:left="4" w:hanging="4"/>
              <w:jc w:val="right"/>
              <w:rPr>
                <w:rFonts w:ascii="Arial" w:hAnsi="Arial" w:cs="Arial"/>
                <w:b/>
                <w:bCs/>
                <w:color w:val="000000"/>
                <w:sz w:val="22"/>
                <w:szCs w:val="22"/>
              </w:rPr>
            </w:pPr>
            <w:r w:rsidRPr="004B3CF1">
              <w:rPr>
                <w:rFonts w:ascii="Arial" w:hAnsi="Arial"/>
                <w:b/>
                <w:bCs/>
                <w:color w:val="000000"/>
                <w:sz w:val="22"/>
                <w:szCs w:val="22"/>
              </w:rPr>
              <w:t>8,803</w:t>
            </w:r>
          </w:p>
        </w:tc>
        <w:tc>
          <w:tcPr>
            <w:tcW w:w="891" w:type="dxa"/>
            <w:tcBorders>
              <w:top w:val="nil"/>
              <w:left w:val="nil"/>
              <w:bottom w:val="single" w:sz="8" w:space="0" w:color="979991"/>
              <w:right w:val="single" w:sz="8" w:space="0" w:color="A6A6A6"/>
            </w:tcBorders>
            <w:shd w:val="clear" w:color="auto" w:fill="auto"/>
            <w:vAlign w:val="center"/>
          </w:tcPr>
          <w:p w14:paraId="386886FF" w14:textId="77777777" w:rsidR="003E7651" w:rsidRPr="004B3CF1" w:rsidRDefault="003E7651" w:rsidP="003E7651">
            <w:pPr>
              <w:ind w:left="4" w:hanging="4"/>
              <w:jc w:val="right"/>
              <w:rPr>
                <w:rFonts w:ascii="Arial" w:hAnsi="Arial" w:cs="Arial"/>
                <w:b/>
                <w:bCs/>
                <w:color w:val="000000"/>
                <w:sz w:val="22"/>
                <w:szCs w:val="22"/>
              </w:rPr>
            </w:pPr>
            <w:r w:rsidRPr="004B3CF1">
              <w:rPr>
                <w:rFonts w:ascii="Arial" w:hAnsi="Arial"/>
                <w:b/>
                <w:bCs/>
                <w:color w:val="000000"/>
                <w:sz w:val="22"/>
                <w:szCs w:val="22"/>
              </w:rPr>
              <w:t>10,145</w:t>
            </w:r>
          </w:p>
        </w:tc>
      </w:tr>
      <w:tr w:rsidR="003E7651" w:rsidRPr="004B3CF1" w14:paraId="2BA52106" w14:textId="77777777" w:rsidTr="003E7651">
        <w:trPr>
          <w:trHeight w:val="630"/>
        </w:trPr>
        <w:tc>
          <w:tcPr>
            <w:tcW w:w="5251" w:type="dxa"/>
            <w:gridSpan w:val="3"/>
            <w:tcBorders>
              <w:top w:val="single" w:sz="8" w:space="0" w:color="A6A6A6"/>
              <w:left w:val="single" w:sz="8" w:space="0" w:color="A6A6A6"/>
              <w:bottom w:val="single" w:sz="8" w:space="0" w:color="979991"/>
              <w:right w:val="single" w:sz="8" w:space="0" w:color="A6A6A6"/>
            </w:tcBorders>
            <w:shd w:val="clear" w:color="auto" w:fill="auto"/>
            <w:vAlign w:val="center"/>
            <w:hideMark/>
          </w:tcPr>
          <w:p w14:paraId="009239EB" w14:textId="77777777" w:rsidR="003E7651" w:rsidRPr="004B3CF1" w:rsidRDefault="003E7651" w:rsidP="003E7651">
            <w:pPr>
              <w:ind w:left="4" w:hanging="4"/>
              <w:rPr>
                <w:rFonts w:ascii="Arial" w:hAnsi="Arial" w:cs="Arial"/>
                <w:b/>
                <w:bCs/>
                <w:color w:val="000000"/>
                <w:sz w:val="22"/>
                <w:szCs w:val="22"/>
              </w:rPr>
            </w:pPr>
            <w:r w:rsidRPr="004B3CF1">
              <w:rPr>
                <w:rFonts w:ascii="Arial" w:hAnsi="Arial"/>
                <w:b/>
                <w:bCs/>
                <w:color w:val="000000"/>
                <w:sz w:val="22"/>
                <w:szCs w:val="22"/>
              </w:rPr>
              <w:t>TOTAL FOR ALL CHAPTERS OF CRIMINAL CODES</w:t>
            </w:r>
          </w:p>
        </w:tc>
        <w:tc>
          <w:tcPr>
            <w:tcW w:w="1098" w:type="dxa"/>
            <w:tcBorders>
              <w:top w:val="single" w:sz="8" w:space="0" w:color="A6A6A6"/>
              <w:left w:val="nil"/>
              <w:bottom w:val="single" w:sz="8" w:space="0" w:color="979991"/>
              <w:right w:val="single" w:sz="8" w:space="0" w:color="A6A6A6"/>
            </w:tcBorders>
            <w:shd w:val="clear" w:color="auto" w:fill="auto"/>
            <w:vAlign w:val="center"/>
            <w:hideMark/>
          </w:tcPr>
          <w:p w14:paraId="04C49D87"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9,678</w:t>
            </w:r>
          </w:p>
        </w:tc>
        <w:tc>
          <w:tcPr>
            <w:tcW w:w="889" w:type="dxa"/>
            <w:tcBorders>
              <w:top w:val="single" w:sz="8" w:space="0" w:color="A6A6A6"/>
              <w:left w:val="nil"/>
              <w:bottom w:val="single" w:sz="8" w:space="0" w:color="979991"/>
              <w:right w:val="single" w:sz="8" w:space="0" w:color="A6A6A6"/>
            </w:tcBorders>
            <w:shd w:val="clear" w:color="auto" w:fill="auto"/>
            <w:vAlign w:val="center"/>
            <w:hideMark/>
          </w:tcPr>
          <w:p w14:paraId="05DBFD85"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11,213</w:t>
            </w:r>
          </w:p>
        </w:tc>
        <w:tc>
          <w:tcPr>
            <w:tcW w:w="990" w:type="dxa"/>
            <w:tcBorders>
              <w:top w:val="single" w:sz="8" w:space="0" w:color="A6A6A6"/>
              <w:left w:val="nil"/>
              <w:bottom w:val="single" w:sz="8" w:space="0" w:color="979991"/>
              <w:right w:val="single" w:sz="8" w:space="0" w:color="A6A6A6"/>
            </w:tcBorders>
            <w:shd w:val="clear" w:color="auto" w:fill="auto"/>
            <w:vAlign w:val="center"/>
          </w:tcPr>
          <w:p w14:paraId="63997C23"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11,041</w:t>
            </w:r>
          </w:p>
        </w:tc>
        <w:tc>
          <w:tcPr>
            <w:tcW w:w="891" w:type="dxa"/>
            <w:tcBorders>
              <w:top w:val="single" w:sz="8" w:space="0" w:color="A6A6A6"/>
              <w:left w:val="nil"/>
              <w:bottom w:val="single" w:sz="8" w:space="0" w:color="979991"/>
              <w:right w:val="single" w:sz="8" w:space="0" w:color="A6A6A6"/>
            </w:tcBorders>
            <w:shd w:val="clear" w:color="auto" w:fill="auto"/>
            <w:vAlign w:val="center"/>
          </w:tcPr>
          <w:p w14:paraId="123C3AB6" w14:textId="77777777" w:rsidR="003E7651" w:rsidRPr="004B3CF1" w:rsidRDefault="003E7651" w:rsidP="003E7651">
            <w:pPr>
              <w:autoSpaceDE w:val="0"/>
              <w:autoSpaceDN w:val="0"/>
              <w:adjustRightInd w:val="0"/>
              <w:jc w:val="right"/>
              <w:rPr>
                <w:rFonts w:ascii="Arial" w:hAnsi="Arial" w:cs="Arial"/>
                <w:b/>
                <w:bCs/>
                <w:color w:val="000000"/>
                <w:sz w:val="22"/>
                <w:szCs w:val="22"/>
              </w:rPr>
            </w:pPr>
            <w:r w:rsidRPr="004B3CF1">
              <w:rPr>
                <w:rFonts w:ascii="Arial" w:hAnsi="Arial"/>
                <w:b/>
                <w:bCs/>
                <w:color w:val="000000"/>
                <w:sz w:val="22"/>
                <w:szCs w:val="22"/>
              </w:rPr>
              <w:t>13,093</w:t>
            </w:r>
          </w:p>
        </w:tc>
      </w:tr>
    </w:tbl>
    <w:p w14:paraId="78F0B2E6" w14:textId="77777777" w:rsidR="003E7651" w:rsidRPr="004B3CF1" w:rsidRDefault="003E7651" w:rsidP="003E7651">
      <w:pPr>
        <w:pStyle w:val="TREINASLOV"/>
      </w:pPr>
      <w:bookmarkStart w:id="246" w:name="_Toc97722108"/>
      <w:bookmarkStart w:id="247" w:name="_Toc101944288"/>
      <w:bookmarkStart w:id="248" w:name="_Toc112852494"/>
      <w:r w:rsidRPr="004B3CF1">
        <w:t>Quality and quantity of justice</w:t>
      </w:r>
      <w:bookmarkEnd w:id="246"/>
      <w:bookmarkEnd w:id="247"/>
      <w:bookmarkEnd w:id="248"/>
    </w:p>
    <w:p w14:paraId="450C2BF2" w14:textId="77777777" w:rsidR="003E7651" w:rsidRPr="004B3CF1" w:rsidRDefault="003E7651" w:rsidP="003E7651">
      <w:pPr>
        <w:pStyle w:val="Tekst"/>
      </w:pPr>
      <w:r w:rsidRPr="004B3CF1">
        <w:t>In 2021, prosecutor’s offices, on average, achieved their collective quotas at 105%, which is 11% higher than in 2020. In accordance with the criteria for evaluating the work of pros</w:t>
      </w:r>
      <w:r>
        <w:t xml:space="preserve">ecutors and chief prosecutors, </w:t>
      </w:r>
      <w:r w:rsidRPr="004B3CF1">
        <w:t>the quali</w:t>
      </w:r>
      <w:r>
        <w:t>ty of prosecutorial decisions is</w:t>
      </w:r>
      <w:r w:rsidRPr="004B3CF1">
        <w:t xml:space="preserve"> expressed through two elements: quality of indictments and quality of orders not to investigate and orders to discontinue investigation.</w:t>
      </w:r>
      <w:r w:rsidRPr="004B3CF1">
        <w:rPr>
          <w:rStyle w:val="FootnoteReference"/>
        </w:rPr>
        <w:footnoteReference w:id="26"/>
      </w:r>
      <w:r w:rsidRPr="004B3CF1">
        <w:t xml:space="preserve"> In 2021, the average quality of indictments was 96%, which is a 2% increase compared to 2020. In 2021, the average result the prosecutor's offices in terms of quality of orders </w:t>
      </w:r>
      <w:r w:rsidRPr="004B3CF1">
        <w:lastRenderedPageBreak/>
        <w:t>not to investigate and to discontinue investigation was 99.3%, which is a decrease of 0.3% compared to the previous year.</w:t>
      </w:r>
    </w:p>
    <w:p w14:paraId="7EFECFA2" w14:textId="77777777" w:rsidR="003E7651" w:rsidRPr="004B3CF1" w:rsidRDefault="003E7651" w:rsidP="003E7651">
      <w:pPr>
        <w:pStyle w:val="Caption"/>
      </w:pPr>
      <w:r w:rsidRPr="004B3CF1">
        <w:t xml:space="preserve">Table </w:t>
      </w:r>
      <w:r w:rsidR="006D1459">
        <w:fldChar w:fldCharType="begin"/>
      </w:r>
      <w:r w:rsidR="006D1459">
        <w:instrText xml:space="preserve"> SEQ Tablica \* ARABIC </w:instrText>
      </w:r>
      <w:r w:rsidR="006D1459">
        <w:fldChar w:fldCharType="separate"/>
      </w:r>
      <w:r w:rsidRPr="004B3CF1">
        <w:t>22</w:t>
      </w:r>
      <w:r w:rsidR="006D1459">
        <w:fldChar w:fldCharType="end"/>
      </w:r>
      <w:r w:rsidRPr="004B3CF1">
        <w:t>: Performance quality and quantity</w:t>
      </w:r>
    </w:p>
    <w:tbl>
      <w:tblPr>
        <w:tblW w:w="8789" w:type="dxa"/>
        <w:tblInd w:w="108" w:type="dxa"/>
        <w:tblLook w:val="04A0" w:firstRow="1" w:lastRow="0" w:firstColumn="1" w:lastColumn="0" w:noHBand="0" w:noVBand="1"/>
      </w:tblPr>
      <w:tblGrid>
        <w:gridCol w:w="3261"/>
        <w:gridCol w:w="1275"/>
        <w:gridCol w:w="1985"/>
        <w:gridCol w:w="2268"/>
      </w:tblGrid>
      <w:tr w:rsidR="003E7651" w:rsidRPr="004B3CF1" w14:paraId="3FBEE408" w14:textId="77777777" w:rsidTr="003E7651">
        <w:trPr>
          <w:trHeight w:val="525"/>
        </w:trPr>
        <w:tc>
          <w:tcPr>
            <w:tcW w:w="3261" w:type="dxa"/>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14:paraId="10706933"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Prosecutor’s offices</w:t>
            </w:r>
          </w:p>
        </w:tc>
        <w:tc>
          <w:tcPr>
            <w:tcW w:w="3260" w:type="dxa"/>
            <w:gridSpan w:val="2"/>
            <w:tcBorders>
              <w:top w:val="single" w:sz="8" w:space="0" w:color="A6A6A6"/>
              <w:left w:val="nil"/>
              <w:bottom w:val="single" w:sz="8" w:space="0" w:color="A6A6A6"/>
              <w:right w:val="single" w:sz="8" w:space="0" w:color="A6A6A6"/>
            </w:tcBorders>
            <w:shd w:val="clear" w:color="auto" w:fill="auto"/>
            <w:vAlign w:val="center"/>
            <w:hideMark/>
          </w:tcPr>
          <w:p w14:paraId="43807A02"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Performance quality</w:t>
            </w:r>
          </w:p>
        </w:tc>
        <w:tc>
          <w:tcPr>
            <w:tcW w:w="2268" w:type="dxa"/>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32D56636"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Performance quantity- average collective quota achieved</w:t>
            </w:r>
            <w:r w:rsidRPr="004B3CF1">
              <w:rPr>
                <w:rStyle w:val="FootnoteReference"/>
                <w:rFonts w:ascii="Arial" w:hAnsi="Arial" w:cs="Arial"/>
                <w:color w:val="000000"/>
                <w:sz w:val="22"/>
              </w:rPr>
              <w:footnoteReference w:id="27"/>
            </w:r>
          </w:p>
        </w:tc>
      </w:tr>
      <w:tr w:rsidR="003E7651" w:rsidRPr="004B3CF1" w14:paraId="791AB890" w14:textId="77777777" w:rsidTr="003E7651">
        <w:trPr>
          <w:trHeight w:val="990"/>
        </w:trPr>
        <w:tc>
          <w:tcPr>
            <w:tcW w:w="3261" w:type="dxa"/>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193EEC83" w14:textId="77777777" w:rsidR="003E7651" w:rsidRPr="004B3CF1" w:rsidRDefault="003E7651" w:rsidP="003E7651">
            <w:pPr>
              <w:rPr>
                <w:rFonts w:ascii="Arial" w:hAnsi="Arial" w:cs="Arial"/>
                <w:color w:val="000000"/>
                <w:sz w:val="22"/>
              </w:rPr>
            </w:pPr>
          </w:p>
        </w:tc>
        <w:tc>
          <w:tcPr>
            <w:tcW w:w="1275" w:type="dxa"/>
            <w:tcBorders>
              <w:top w:val="nil"/>
              <w:left w:val="nil"/>
              <w:bottom w:val="single" w:sz="8" w:space="0" w:color="A6A6A6"/>
              <w:right w:val="single" w:sz="8" w:space="0" w:color="A6A6A6"/>
            </w:tcBorders>
            <w:shd w:val="clear" w:color="auto" w:fill="auto"/>
            <w:vAlign w:val="center"/>
            <w:hideMark/>
          </w:tcPr>
          <w:p w14:paraId="1E041CC2"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Indictment quality</w:t>
            </w:r>
          </w:p>
        </w:tc>
        <w:tc>
          <w:tcPr>
            <w:tcW w:w="1985" w:type="dxa"/>
            <w:tcBorders>
              <w:top w:val="nil"/>
              <w:left w:val="nil"/>
              <w:bottom w:val="single" w:sz="8" w:space="0" w:color="A6A6A6"/>
              <w:right w:val="single" w:sz="8" w:space="0" w:color="A6A6A6"/>
            </w:tcBorders>
            <w:shd w:val="clear" w:color="auto" w:fill="auto"/>
            <w:vAlign w:val="center"/>
            <w:hideMark/>
          </w:tcPr>
          <w:p w14:paraId="1ECFF6AD"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Quality of orders not to conduct and orders to discontinue investigation</w:t>
            </w:r>
          </w:p>
        </w:tc>
        <w:tc>
          <w:tcPr>
            <w:tcW w:w="2268" w:type="dxa"/>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14:paraId="2B37072B" w14:textId="77777777" w:rsidR="003E7651" w:rsidRPr="004B3CF1" w:rsidRDefault="003E7651" w:rsidP="003E7651">
            <w:pPr>
              <w:rPr>
                <w:rFonts w:ascii="Arial" w:hAnsi="Arial" w:cs="Arial"/>
                <w:color w:val="000000"/>
                <w:sz w:val="22"/>
              </w:rPr>
            </w:pPr>
          </w:p>
        </w:tc>
      </w:tr>
      <w:tr w:rsidR="003E7651" w:rsidRPr="004B3CF1" w14:paraId="16D130C8" w14:textId="77777777" w:rsidTr="003E7651">
        <w:trPr>
          <w:trHeight w:val="315"/>
        </w:trPr>
        <w:tc>
          <w:tcPr>
            <w:tcW w:w="3261" w:type="dxa"/>
            <w:tcBorders>
              <w:top w:val="nil"/>
              <w:left w:val="single" w:sz="8" w:space="0" w:color="A6A6A6"/>
              <w:bottom w:val="single" w:sz="8" w:space="0" w:color="A6A6A6"/>
              <w:right w:val="single" w:sz="8" w:space="0" w:color="A6A6A6"/>
            </w:tcBorders>
            <w:shd w:val="clear" w:color="auto" w:fill="auto"/>
            <w:noWrap/>
            <w:vAlign w:val="center"/>
            <w:hideMark/>
          </w:tcPr>
          <w:p w14:paraId="11275225" w14:textId="77777777" w:rsidR="003E7651" w:rsidRPr="004B3CF1" w:rsidRDefault="003E7651" w:rsidP="003E7651">
            <w:pPr>
              <w:rPr>
                <w:rFonts w:ascii="Arial" w:hAnsi="Arial" w:cs="Arial"/>
                <w:color w:val="000000"/>
                <w:sz w:val="22"/>
              </w:rPr>
            </w:pPr>
            <w:r w:rsidRPr="004B3CF1">
              <w:rPr>
                <w:rFonts w:ascii="Arial" w:hAnsi="Arial"/>
                <w:color w:val="000000"/>
                <w:sz w:val="22"/>
              </w:rPr>
              <w:t>Prosecutor's Office of BiH</w:t>
            </w:r>
          </w:p>
        </w:tc>
        <w:tc>
          <w:tcPr>
            <w:tcW w:w="1275" w:type="dxa"/>
            <w:tcBorders>
              <w:top w:val="nil"/>
              <w:left w:val="nil"/>
              <w:bottom w:val="single" w:sz="8" w:space="0" w:color="A6A6A6"/>
              <w:right w:val="single" w:sz="8" w:space="0" w:color="A6A6A6"/>
            </w:tcBorders>
            <w:shd w:val="clear" w:color="auto" w:fill="auto"/>
            <w:noWrap/>
            <w:vAlign w:val="center"/>
            <w:hideMark/>
          </w:tcPr>
          <w:p w14:paraId="2C870339"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93%</w:t>
            </w:r>
          </w:p>
        </w:tc>
        <w:tc>
          <w:tcPr>
            <w:tcW w:w="1985" w:type="dxa"/>
            <w:tcBorders>
              <w:top w:val="nil"/>
              <w:left w:val="nil"/>
              <w:bottom w:val="single" w:sz="8" w:space="0" w:color="A6A6A6"/>
              <w:right w:val="single" w:sz="8" w:space="0" w:color="A6A6A6"/>
            </w:tcBorders>
            <w:shd w:val="clear" w:color="auto" w:fill="auto"/>
            <w:noWrap/>
            <w:vAlign w:val="center"/>
            <w:hideMark/>
          </w:tcPr>
          <w:p w14:paraId="52937ADF"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100%</w:t>
            </w:r>
          </w:p>
        </w:tc>
        <w:tc>
          <w:tcPr>
            <w:tcW w:w="2268" w:type="dxa"/>
            <w:tcBorders>
              <w:top w:val="nil"/>
              <w:left w:val="nil"/>
              <w:bottom w:val="single" w:sz="8" w:space="0" w:color="A6A6A6"/>
              <w:right w:val="single" w:sz="8" w:space="0" w:color="A6A6A6"/>
            </w:tcBorders>
            <w:shd w:val="clear" w:color="auto" w:fill="auto"/>
            <w:noWrap/>
            <w:vAlign w:val="center"/>
            <w:hideMark/>
          </w:tcPr>
          <w:p w14:paraId="7EDD9CB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129%</w:t>
            </w:r>
          </w:p>
        </w:tc>
      </w:tr>
      <w:tr w:rsidR="003E7651" w:rsidRPr="004B3CF1" w14:paraId="0E2C233D" w14:textId="77777777" w:rsidTr="003E7651">
        <w:trPr>
          <w:trHeight w:val="315"/>
        </w:trPr>
        <w:tc>
          <w:tcPr>
            <w:tcW w:w="3261" w:type="dxa"/>
            <w:tcBorders>
              <w:top w:val="nil"/>
              <w:left w:val="single" w:sz="8" w:space="0" w:color="A6A6A6"/>
              <w:bottom w:val="single" w:sz="8" w:space="0" w:color="A6A6A6"/>
              <w:right w:val="single" w:sz="8" w:space="0" w:color="A6A6A6"/>
            </w:tcBorders>
            <w:shd w:val="clear" w:color="auto" w:fill="auto"/>
            <w:noWrap/>
            <w:vAlign w:val="center"/>
            <w:hideMark/>
          </w:tcPr>
          <w:p w14:paraId="72493382" w14:textId="77777777" w:rsidR="003E7651" w:rsidRPr="004B3CF1" w:rsidRDefault="003E7651" w:rsidP="003E7651">
            <w:pPr>
              <w:rPr>
                <w:rFonts w:ascii="Arial" w:hAnsi="Arial" w:cs="Arial"/>
                <w:color w:val="000000"/>
                <w:sz w:val="22"/>
              </w:rPr>
            </w:pPr>
            <w:r w:rsidRPr="004B3CF1">
              <w:rPr>
                <w:rFonts w:ascii="Arial" w:hAnsi="Arial"/>
                <w:color w:val="000000"/>
                <w:sz w:val="22"/>
              </w:rPr>
              <w:t>Cantonal Prosecutor's Offices</w:t>
            </w:r>
          </w:p>
        </w:tc>
        <w:tc>
          <w:tcPr>
            <w:tcW w:w="1275" w:type="dxa"/>
            <w:tcBorders>
              <w:top w:val="nil"/>
              <w:left w:val="nil"/>
              <w:bottom w:val="single" w:sz="8" w:space="0" w:color="A6A6A6"/>
              <w:right w:val="single" w:sz="8" w:space="0" w:color="A6A6A6"/>
            </w:tcBorders>
            <w:shd w:val="clear" w:color="auto" w:fill="auto"/>
            <w:noWrap/>
            <w:vAlign w:val="center"/>
          </w:tcPr>
          <w:p w14:paraId="7D49EDAC"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96%</w:t>
            </w:r>
          </w:p>
        </w:tc>
        <w:tc>
          <w:tcPr>
            <w:tcW w:w="1985" w:type="dxa"/>
            <w:tcBorders>
              <w:top w:val="nil"/>
              <w:left w:val="nil"/>
              <w:bottom w:val="single" w:sz="8" w:space="0" w:color="A6A6A6"/>
              <w:right w:val="single" w:sz="8" w:space="0" w:color="A6A6A6"/>
            </w:tcBorders>
            <w:shd w:val="clear" w:color="auto" w:fill="auto"/>
            <w:noWrap/>
            <w:vAlign w:val="center"/>
          </w:tcPr>
          <w:p w14:paraId="182FCB9C"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99%</w:t>
            </w:r>
          </w:p>
        </w:tc>
        <w:tc>
          <w:tcPr>
            <w:tcW w:w="2268" w:type="dxa"/>
            <w:tcBorders>
              <w:top w:val="nil"/>
              <w:left w:val="nil"/>
              <w:bottom w:val="single" w:sz="8" w:space="0" w:color="A6A6A6"/>
              <w:right w:val="single" w:sz="8" w:space="0" w:color="A6A6A6"/>
            </w:tcBorders>
            <w:shd w:val="clear" w:color="auto" w:fill="auto"/>
            <w:noWrap/>
            <w:vAlign w:val="center"/>
          </w:tcPr>
          <w:p w14:paraId="7CA2D757"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96%</w:t>
            </w:r>
          </w:p>
        </w:tc>
      </w:tr>
      <w:tr w:rsidR="003E7651" w:rsidRPr="004B3CF1" w14:paraId="17D23E59" w14:textId="77777777" w:rsidTr="003E7651">
        <w:trPr>
          <w:trHeight w:val="315"/>
        </w:trPr>
        <w:tc>
          <w:tcPr>
            <w:tcW w:w="3261" w:type="dxa"/>
            <w:tcBorders>
              <w:top w:val="nil"/>
              <w:left w:val="single" w:sz="8" w:space="0" w:color="A6A6A6"/>
              <w:bottom w:val="single" w:sz="8" w:space="0" w:color="A6A6A6"/>
              <w:right w:val="single" w:sz="8" w:space="0" w:color="A6A6A6"/>
            </w:tcBorders>
            <w:shd w:val="clear" w:color="auto" w:fill="auto"/>
            <w:noWrap/>
            <w:vAlign w:val="center"/>
            <w:hideMark/>
          </w:tcPr>
          <w:p w14:paraId="4E508DBC" w14:textId="77777777" w:rsidR="003E7651" w:rsidRPr="004B3CF1" w:rsidRDefault="003E7651" w:rsidP="003E7651">
            <w:pPr>
              <w:rPr>
                <w:rFonts w:ascii="Arial" w:hAnsi="Arial" w:cs="Arial"/>
                <w:color w:val="000000"/>
                <w:sz w:val="22"/>
              </w:rPr>
            </w:pPr>
            <w:r w:rsidRPr="004B3CF1">
              <w:rPr>
                <w:rFonts w:ascii="Arial" w:hAnsi="Arial"/>
                <w:color w:val="000000"/>
                <w:sz w:val="22"/>
              </w:rPr>
              <w:t>District Prosecutor's Offices</w:t>
            </w:r>
          </w:p>
        </w:tc>
        <w:tc>
          <w:tcPr>
            <w:tcW w:w="1275" w:type="dxa"/>
            <w:tcBorders>
              <w:top w:val="nil"/>
              <w:left w:val="nil"/>
              <w:bottom w:val="single" w:sz="8" w:space="0" w:color="A6A6A6"/>
              <w:right w:val="single" w:sz="8" w:space="0" w:color="A6A6A6"/>
            </w:tcBorders>
            <w:shd w:val="clear" w:color="auto" w:fill="auto"/>
            <w:noWrap/>
            <w:vAlign w:val="center"/>
            <w:hideMark/>
          </w:tcPr>
          <w:p w14:paraId="035A5671"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97%</w:t>
            </w:r>
          </w:p>
        </w:tc>
        <w:tc>
          <w:tcPr>
            <w:tcW w:w="1985" w:type="dxa"/>
            <w:tcBorders>
              <w:top w:val="nil"/>
              <w:left w:val="nil"/>
              <w:bottom w:val="single" w:sz="8" w:space="0" w:color="A6A6A6"/>
              <w:right w:val="single" w:sz="8" w:space="0" w:color="A6A6A6"/>
            </w:tcBorders>
            <w:shd w:val="clear" w:color="auto" w:fill="auto"/>
            <w:noWrap/>
            <w:vAlign w:val="center"/>
            <w:hideMark/>
          </w:tcPr>
          <w:p w14:paraId="3BB2EB2B"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99%</w:t>
            </w:r>
          </w:p>
        </w:tc>
        <w:tc>
          <w:tcPr>
            <w:tcW w:w="2268" w:type="dxa"/>
            <w:tcBorders>
              <w:top w:val="nil"/>
              <w:left w:val="nil"/>
              <w:bottom w:val="single" w:sz="8" w:space="0" w:color="A6A6A6"/>
              <w:right w:val="single" w:sz="8" w:space="0" w:color="A6A6A6"/>
            </w:tcBorders>
            <w:shd w:val="clear" w:color="auto" w:fill="auto"/>
            <w:noWrap/>
            <w:vAlign w:val="center"/>
            <w:hideMark/>
          </w:tcPr>
          <w:p w14:paraId="59F49A59"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120%</w:t>
            </w:r>
          </w:p>
        </w:tc>
      </w:tr>
      <w:tr w:rsidR="003E7651" w:rsidRPr="004B3CF1" w14:paraId="66617652" w14:textId="77777777" w:rsidTr="003E7651">
        <w:trPr>
          <w:trHeight w:val="315"/>
        </w:trPr>
        <w:tc>
          <w:tcPr>
            <w:tcW w:w="3261" w:type="dxa"/>
            <w:tcBorders>
              <w:top w:val="nil"/>
              <w:left w:val="single" w:sz="8" w:space="0" w:color="A6A6A6"/>
              <w:bottom w:val="single" w:sz="8" w:space="0" w:color="A6A6A6"/>
              <w:right w:val="single" w:sz="8" w:space="0" w:color="A6A6A6"/>
            </w:tcBorders>
            <w:shd w:val="clear" w:color="auto" w:fill="auto"/>
            <w:noWrap/>
            <w:vAlign w:val="center"/>
          </w:tcPr>
          <w:p w14:paraId="77AE9307" w14:textId="77777777" w:rsidR="003E7651" w:rsidRPr="004B3CF1" w:rsidRDefault="003E7651" w:rsidP="003E7651">
            <w:pPr>
              <w:rPr>
                <w:rFonts w:ascii="Arial" w:hAnsi="Arial" w:cs="Arial"/>
                <w:color w:val="000000"/>
                <w:sz w:val="22"/>
              </w:rPr>
            </w:pPr>
            <w:r w:rsidRPr="004B3CF1">
              <w:rPr>
                <w:rFonts w:ascii="Arial" w:hAnsi="Arial"/>
                <w:color w:val="000000"/>
                <w:sz w:val="22"/>
              </w:rPr>
              <w:t>Special Department of the RS Public Prosecutor's Office</w:t>
            </w:r>
          </w:p>
        </w:tc>
        <w:tc>
          <w:tcPr>
            <w:tcW w:w="1275" w:type="dxa"/>
            <w:tcBorders>
              <w:top w:val="nil"/>
              <w:left w:val="nil"/>
              <w:bottom w:val="single" w:sz="8" w:space="0" w:color="A6A6A6"/>
              <w:right w:val="single" w:sz="8" w:space="0" w:color="A6A6A6"/>
            </w:tcBorders>
            <w:shd w:val="clear" w:color="auto" w:fill="auto"/>
            <w:noWrap/>
            <w:vAlign w:val="center"/>
          </w:tcPr>
          <w:p w14:paraId="7F4B644E"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87%</w:t>
            </w:r>
          </w:p>
        </w:tc>
        <w:tc>
          <w:tcPr>
            <w:tcW w:w="1985" w:type="dxa"/>
            <w:tcBorders>
              <w:top w:val="nil"/>
              <w:left w:val="nil"/>
              <w:bottom w:val="single" w:sz="8" w:space="0" w:color="A6A6A6"/>
              <w:right w:val="single" w:sz="8" w:space="0" w:color="A6A6A6"/>
            </w:tcBorders>
            <w:shd w:val="clear" w:color="auto" w:fill="auto"/>
            <w:noWrap/>
            <w:vAlign w:val="center"/>
          </w:tcPr>
          <w:p w14:paraId="0A5412C7"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100%</w:t>
            </w:r>
          </w:p>
        </w:tc>
        <w:tc>
          <w:tcPr>
            <w:tcW w:w="2268" w:type="dxa"/>
            <w:tcBorders>
              <w:top w:val="nil"/>
              <w:left w:val="nil"/>
              <w:bottom w:val="single" w:sz="8" w:space="0" w:color="A6A6A6"/>
              <w:right w:val="single" w:sz="8" w:space="0" w:color="A6A6A6"/>
            </w:tcBorders>
            <w:shd w:val="clear" w:color="auto" w:fill="auto"/>
            <w:noWrap/>
            <w:vAlign w:val="center"/>
          </w:tcPr>
          <w:p w14:paraId="56611B4E"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111%</w:t>
            </w:r>
          </w:p>
        </w:tc>
      </w:tr>
      <w:tr w:rsidR="003E7651" w:rsidRPr="004B3CF1" w14:paraId="2FF23A46" w14:textId="77777777" w:rsidTr="003E7651">
        <w:trPr>
          <w:trHeight w:val="315"/>
        </w:trPr>
        <w:tc>
          <w:tcPr>
            <w:tcW w:w="3261" w:type="dxa"/>
            <w:tcBorders>
              <w:top w:val="nil"/>
              <w:left w:val="single" w:sz="8" w:space="0" w:color="A6A6A6"/>
              <w:bottom w:val="single" w:sz="8" w:space="0" w:color="A6A6A6"/>
              <w:right w:val="single" w:sz="8" w:space="0" w:color="A6A6A6"/>
            </w:tcBorders>
            <w:shd w:val="clear" w:color="auto" w:fill="auto"/>
            <w:noWrap/>
            <w:vAlign w:val="center"/>
            <w:hideMark/>
          </w:tcPr>
          <w:p w14:paraId="440512B6" w14:textId="77777777" w:rsidR="003E7651" w:rsidRPr="004B3CF1" w:rsidRDefault="003E7651" w:rsidP="003E7651">
            <w:pPr>
              <w:rPr>
                <w:rFonts w:ascii="Arial" w:hAnsi="Arial" w:cs="Arial"/>
                <w:color w:val="000000"/>
                <w:sz w:val="22"/>
              </w:rPr>
            </w:pPr>
            <w:r w:rsidRPr="004B3CF1">
              <w:rPr>
                <w:rFonts w:ascii="Arial" w:hAnsi="Arial"/>
                <w:color w:val="000000"/>
                <w:sz w:val="22"/>
              </w:rPr>
              <w:t>The Prosecutors Office of the Brcko District BiH</w:t>
            </w:r>
          </w:p>
        </w:tc>
        <w:tc>
          <w:tcPr>
            <w:tcW w:w="1275" w:type="dxa"/>
            <w:tcBorders>
              <w:top w:val="nil"/>
              <w:left w:val="nil"/>
              <w:bottom w:val="single" w:sz="8" w:space="0" w:color="A6A6A6"/>
              <w:right w:val="single" w:sz="8" w:space="0" w:color="A6A6A6"/>
            </w:tcBorders>
            <w:shd w:val="clear" w:color="auto" w:fill="auto"/>
            <w:noWrap/>
            <w:vAlign w:val="center"/>
            <w:hideMark/>
          </w:tcPr>
          <w:p w14:paraId="11ABB1AD"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95%</w:t>
            </w:r>
          </w:p>
        </w:tc>
        <w:tc>
          <w:tcPr>
            <w:tcW w:w="1985" w:type="dxa"/>
            <w:tcBorders>
              <w:top w:val="nil"/>
              <w:left w:val="nil"/>
              <w:bottom w:val="single" w:sz="8" w:space="0" w:color="A6A6A6"/>
              <w:right w:val="single" w:sz="8" w:space="0" w:color="A6A6A6"/>
            </w:tcBorders>
            <w:shd w:val="clear" w:color="auto" w:fill="auto"/>
            <w:noWrap/>
            <w:vAlign w:val="center"/>
            <w:hideMark/>
          </w:tcPr>
          <w:p w14:paraId="02CC005C"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100%</w:t>
            </w:r>
          </w:p>
        </w:tc>
        <w:tc>
          <w:tcPr>
            <w:tcW w:w="2268" w:type="dxa"/>
            <w:tcBorders>
              <w:top w:val="nil"/>
              <w:left w:val="nil"/>
              <w:bottom w:val="single" w:sz="8" w:space="0" w:color="A6A6A6"/>
              <w:right w:val="single" w:sz="8" w:space="0" w:color="A6A6A6"/>
            </w:tcBorders>
            <w:shd w:val="clear" w:color="auto" w:fill="auto"/>
            <w:noWrap/>
            <w:vAlign w:val="center"/>
            <w:hideMark/>
          </w:tcPr>
          <w:p w14:paraId="673679F9" w14:textId="77777777" w:rsidR="003E7651" w:rsidRPr="004B3CF1" w:rsidRDefault="003E7651" w:rsidP="003E7651">
            <w:pPr>
              <w:jc w:val="center"/>
              <w:rPr>
                <w:rFonts w:ascii="Arial" w:hAnsi="Arial" w:cs="Arial"/>
                <w:color w:val="000000"/>
                <w:sz w:val="22"/>
              </w:rPr>
            </w:pPr>
            <w:r w:rsidRPr="004B3CF1">
              <w:rPr>
                <w:rFonts w:ascii="Arial" w:hAnsi="Arial"/>
                <w:color w:val="000000"/>
                <w:sz w:val="22"/>
              </w:rPr>
              <w:t>75%</w:t>
            </w:r>
          </w:p>
        </w:tc>
      </w:tr>
    </w:tbl>
    <w:p w14:paraId="3D6A0AC6" w14:textId="6E7D07AE" w:rsidR="00572B46" w:rsidRPr="009C4B33" w:rsidRDefault="00572B46" w:rsidP="008D0A7D"/>
    <w:sectPr w:rsidR="00572B46" w:rsidRPr="009C4B33" w:rsidSect="00C14585">
      <w:headerReference w:type="even" r:id="rId66"/>
      <w:headerReference w:type="default" r:id="rId67"/>
      <w:footerReference w:type="even" r:id="rId68"/>
      <w:footerReference w:type="default" r:id="rId69"/>
      <w:type w:val="continuous"/>
      <w:pgSz w:w="11906" w:h="16838" w:code="9"/>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C5CD8" w16cex:dateUtc="2022-04-21T20:44:00Z"/>
  <w16cex:commentExtensible w16cex:durableId="260B0893" w16cex:dateUtc="2022-04-20T20:32:00Z"/>
  <w16cex:commentExtensible w16cex:durableId="260B1BE7" w16cex:dateUtc="2022-04-20T21:55:00Z"/>
  <w16cex:commentExtensible w16cex:durableId="260AFC32" w16cex:dateUtc="2022-04-20T19:40:00Z"/>
  <w16cex:commentExtensible w16cex:durableId="260C5C9D" w16cex:dateUtc="2022-04-21T2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8EDF79" w16cid:durableId="260C5CD8"/>
  <w16cid:commentId w16cid:paraId="2B790CC6" w16cid:durableId="260B0893"/>
  <w16cid:commentId w16cid:paraId="48F9158E" w16cid:durableId="260B1BE7"/>
  <w16cid:commentId w16cid:paraId="009A08C8" w16cid:durableId="260AFC32"/>
  <w16cid:commentId w16cid:paraId="058892CD" w16cid:durableId="260C5C9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CFB15" w14:textId="77777777" w:rsidR="00FF3333" w:rsidRDefault="00FF3333">
      <w:r>
        <w:separator/>
      </w:r>
    </w:p>
  </w:endnote>
  <w:endnote w:type="continuationSeparator" w:id="0">
    <w:p w14:paraId="4B13D73D" w14:textId="77777777" w:rsidR="00FF3333" w:rsidRDefault="00FF3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no Pro">
    <w:panose1 w:val="00000000000000000000"/>
    <w:charset w:val="00"/>
    <w:family w:val="roman"/>
    <w:notTrueType/>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San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ller-Regula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D402B" w14:textId="7FA8C2A9" w:rsidR="00FF1A52" w:rsidRPr="004D77E4" w:rsidRDefault="00FF1A52" w:rsidP="004D77E4">
    <w:pPr>
      <w:pStyle w:val="Footer"/>
      <w:rPr>
        <w:rFonts w:cs="Arial"/>
        <w:sz w:val="18"/>
        <w:szCs w:val="18"/>
      </w:rPr>
    </w:pPr>
    <w:r w:rsidRPr="00820452">
      <w:rPr>
        <w:rStyle w:val="PageNumber"/>
        <w:rFonts w:cs="Arial"/>
        <w:sz w:val="18"/>
        <w:szCs w:val="18"/>
      </w:rPr>
      <w:fldChar w:fldCharType="begin"/>
    </w:r>
    <w:r w:rsidRPr="00820452">
      <w:rPr>
        <w:rStyle w:val="PageNumber"/>
        <w:rFonts w:cs="Arial"/>
        <w:sz w:val="18"/>
        <w:szCs w:val="18"/>
      </w:rPr>
      <w:instrText xml:space="preserve"> PAGE </w:instrText>
    </w:r>
    <w:r w:rsidRPr="00820452">
      <w:rPr>
        <w:rStyle w:val="PageNumber"/>
        <w:rFonts w:cs="Arial"/>
        <w:sz w:val="18"/>
        <w:szCs w:val="18"/>
      </w:rPr>
      <w:fldChar w:fldCharType="separate"/>
    </w:r>
    <w:r w:rsidR="006D1459">
      <w:rPr>
        <w:rStyle w:val="PageNumber"/>
        <w:rFonts w:cs="Arial"/>
        <w:noProof/>
        <w:sz w:val="18"/>
        <w:szCs w:val="18"/>
      </w:rPr>
      <w:t>20</w:t>
    </w:r>
    <w:r w:rsidRPr="00820452">
      <w:rPr>
        <w:rStyle w:val="PageNumber"/>
        <w:rFonts w:cs="Arial"/>
        <w:sz w:val="18"/>
        <w:szCs w:val="18"/>
      </w:rPr>
      <w:fldChar w:fldCharType="end"/>
    </w:r>
    <w:r>
      <w:rPr>
        <w:rStyle w:val="PageNumber"/>
        <w:sz w:val="18"/>
        <w:szCs w:val="18"/>
      </w:rPr>
      <w:t xml:space="preserve"> page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003DA" w14:textId="72AED974" w:rsidR="00FF1A52" w:rsidRPr="00F10E19" w:rsidRDefault="00FF1A52" w:rsidP="00F10E19">
    <w:pPr>
      <w:pStyle w:val="Footer"/>
      <w:jc w:val="right"/>
      <w:rPr>
        <w:rFonts w:cs="Arial"/>
        <w:sz w:val="18"/>
        <w:szCs w:val="18"/>
      </w:rPr>
    </w:pPr>
    <w:r w:rsidRPr="00820452">
      <w:rPr>
        <w:rStyle w:val="PageNumber"/>
        <w:rFonts w:cs="Arial"/>
        <w:sz w:val="18"/>
        <w:szCs w:val="18"/>
      </w:rPr>
      <w:fldChar w:fldCharType="begin"/>
    </w:r>
    <w:r w:rsidRPr="00820452">
      <w:rPr>
        <w:rStyle w:val="PageNumber"/>
        <w:rFonts w:cs="Arial"/>
        <w:sz w:val="18"/>
        <w:szCs w:val="18"/>
      </w:rPr>
      <w:instrText xml:space="preserve"> PAGE </w:instrText>
    </w:r>
    <w:r w:rsidRPr="00820452">
      <w:rPr>
        <w:rStyle w:val="PageNumber"/>
        <w:rFonts w:cs="Arial"/>
        <w:sz w:val="18"/>
        <w:szCs w:val="18"/>
      </w:rPr>
      <w:fldChar w:fldCharType="separate"/>
    </w:r>
    <w:r w:rsidR="006D1459">
      <w:rPr>
        <w:rStyle w:val="PageNumber"/>
        <w:rFonts w:cs="Arial"/>
        <w:noProof/>
        <w:sz w:val="18"/>
        <w:szCs w:val="18"/>
      </w:rPr>
      <w:t>19</w:t>
    </w:r>
    <w:r w:rsidRPr="00820452">
      <w:rPr>
        <w:rStyle w:val="PageNumber"/>
        <w:rFonts w:cs="Arial"/>
        <w:sz w:val="18"/>
        <w:szCs w:val="18"/>
      </w:rPr>
      <w:fldChar w:fldCharType="end"/>
    </w:r>
    <w:r>
      <w:rPr>
        <w:rStyle w:val="PageNumber"/>
        <w:sz w:val="18"/>
        <w:szCs w:val="18"/>
      </w:rPr>
      <w:t xml:space="preserve"> page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AB313" w14:textId="2519F23F" w:rsidR="00FF1A52" w:rsidRPr="004D77E4" w:rsidRDefault="00FF1A52" w:rsidP="004D77E4">
    <w:pPr>
      <w:pStyle w:val="Footer"/>
      <w:rPr>
        <w:rFonts w:cs="Arial"/>
        <w:sz w:val="18"/>
        <w:szCs w:val="18"/>
      </w:rPr>
    </w:pPr>
    <w:r w:rsidRPr="00820452">
      <w:rPr>
        <w:rStyle w:val="PageNumber"/>
        <w:rFonts w:cs="Arial"/>
        <w:sz w:val="18"/>
        <w:szCs w:val="18"/>
      </w:rPr>
      <w:fldChar w:fldCharType="begin"/>
    </w:r>
    <w:r w:rsidRPr="00820452">
      <w:rPr>
        <w:rStyle w:val="PageNumber"/>
        <w:rFonts w:cs="Arial"/>
        <w:sz w:val="18"/>
        <w:szCs w:val="18"/>
      </w:rPr>
      <w:instrText xml:space="preserve"> PAGE </w:instrText>
    </w:r>
    <w:r w:rsidRPr="00820452">
      <w:rPr>
        <w:rStyle w:val="PageNumber"/>
        <w:rFonts w:cs="Arial"/>
        <w:sz w:val="18"/>
        <w:szCs w:val="18"/>
      </w:rPr>
      <w:fldChar w:fldCharType="separate"/>
    </w:r>
    <w:r w:rsidR="006D1459">
      <w:rPr>
        <w:rStyle w:val="PageNumber"/>
        <w:rFonts w:cs="Arial"/>
        <w:noProof/>
        <w:sz w:val="18"/>
        <w:szCs w:val="18"/>
      </w:rPr>
      <w:t>54</w:t>
    </w:r>
    <w:r w:rsidRPr="00820452">
      <w:rPr>
        <w:rStyle w:val="PageNumber"/>
        <w:rFonts w:cs="Arial"/>
        <w:sz w:val="18"/>
        <w:szCs w:val="18"/>
      </w:rPr>
      <w:fldChar w:fldCharType="end"/>
    </w:r>
    <w:r>
      <w:rPr>
        <w:rStyle w:val="PageNumber"/>
        <w:sz w:val="18"/>
        <w:szCs w:val="18"/>
      </w:rPr>
      <w:t xml:space="preserve"> page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2D6D3" w14:textId="3FD09F2A" w:rsidR="00FF1A52" w:rsidRPr="00F10E19" w:rsidRDefault="00FF1A52" w:rsidP="00F10E19">
    <w:pPr>
      <w:pStyle w:val="Footer"/>
      <w:jc w:val="right"/>
      <w:rPr>
        <w:rFonts w:cs="Arial"/>
        <w:sz w:val="18"/>
        <w:szCs w:val="18"/>
      </w:rPr>
    </w:pPr>
    <w:r w:rsidRPr="00820452">
      <w:rPr>
        <w:rStyle w:val="PageNumber"/>
        <w:rFonts w:cs="Arial"/>
        <w:sz w:val="18"/>
        <w:szCs w:val="18"/>
      </w:rPr>
      <w:fldChar w:fldCharType="begin"/>
    </w:r>
    <w:r w:rsidRPr="00820452">
      <w:rPr>
        <w:rStyle w:val="PageNumber"/>
        <w:rFonts w:cs="Arial"/>
        <w:sz w:val="18"/>
        <w:szCs w:val="18"/>
      </w:rPr>
      <w:instrText xml:space="preserve"> PAGE </w:instrText>
    </w:r>
    <w:r w:rsidRPr="00820452">
      <w:rPr>
        <w:rStyle w:val="PageNumber"/>
        <w:rFonts w:cs="Arial"/>
        <w:sz w:val="18"/>
        <w:szCs w:val="18"/>
      </w:rPr>
      <w:fldChar w:fldCharType="separate"/>
    </w:r>
    <w:r w:rsidR="006D1459">
      <w:rPr>
        <w:rStyle w:val="PageNumber"/>
        <w:rFonts w:cs="Arial"/>
        <w:noProof/>
        <w:sz w:val="18"/>
        <w:szCs w:val="18"/>
      </w:rPr>
      <w:t>53</w:t>
    </w:r>
    <w:r w:rsidRPr="00820452">
      <w:rPr>
        <w:rStyle w:val="PageNumber"/>
        <w:rFonts w:cs="Arial"/>
        <w:sz w:val="18"/>
        <w:szCs w:val="18"/>
      </w:rPr>
      <w:fldChar w:fldCharType="end"/>
    </w:r>
    <w:r>
      <w:rPr>
        <w:rStyle w:val="PageNumber"/>
        <w:sz w:val="18"/>
        <w:szCs w:val="18"/>
      </w:rPr>
      <w:t xml:space="preserve"> page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6CDD7" w14:textId="77777777" w:rsidR="00FF3333" w:rsidRDefault="00FF3333">
      <w:r>
        <w:separator/>
      </w:r>
    </w:p>
  </w:footnote>
  <w:footnote w:type="continuationSeparator" w:id="0">
    <w:p w14:paraId="68D7FD97" w14:textId="77777777" w:rsidR="00FF3333" w:rsidRDefault="00FF3333">
      <w:r>
        <w:continuationSeparator/>
      </w:r>
    </w:p>
  </w:footnote>
  <w:footnote w:id="1">
    <w:p w14:paraId="2494F112" w14:textId="77777777" w:rsidR="00FF1A52" w:rsidRPr="00BC65E2" w:rsidRDefault="00FF1A52" w:rsidP="00C01F2A">
      <w:pPr>
        <w:pStyle w:val="Footnotetekst"/>
      </w:pPr>
      <w:r>
        <w:rPr>
          <w:rStyle w:val="FootnoteReference"/>
          <w:vertAlign w:val="baseline"/>
        </w:rPr>
        <w:footnoteRef/>
      </w:r>
      <w:r>
        <w:t xml:space="preserve"> Official Gazette of BiH, no 46/20</w:t>
      </w:r>
    </w:p>
  </w:footnote>
  <w:footnote w:id="2">
    <w:p w14:paraId="00F112A4" w14:textId="27C388EF" w:rsidR="00FF1A52" w:rsidRPr="00BC65E2" w:rsidRDefault="00FF1A52" w:rsidP="00C01F2A">
      <w:pPr>
        <w:pStyle w:val="Footnotetekst"/>
      </w:pPr>
      <w:r>
        <w:rPr>
          <w:rStyle w:val="FootnoteReference"/>
          <w:vertAlign w:val="baseline"/>
        </w:rPr>
        <w:footnoteRef/>
      </w:r>
      <w:r>
        <w:t xml:space="preserve"> Official Gazette of BiH, no. 25/04, 93/05, 48/07 &amp; 15/08</w:t>
      </w:r>
    </w:p>
  </w:footnote>
  <w:footnote w:id="3">
    <w:p w14:paraId="3B64BB8D" w14:textId="77777777" w:rsidR="00FF1A52" w:rsidRDefault="00FF1A52" w:rsidP="00706CE6">
      <w:pPr>
        <w:pStyle w:val="Footnotetekst"/>
      </w:pPr>
      <w:r>
        <w:rPr>
          <w:rStyle w:val="FootnoteReference"/>
        </w:rPr>
        <w:footnoteRef/>
      </w:r>
      <w:r>
        <w:t xml:space="preserve"> Published in the Official Gazette of BiH, no. 12/21</w:t>
      </w:r>
    </w:p>
  </w:footnote>
  <w:footnote w:id="4">
    <w:p w14:paraId="227BDCE1" w14:textId="77777777" w:rsidR="00FF1A52" w:rsidRPr="00F4297A" w:rsidRDefault="00FF1A52" w:rsidP="00706CE6">
      <w:pPr>
        <w:pStyle w:val="Footnotetekst"/>
      </w:pPr>
      <w:r>
        <w:rPr>
          <w:rStyle w:val="FootnoteReference"/>
        </w:rPr>
        <w:footnoteRef/>
      </w:r>
      <w:r>
        <w:t xml:space="preserve"> Published in the Official Gazette of BiH, no. 12/21 &amp; 64/21</w:t>
      </w:r>
    </w:p>
  </w:footnote>
  <w:footnote w:id="5">
    <w:p w14:paraId="04D55BB7" w14:textId="77777777" w:rsidR="00FF1A52" w:rsidRPr="00912BAB" w:rsidRDefault="00FF1A52" w:rsidP="00912BAB">
      <w:pPr>
        <w:pStyle w:val="Footnotetekst"/>
      </w:pPr>
      <w:r>
        <w:rPr>
          <w:rStyle w:val="FootnoteReference"/>
        </w:rPr>
        <w:footnoteRef/>
      </w:r>
      <w:r>
        <w:t xml:space="preserve"> (JHA IND/EXP 62880</w:t>
      </w:r>
      <w:bookmarkStart w:id="26" w:name="_Hlk61204076"/>
      <w:r>
        <w:t>, 12-16. September 2016</w:t>
      </w:r>
      <w:bookmarkEnd w:id="26"/>
      <w:r>
        <w:t>, Maria Giuliana Civinini);</w:t>
      </w:r>
    </w:p>
  </w:footnote>
  <w:footnote w:id="6">
    <w:p w14:paraId="35E90958" w14:textId="77777777" w:rsidR="00FF1A52" w:rsidRPr="007751DB" w:rsidRDefault="00FF1A52" w:rsidP="007D2964">
      <w:pPr>
        <w:pStyle w:val="Footnotetekst"/>
        <w:rPr>
          <w:rFonts w:cs="Arial"/>
        </w:rPr>
      </w:pPr>
      <w:r>
        <w:rPr>
          <w:rStyle w:val="FootnoteReference"/>
        </w:rPr>
        <w:footnoteRef/>
      </w:r>
      <w:r>
        <w:t xml:space="preserve"> On 9 November 2021 the Curriculum was presented to the HJPC BiH Standing Committee for Education and Court Documentation, representatives of the steering boards of the entity judicial and prosecutorial training centres and Judicial Commission of Brcko District BiH</w:t>
      </w:r>
    </w:p>
  </w:footnote>
  <w:footnote w:id="7">
    <w:p w14:paraId="48183901" w14:textId="77777777" w:rsidR="00FF1A52" w:rsidRPr="00843F69" w:rsidRDefault="00FF1A52" w:rsidP="007D2964">
      <w:pPr>
        <w:pStyle w:val="Footnotetekst"/>
        <w:rPr>
          <w:rFonts w:cs="Arial"/>
          <w:sz w:val="20"/>
        </w:rPr>
      </w:pPr>
      <w:r>
        <w:rPr>
          <w:rStyle w:val="FootnoteReference"/>
          <w:rFonts w:cs="Arial"/>
        </w:rPr>
        <w:footnoteRef/>
      </w:r>
      <w:r>
        <w:t xml:space="preserve"> The new Book of Rules on the procedure for designation and modus operandi of consultative prosecutors with the newly appointed and other prosecutors is published in the </w:t>
      </w:r>
      <w:r>
        <w:rPr>
          <w:i/>
          <w:iCs/>
        </w:rPr>
        <w:t>Official Gazette of BiH</w:t>
      </w:r>
      <w:r>
        <w:t xml:space="preserve"> (no: 30/21). </w:t>
      </w:r>
    </w:p>
  </w:footnote>
  <w:footnote w:id="8">
    <w:p w14:paraId="644FB281" w14:textId="77777777" w:rsidR="00FF1A52" w:rsidRPr="00BB58B2" w:rsidRDefault="00FF1A52" w:rsidP="003E7651">
      <w:pPr>
        <w:pStyle w:val="Footnotetekst"/>
        <w:ind w:left="142" w:hanging="142"/>
      </w:pPr>
      <w:r>
        <w:rPr>
          <w:rStyle w:val="FootnoteReference"/>
        </w:rPr>
        <w:footnoteRef/>
      </w:r>
      <w:r>
        <w:t xml:space="preserve"> The laws on entity training centres prescribe in Article 8 the consultations between the HJPC BiH and steering boards for the purpose of selecting the best candidate for the post of the manager of these public institutions. </w:t>
      </w:r>
    </w:p>
  </w:footnote>
  <w:footnote w:id="9">
    <w:p w14:paraId="607FE237" w14:textId="77777777" w:rsidR="00FF1A52" w:rsidRPr="000027AA" w:rsidRDefault="00FF1A52" w:rsidP="003E7651">
      <w:pPr>
        <w:pStyle w:val="Footnotetekst"/>
      </w:pPr>
      <w:r>
        <w:rPr>
          <w:rStyle w:val="FootnoteReference"/>
        </w:rPr>
        <w:footnoteRef/>
      </w:r>
      <w:r>
        <w:t xml:space="preserve"> In 2022, the HJPC BiH will organise advanced training on the topic of:  </w:t>
      </w:r>
      <w:r>
        <w:rPr>
          <w:i/>
          <w:iCs/>
        </w:rPr>
        <w:t>Disciplinary Procedure and Practice</w:t>
      </w:r>
    </w:p>
  </w:footnote>
  <w:footnote w:id="10">
    <w:p w14:paraId="251652A4" w14:textId="77777777" w:rsidR="00FF1A52" w:rsidRPr="00492C76" w:rsidRDefault="00FF1A52" w:rsidP="003E7651">
      <w:pPr>
        <w:pStyle w:val="Footnotetekst"/>
        <w:tabs>
          <w:tab w:val="left" w:pos="284"/>
        </w:tabs>
      </w:pPr>
      <w:r>
        <w:rPr>
          <w:rStyle w:val="FootnoteReference"/>
        </w:rPr>
        <w:footnoteRef/>
      </w:r>
      <w:r>
        <w:t xml:space="preserve"> Within the IPA 2019, under the auspices of the EU,  meetings of the representatives of highest instance courts in Bosnia and Herzegovina and the HJPC BIH will be held to find the best solutions to formalise and improve the work of panels, as well as the panel meetings about the identified topics.  </w:t>
      </w:r>
    </w:p>
  </w:footnote>
  <w:footnote w:id="11">
    <w:p w14:paraId="646D1E50" w14:textId="77777777" w:rsidR="00FF1A52" w:rsidRPr="00492C76" w:rsidRDefault="00FF1A52" w:rsidP="003E7651">
      <w:pPr>
        <w:pStyle w:val="Footnotetekst"/>
        <w:tabs>
          <w:tab w:val="left" w:pos="284"/>
        </w:tabs>
      </w:pPr>
      <w:r>
        <w:rPr>
          <w:rStyle w:val="FootnoteReference"/>
        </w:rPr>
        <w:footnoteRef/>
      </w:r>
      <w:r>
        <w:t xml:space="preserve"> The initiative for standardisation will be the subject of further consideration at the beginning of 2022, when the relevant HJPC BiH are expected to be passed. </w:t>
      </w:r>
    </w:p>
  </w:footnote>
  <w:footnote w:id="12">
    <w:p w14:paraId="4930E0DE" w14:textId="77777777" w:rsidR="00FF1A52" w:rsidRPr="00843F69" w:rsidRDefault="00FF1A52" w:rsidP="003E7651">
      <w:pPr>
        <w:pStyle w:val="Footnotetekst"/>
        <w:tabs>
          <w:tab w:val="left" w:pos="142"/>
        </w:tabs>
      </w:pPr>
      <w:r>
        <w:rPr>
          <w:rStyle w:val="FootnoteReference"/>
        </w:rPr>
        <w:footnoteRef/>
      </w:r>
      <w:r>
        <w:t xml:space="preserve"> The database of court positions was officially presented in November 2021 in Mostar, in the Fifth Annual Conference of the highest instance courts in BiH, when it was announced that it would be open for the public on 1 February 2022.  </w:t>
      </w:r>
    </w:p>
  </w:footnote>
  <w:footnote w:id="13">
    <w:p w14:paraId="732F7D83" w14:textId="77777777" w:rsidR="00FF1A52" w:rsidRPr="00843F69" w:rsidRDefault="00FF1A52" w:rsidP="003E7651">
      <w:pPr>
        <w:pStyle w:val="Footnotetekst"/>
      </w:pPr>
      <w:r>
        <w:rPr>
          <w:rStyle w:val="FootnoteReference"/>
        </w:rPr>
        <w:footnoteRef/>
      </w:r>
      <w:r>
        <w:t xml:space="preserve"> With appropriate address, the HJPC BiH representatives participated in the official promotion of the database, that was held in the Culture House in Travnik with the participation of the Ambassador of Japan in Bosnia and Herzegovina, as well as representatives of the residual mechanism for international crime courts and other partners on the project.  </w:t>
      </w:r>
    </w:p>
  </w:footnote>
  <w:footnote w:id="14">
    <w:p w14:paraId="7FEEF4C2" w14:textId="77777777" w:rsidR="00FF1A52" w:rsidRPr="008F5A39" w:rsidRDefault="00FF1A52" w:rsidP="003E7651">
      <w:pPr>
        <w:pStyle w:val="Footnotetekst"/>
      </w:pPr>
      <w:r>
        <w:rPr>
          <w:rStyle w:val="FootnoteReference"/>
        </w:rPr>
        <w:footnoteRef/>
      </w:r>
      <w:r>
        <w:t xml:space="preserve"> The decision of the Council of Ministers of Bosnia and Herzegovina of 29 January 2021 abolished the annual access fee. </w:t>
      </w:r>
    </w:p>
  </w:footnote>
  <w:footnote w:id="15">
    <w:p w14:paraId="0D30C585" w14:textId="77777777" w:rsidR="00FF1A52" w:rsidRPr="00CC23FB" w:rsidRDefault="00FF1A52" w:rsidP="003E7651">
      <w:pPr>
        <w:pStyle w:val="Footnotetekst"/>
      </w:pPr>
      <w:r>
        <w:rPr>
          <w:rStyle w:val="FootnoteReference"/>
        </w:rPr>
        <w:footnoteRef/>
      </w:r>
      <w:r>
        <w:t xml:space="preserve"> The HJPC BiH Instruction for the Anonymisation of Court Decisions published in the </w:t>
      </w:r>
      <w:r>
        <w:rPr>
          <w:i/>
          <w:iCs/>
        </w:rPr>
        <w:t>Official Gazette of BiH</w:t>
      </w:r>
      <w:r>
        <w:t xml:space="preserve"> (no: 30/21 of 21 May 2021)  </w:t>
      </w:r>
    </w:p>
  </w:footnote>
  <w:footnote w:id="16">
    <w:p w14:paraId="2316295A" w14:textId="77777777" w:rsidR="00FF1A52" w:rsidRPr="00843F69" w:rsidRDefault="00FF1A52" w:rsidP="003E7651">
      <w:pPr>
        <w:pStyle w:val="Footnotetekst"/>
      </w:pPr>
      <w:r>
        <w:rPr>
          <w:rStyle w:val="FootnoteReference"/>
          <w:lang w:val="bs-Latn-BA"/>
        </w:rPr>
        <w:footnoteRef/>
      </w:r>
      <w:r>
        <w:t xml:space="preserve"> The decisions in the database can be searched by the court name, number and date of the decision, the applied legal regulation and concept and by the decision text. </w:t>
      </w:r>
    </w:p>
  </w:footnote>
  <w:footnote w:id="17">
    <w:p w14:paraId="243D37B7" w14:textId="77777777" w:rsidR="00FF1A52" w:rsidRPr="00F26B44" w:rsidRDefault="00FF1A52" w:rsidP="003E7651">
      <w:pPr>
        <w:pStyle w:val="Footnotetekst"/>
      </w:pPr>
      <w:r>
        <w:rPr>
          <w:rStyle w:val="FootnoteReference"/>
        </w:rPr>
        <w:footnoteRef/>
      </w:r>
      <w:r>
        <w:t xml:space="preserve"> Final decisions in cases of war crimes, organised crime and corruption, human trafficking, discrimination, hate crime, terrorism and similar. </w:t>
      </w:r>
    </w:p>
  </w:footnote>
  <w:footnote w:id="18">
    <w:p w14:paraId="5B8F2F09" w14:textId="77777777" w:rsidR="00FF1A52" w:rsidRPr="00476716" w:rsidRDefault="00FF1A52" w:rsidP="003E7651">
      <w:pPr>
        <w:pStyle w:val="Footnotetekst"/>
      </w:pPr>
      <w:r>
        <w:rPr>
          <w:rStyle w:val="FootnoteReference"/>
        </w:rPr>
        <w:footnoteRef/>
      </w:r>
      <w:r>
        <w:t xml:space="preserve"> The HJPC BiH took over the War Crimes Map from the OSCE Mission to Bosnia and Herzegovina in December 2019.   </w:t>
      </w:r>
    </w:p>
  </w:footnote>
  <w:footnote w:id="19">
    <w:p w14:paraId="1F0C5805" w14:textId="77777777" w:rsidR="00FF1A52" w:rsidRPr="00932201" w:rsidRDefault="00FF1A52" w:rsidP="003E7651">
      <w:pPr>
        <w:pStyle w:val="Footnotetekst"/>
      </w:pPr>
      <w:r>
        <w:rPr>
          <w:rStyle w:val="FootnoteReference"/>
        </w:rPr>
        <w:footnoteRef/>
      </w:r>
      <w:r>
        <w:t xml:space="preserve"> The information about the relevant article of the Convention, date and number of case in the ECtHR, the panel composition, development of case law, established violation and similar. </w:t>
      </w:r>
    </w:p>
  </w:footnote>
  <w:footnote w:id="20">
    <w:p w14:paraId="379972F0" w14:textId="77777777" w:rsidR="00FF1A52" w:rsidRPr="00084CA2" w:rsidRDefault="00FF1A52" w:rsidP="003E7651">
      <w:pPr>
        <w:pStyle w:val="Footnotetekst"/>
      </w:pPr>
      <w:r>
        <w:rPr>
          <w:rStyle w:val="FootnoteReference"/>
        </w:rPr>
        <w:footnoteRef/>
      </w:r>
      <w:r>
        <w:t xml:space="preserve"> In the upcoming period the translations will be published on the web-site </w:t>
      </w:r>
      <w:hyperlink r:id="rId1" w:history="1">
        <w:r>
          <w:rPr>
            <w:rStyle w:val="Hyperlink"/>
          </w:rPr>
          <w:t>www.pravosudje.ba/csd</w:t>
        </w:r>
      </w:hyperlink>
      <w:r>
        <w:t xml:space="preserve"> and delivered to the European Court for Human Rights to fill up the database of official translations of that court’s decisions. </w:t>
      </w:r>
    </w:p>
  </w:footnote>
  <w:footnote w:id="21">
    <w:p w14:paraId="28359C7C" w14:textId="77777777" w:rsidR="00FF1A52" w:rsidRPr="00287C84" w:rsidRDefault="00FF1A52" w:rsidP="003E7651">
      <w:pPr>
        <w:pStyle w:val="Footnotetekst"/>
      </w:pPr>
      <w:r>
        <w:rPr>
          <w:rStyle w:val="FootnoteReference"/>
          <w:rFonts w:cs="Arial"/>
          <w:noProof/>
          <w:lang w:val="sr-Latn-CS"/>
        </w:rPr>
        <w:footnoteRef/>
      </w:r>
      <w:r>
        <w:t xml:space="preserve"> Also, the data in this section of the report do not include data on the following cases: court administration, registration of business entities, preparation phase in administrative disputes, enforcement of minor offence sanctions, expunging of sanctions and safeguard measures in various criminal cases, detention and the arrest in minor offence cases, as well as data on minor offence cases involving substitution of unpaid fines with imprisonment. </w:t>
      </w:r>
    </w:p>
  </w:footnote>
  <w:footnote w:id="22">
    <w:p w14:paraId="2BC0FD84" w14:textId="77777777" w:rsidR="00FF1A52" w:rsidRPr="00782221" w:rsidRDefault="00FF1A52" w:rsidP="003E7651">
      <w:pPr>
        <w:pStyle w:val="Footnotetekst"/>
        <w:rPr>
          <w:noProof/>
        </w:rPr>
      </w:pPr>
      <w:r>
        <w:rPr>
          <w:rStyle w:val="FootnoteReference"/>
          <w:rFonts w:cs="Arial"/>
          <w:noProof/>
          <w:lang w:val="sr-Latn-CS"/>
        </w:rPr>
        <w:footnoteRef/>
      </w:r>
      <w:r>
        <w:t xml:space="preserve"> Change in the number of pending cases can be caused either by change in influx or by change in the number of cases completed by the courts or by combination of these two factors. For example, a 10% increase in influx may result in a 10% increase in backlog, which leads to the conclusion that increased backlog is caused by increased influx.  </w:t>
      </w:r>
    </w:p>
    <w:p w14:paraId="25CA7AD6" w14:textId="77777777" w:rsidR="00FF1A52" w:rsidRPr="00782221" w:rsidRDefault="00FF1A52" w:rsidP="003E7651">
      <w:pPr>
        <w:pStyle w:val="Footnotetekst"/>
        <w:ind w:firstLine="0"/>
        <w:rPr>
          <w:noProof/>
        </w:rPr>
      </w:pPr>
      <w:r>
        <w:t>If the courts make an extra effort to dispose a part of the increased case influx, the increase in the number of pending cases will then be smaller than the increase in influx. For example, the influx of cases may increase by 10%, and the number of pending cases by 5%, which could be defined as a positive result.</w:t>
      </w:r>
    </w:p>
    <w:p w14:paraId="63D71AF6" w14:textId="77777777" w:rsidR="00FF1A52" w:rsidRPr="00266522" w:rsidRDefault="00FF1A52" w:rsidP="003E7651">
      <w:pPr>
        <w:pStyle w:val="Footnotetekst"/>
        <w:ind w:firstLine="0"/>
      </w:pPr>
      <w:r>
        <w:t>Contrary to the above, the increase in the backlog may be higher than the increase in influx. For example, the influx of cases may increase by 10%, and the number of pending cases by 15%, which could be then be defined as a negative result.</w:t>
      </w:r>
    </w:p>
  </w:footnote>
  <w:footnote w:id="23">
    <w:p w14:paraId="4E324A8C" w14:textId="77777777" w:rsidR="00FF1A52" w:rsidRPr="00F0581F" w:rsidRDefault="00FF1A52" w:rsidP="003E7651">
      <w:pPr>
        <w:pStyle w:val="Footnotetekst"/>
      </w:pPr>
      <w:r>
        <w:rPr>
          <w:rStyle w:val="FootnoteReference"/>
          <w:rFonts w:cs="Arial"/>
        </w:rPr>
        <w:footnoteRef/>
      </w:r>
      <w:r>
        <w:t xml:space="preserve"> The KT cases are the cases which the prosecutor's offices initiated against known perpetrators upon grounds for suspicion of them having perpetrated a criminal offence. The "KT" designation for the purposes of this report includes all types of cases against known perpetrators: KT, KTRZ, KTK, KTPO, KTT, etc.</w:t>
      </w:r>
    </w:p>
  </w:footnote>
  <w:footnote w:id="24">
    <w:p w14:paraId="7A62CE5F" w14:textId="77777777" w:rsidR="00FF1A52" w:rsidRPr="00581D7F" w:rsidRDefault="00FF1A52" w:rsidP="003E7651">
      <w:pPr>
        <w:pStyle w:val="Footnotetekst"/>
        <w:rPr>
          <w:noProof/>
        </w:rPr>
      </w:pPr>
      <w:r>
        <w:rPr>
          <w:rStyle w:val="FootnoteReference"/>
          <w:rFonts w:cs="Arial"/>
          <w:noProof/>
          <w:lang w:val="sr-Cyrl-CS"/>
        </w:rPr>
        <w:footnoteRef/>
      </w:r>
      <w:r>
        <w:t xml:space="preserve"> Data on judgments includes all judgments regardless of whether they become final in the reporting period. </w:t>
      </w:r>
    </w:p>
  </w:footnote>
  <w:footnote w:id="25">
    <w:p w14:paraId="3B9419D5" w14:textId="77777777" w:rsidR="00FF1A52" w:rsidRPr="007E24D0" w:rsidRDefault="00FF1A52" w:rsidP="003E7651">
      <w:pPr>
        <w:pStyle w:val="Footnotetekst"/>
      </w:pPr>
      <w:r>
        <w:rPr>
          <w:rStyle w:val="FootnoteReference"/>
          <w:rFonts w:cs="Arial"/>
        </w:rPr>
        <w:footnoteRef/>
      </w:r>
      <w:r>
        <w:t>In addition to pending Kt cases against known perpetrators shown in table 7 as at 31/12/2021, the prosecutor's offices had 250 pending Ktm cases against 342 minors.</w:t>
      </w:r>
    </w:p>
  </w:footnote>
  <w:footnote w:id="26">
    <w:p w14:paraId="3BAFDC04" w14:textId="77777777" w:rsidR="00FF1A52" w:rsidRPr="008B0E3C" w:rsidRDefault="00FF1A52" w:rsidP="003E7651">
      <w:pPr>
        <w:pStyle w:val="Footnotetekst"/>
      </w:pPr>
      <w:r>
        <w:rPr>
          <w:rStyle w:val="FootnoteReference"/>
          <w:rFonts w:cs="Arial"/>
        </w:rPr>
        <w:footnoteRef/>
      </w:r>
      <w:r>
        <w:t xml:space="preserve"> At its session held on 29 December 2020, the HJPC BiH determined the Criteria for Performance Evaluation of Prosecutors in BiH, the Criteria for Performance Evaluation of Chief Prosecutors, Deputy Chief Prosecutors and Heads of Departments in BiH and the Criteria for Performance Evaluation of Chief Prosecutors of the Prosecutor's Office of BiH, the FBiH Prosecutor's Office, the RS Prosecutor's Office and the Prosecutor's Office of the Brcko District of BiH.</w:t>
      </w:r>
    </w:p>
  </w:footnote>
  <w:footnote w:id="27">
    <w:p w14:paraId="649864E9" w14:textId="77777777" w:rsidR="00FF1A52" w:rsidRPr="00F349A1" w:rsidRDefault="00FF1A52" w:rsidP="003E7651">
      <w:pPr>
        <w:pStyle w:val="Footnotetekst"/>
      </w:pPr>
      <w:r>
        <w:rPr>
          <w:rStyle w:val="FootnoteReference"/>
          <w:rFonts w:cs="Arial"/>
          <w:noProof/>
          <w:lang w:val="sr-Cyrl-CS"/>
        </w:rPr>
        <w:footnoteRef/>
      </w:r>
      <w:r>
        <w:t xml:space="preserve"> All or some prosecutors in a number of cantonal and district prosecutor's offices and the Prosecutor's Office of Brcko District BiH were not able to meet 100% of their respective quotas due to the insufficient number of cases. The insufficient number of cases is the result of insufficient case influx.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B3253" w14:textId="0C17268E" w:rsidR="00FF1A52" w:rsidRPr="00820452" w:rsidRDefault="00FF1A52" w:rsidP="004D77E4">
    <w:pPr>
      <w:pBdr>
        <w:bottom w:val="single" w:sz="4" w:space="1" w:color="auto"/>
      </w:pBdr>
      <w:tabs>
        <w:tab w:val="right" w:pos="9072"/>
      </w:tabs>
      <w:rPr>
        <w:rFonts w:ascii="Arial" w:hAnsi="Arial" w:cs="Arial"/>
        <w:b/>
        <w:sz w:val="18"/>
        <w:szCs w:val="18"/>
      </w:rPr>
    </w:pPr>
    <w:r>
      <w:rPr>
        <w:rFonts w:ascii="Arial" w:hAnsi="Arial"/>
        <w:b/>
        <w:sz w:val="18"/>
        <w:szCs w:val="18"/>
      </w:rPr>
      <w:t>High Judicial and Prosecutorial Council of Bosnia and Herzegovina</w:t>
    </w:r>
    <w:r>
      <w:rPr>
        <w:rFonts w:ascii="Arial" w:hAnsi="Arial"/>
        <w:b/>
        <w:sz w:val="18"/>
        <w:szCs w:val="18"/>
      </w:rPr>
      <w:tab/>
      <w:t xml:space="preserve">2021 ANNUAL REPORT </w:t>
    </w:r>
  </w:p>
  <w:p w14:paraId="45565725" w14:textId="77777777" w:rsidR="00FF1A52" w:rsidRDefault="00FF1A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4E566" w14:textId="77777777" w:rsidR="00FF1A52" w:rsidRPr="00820452" w:rsidRDefault="00FF1A52" w:rsidP="00820452">
    <w:pPr>
      <w:pBdr>
        <w:bottom w:val="single" w:sz="4" w:space="1" w:color="auto"/>
      </w:pBdr>
      <w:tabs>
        <w:tab w:val="right" w:pos="9072"/>
      </w:tabs>
      <w:rPr>
        <w:rFonts w:ascii="Arial" w:hAnsi="Arial" w:cs="Arial"/>
        <w:b/>
        <w:sz w:val="18"/>
        <w:szCs w:val="18"/>
      </w:rPr>
    </w:pPr>
    <w:r>
      <w:rPr>
        <w:rFonts w:ascii="Arial" w:hAnsi="Arial"/>
        <w:b/>
        <w:sz w:val="18"/>
        <w:szCs w:val="18"/>
      </w:rPr>
      <w:t>High Judicial and Prosecutorial Council of Bosnia and Herzegovina</w:t>
    </w:r>
    <w:r>
      <w:rPr>
        <w:rFonts w:ascii="Arial" w:hAnsi="Arial"/>
        <w:b/>
        <w:sz w:val="18"/>
        <w:szCs w:val="18"/>
      </w:rPr>
      <w:tab/>
      <w:t>2021 ANNUAL REPORT</w:t>
    </w:r>
  </w:p>
  <w:p w14:paraId="4811517F" w14:textId="77777777" w:rsidR="00FF1A52" w:rsidRDefault="00FF1A5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9B0F8" w14:textId="77777777" w:rsidR="00FF1A52" w:rsidRPr="00820452" w:rsidRDefault="00FF1A52" w:rsidP="004D77E4">
    <w:pPr>
      <w:pBdr>
        <w:bottom w:val="single" w:sz="4" w:space="1" w:color="auto"/>
      </w:pBdr>
      <w:tabs>
        <w:tab w:val="right" w:pos="9072"/>
      </w:tabs>
      <w:rPr>
        <w:rFonts w:ascii="Arial" w:hAnsi="Arial" w:cs="Arial"/>
        <w:b/>
        <w:sz w:val="18"/>
        <w:szCs w:val="18"/>
      </w:rPr>
    </w:pPr>
    <w:r>
      <w:rPr>
        <w:rFonts w:ascii="Arial" w:hAnsi="Arial"/>
        <w:b/>
        <w:sz w:val="18"/>
        <w:szCs w:val="18"/>
      </w:rPr>
      <w:t>High Judicial and Prosecutorial Council of Bosnia and Herzegovina</w:t>
    </w:r>
    <w:r>
      <w:rPr>
        <w:rFonts w:ascii="Arial" w:hAnsi="Arial"/>
        <w:b/>
        <w:sz w:val="18"/>
        <w:szCs w:val="18"/>
      </w:rPr>
      <w:tab/>
      <w:t>2021 ANNUAL REPORT</w:t>
    </w:r>
  </w:p>
  <w:p w14:paraId="7996FF9E" w14:textId="77777777" w:rsidR="00FF1A52" w:rsidRDefault="00FF1A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B0D9F" w14:textId="77777777" w:rsidR="00FF1A52" w:rsidRPr="00820452" w:rsidRDefault="00FF1A52" w:rsidP="00820452">
    <w:pPr>
      <w:pBdr>
        <w:bottom w:val="single" w:sz="4" w:space="1" w:color="auto"/>
      </w:pBdr>
      <w:tabs>
        <w:tab w:val="right" w:pos="9072"/>
      </w:tabs>
      <w:rPr>
        <w:rFonts w:ascii="Arial" w:hAnsi="Arial" w:cs="Arial"/>
        <w:b/>
        <w:sz w:val="18"/>
        <w:szCs w:val="18"/>
      </w:rPr>
    </w:pPr>
    <w:r>
      <w:rPr>
        <w:rFonts w:ascii="Arial" w:hAnsi="Arial"/>
        <w:b/>
        <w:sz w:val="18"/>
        <w:szCs w:val="18"/>
      </w:rPr>
      <w:t>High Judicial and Prosecutorial Council of Bosnia and Herzegovina</w:t>
    </w:r>
    <w:r>
      <w:rPr>
        <w:rFonts w:ascii="Arial" w:hAnsi="Arial"/>
        <w:b/>
        <w:sz w:val="18"/>
        <w:szCs w:val="18"/>
      </w:rPr>
      <w:tab/>
      <w:t>2021 ANNUAL REPORT</w:t>
    </w:r>
  </w:p>
  <w:p w14:paraId="693656A4" w14:textId="77777777" w:rsidR="00FF1A52" w:rsidRDefault="00FF1A5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3A6C54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7A8CE5F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CBC87D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79258F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434AB2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EEF2B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E830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4620E9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BD2DEE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98C5B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5F5605"/>
    <w:multiLevelType w:val="hybridMultilevel"/>
    <w:tmpl w:val="2578DC42"/>
    <w:lvl w:ilvl="0" w:tplc="C5D65B3A">
      <w:start w:val="1"/>
      <w:numFmt w:val="bullet"/>
      <w:pStyle w:val="Tackice"/>
      <w:lvlText w:val=""/>
      <w:lvlJc w:val="left"/>
      <w:pPr>
        <w:tabs>
          <w:tab w:val="num" w:pos="360"/>
        </w:tabs>
        <w:ind w:left="360" w:hanging="360"/>
      </w:pPr>
      <w:rPr>
        <w:rFonts w:ascii="Symbol" w:hAnsi="Symbol" w:hint="default"/>
        <w:color w:val="auto"/>
      </w:rPr>
    </w:lvl>
    <w:lvl w:ilvl="1" w:tplc="FE5CAC4A">
      <w:start w:val="1"/>
      <w:numFmt w:val="none"/>
      <w:lvlText w:val="3.1."/>
      <w:lvlJc w:val="left"/>
      <w:pPr>
        <w:tabs>
          <w:tab w:val="num" w:pos="2007"/>
        </w:tabs>
        <w:ind w:left="2007" w:hanging="360"/>
      </w:pPr>
      <w:rPr>
        <w:rFonts w:hint="default"/>
      </w:rPr>
    </w:lvl>
    <w:lvl w:ilvl="2" w:tplc="041A0001">
      <w:start w:val="1"/>
      <w:numFmt w:val="bullet"/>
      <w:lvlText w:val=""/>
      <w:lvlJc w:val="left"/>
      <w:pPr>
        <w:tabs>
          <w:tab w:val="num" w:pos="2727"/>
        </w:tabs>
        <w:ind w:left="2727" w:hanging="360"/>
      </w:pPr>
      <w:rPr>
        <w:rFonts w:ascii="Symbol" w:hAnsi="Symbol" w:hint="default"/>
      </w:rPr>
    </w:lvl>
    <w:lvl w:ilvl="3" w:tplc="041A0001" w:tentative="1">
      <w:start w:val="1"/>
      <w:numFmt w:val="bullet"/>
      <w:lvlText w:val=""/>
      <w:lvlJc w:val="left"/>
      <w:pPr>
        <w:tabs>
          <w:tab w:val="num" w:pos="3447"/>
        </w:tabs>
        <w:ind w:left="3447" w:hanging="360"/>
      </w:pPr>
      <w:rPr>
        <w:rFonts w:ascii="Symbol" w:hAnsi="Symbol" w:hint="default"/>
      </w:rPr>
    </w:lvl>
    <w:lvl w:ilvl="4" w:tplc="041A0003" w:tentative="1">
      <w:start w:val="1"/>
      <w:numFmt w:val="bullet"/>
      <w:lvlText w:val="o"/>
      <w:lvlJc w:val="left"/>
      <w:pPr>
        <w:tabs>
          <w:tab w:val="num" w:pos="4167"/>
        </w:tabs>
        <w:ind w:left="4167" w:hanging="360"/>
      </w:pPr>
      <w:rPr>
        <w:rFonts w:ascii="Courier New" w:hAnsi="Courier New" w:cs="Courier New" w:hint="default"/>
      </w:rPr>
    </w:lvl>
    <w:lvl w:ilvl="5" w:tplc="041A0005" w:tentative="1">
      <w:start w:val="1"/>
      <w:numFmt w:val="bullet"/>
      <w:lvlText w:val=""/>
      <w:lvlJc w:val="left"/>
      <w:pPr>
        <w:tabs>
          <w:tab w:val="num" w:pos="4887"/>
        </w:tabs>
        <w:ind w:left="4887" w:hanging="360"/>
      </w:pPr>
      <w:rPr>
        <w:rFonts w:ascii="Wingdings" w:hAnsi="Wingdings" w:hint="default"/>
      </w:rPr>
    </w:lvl>
    <w:lvl w:ilvl="6" w:tplc="041A0001" w:tentative="1">
      <w:start w:val="1"/>
      <w:numFmt w:val="bullet"/>
      <w:lvlText w:val=""/>
      <w:lvlJc w:val="left"/>
      <w:pPr>
        <w:tabs>
          <w:tab w:val="num" w:pos="5607"/>
        </w:tabs>
        <w:ind w:left="5607" w:hanging="360"/>
      </w:pPr>
      <w:rPr>
        <w:rFonts w:ascii="Symbol" w:hAnsi="Symbol" w:hint="default"/>
      </w:rPr>
    </w:lvl>
    <w:lvl w:ilvl="7" w:tplc="041A0003" w:tentative="1">
      <w:start w:val="1"/>
      <w:numFmt w:val="bullet"/>
      <w:lvlText w:val="o"/>
      <w:lvlJc w:val="left"/>
      <w:pPr>
        <w:tabs>
          <w:tab w:val="num" w:pos="6327"/>
        </w:tabs>
        <w:ind w:left="6327" w:hanging="360"/>
      </w:pPr>
      <w:rPr>
        <w:rFonts w:ascii="Courier New" w:hAnsi="Courier New" w:cs="Courier New" w:hint="default"/>
      </w:rPr>
    </w:lvl>
    <w:lvl w:ilvl="8" w:tplc="041A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0D39081C"/>
    <w:multiLevelType w:val="hybridMultilevel"/>
    <w:tmpl w:val="F4700638"/>
    <w:lvl w:ilvl="0" w:tplc="F8C8D92C">
      <w:start w:val="1"/>
      <w:numFmt w:val="lowerLetter"/>
      <w:pStyle w:val="Tackicenove"/>
      <w:lvlText w:val="%1)"/>
      <w:lvlJc w:val="left"/>
      <w:pPr>
        <w:ind w:left="723" w:hanging="360"/>
      </w:pPr>
      <w:rPr>
        <w:b w:val="0"/>
      </w:rPr>
    </w:lvl>
    <w:lvl w:ilvl="1" w:tplc="141A0019" w:tentative="1">
      <w:start w:val="1"/>
      <w:numFmt w:val="lowerLetter"/>
      <w:lvlText w:val="%2."/>
      <w:lvlJc w:val="left"/>
      <w:pPr>
        <w:ind w:left="1443" w:hanging="360"/>
      </w:pPr>
    </w:lvl>
    <w:lvl w:ilvl="2" w:tplc="141A001B" w:tentative="1">
      <w:start w:val="1"/>
      <w:numFmt w:val="lowerRoman"/>
      <w:lvlText w:val="%3."/>
      <w:lvlJc w:val="right"/>
      <w:pPr>
        <w:ind w:left="2163" w:hanging="180"/>
      </w:pPr>
    </w:lvl>
    <w:lvl w:ilvl="3" w:tplc="141A000F" w:tentative="1">
      <w:start w:val="1"/>
      <w:numFmt w:val="decimal"/>
      <w:lvlText w:val="%4."/>
      <w:lvlJc w:val="left"/>
      <w:pPr>
        <w:ind w:left="2883" w:hanging="360"/>
      </w:pPr>
    </w:lvl>
    <w:lvl w:ilvl="4" w:tplc="141A0019" w:tentative="1">
      <w:start w:val="1"/>
      <w:numFmt w:val="lowerLetter"/>
      <w:lvlText w:val="%5."/>
      <w:lvlJc w:val="left"/>
      <w:pPr>
        <w:ind w:left="3603" w:hanging="360"/>
      </w:pPr>
    </w:lvl>
    <w:lvl w:ilvl="5" w:tplc="141A001B" w:tentative="1">
      <w:start w:val="1"/>
      <w:numFmt w:val="lowerRoman"/>
      <w:lvlText w:val="%6."/>
      <w:lvlJc w:val="right"/>
      <w:pPr>
        <w:ind w:left="4323" w:hanging="180"/>
      </w:pPr>
    </w:lvl>
    <w:lvl w:ilvl="6" w:tplc="141A000F" w:tentative="1">
      <w:start w:val="1"/>
      <w:numFmt w:val="decimal"/>
      <w:lvlText w:val="%7."/>
      <w:lvlJc w:val="left"/>
      <w:pPr>
        <w:ind w:left="5043" w:hanging="360"/>
      </w:pPr>
    </w:lvl>
    <w:lvl w:ilvl="7" w:tplc="141A0019" w:tentative="1">
      <w:start w:val="1"/>
      <w:numFmt w:val="lowerLetter"/>
      <w:lvlText w:val="%8."/>
      <w:lvlJc w:val="left"/>
      <w:pPr>
        <w:ind w:left="5763" w:hanging="360"/>
      </w:pPr>
    </w:lvl>
    <w:lvl w:ilvl="8" w:tplc="141A001B" w:tentative="1">
      <w:start w:val="1"/>
      <w:numFmt w:val="lowerRoman"/>
      <w:lvlText w:val="%9."/>
      <w:lvlJc w:val="right"/>
      <w:pPr>
        <w:ind w:left="6483" w:hanging="180"/>
      </w:pPr>
    </w:lvl>
  </w:abstractNum>
  <w:abstractNum w:abstractNumId="12" w15:restartNumberingAfterBreak="0">
    <w:nsid w:val="16950E8C"/>
    <w:multiLevelType w:val="multilevel"/>
    <w:tmpl w:val="B3147362"/>
    <w:lvl w:ilvl="0">
      <w:start w:val="1"/>
      <w:numFmt w:val="decimal"/>
      <w:pStyle w:val="Heading1"/>
      <w:lvlText w:val="%1."/>
      <w:lvlJc w:val="left"/>
      <w:pPr>
        <w:tabs>
          <w:tab w:val="num" w:pos="150"/>
        </w:tabs>
        <w:ind w:left="150" w:hanging="360"/>
      </w:pPr>
      <w:rPr>
        <w:rFonts w:hint="default"/>
      </w:rPr>
    </w:lvl>
    <w:lvl w:ilvl="1">
      <w:start w:val="1"/>
      <w:numFmt w:val="decimal"/>
      <w:pStyle w:val="Heading2"/>
      <w:lvlText w:val="%1.%2."/>
      <w:lvlJc w:val="left"/>
      <w:pPr>
        <w:tabs>
          <w:tab w:val="num" w:pos="357"/>
        </w:tabs>
        <w:ind w:left="357" w:hanging="207"/>
      </w:pPr>
      <w:rPr>
        <w:rFonts w:hint="default"/>
      </w:rPr>
    </w:lvl>
    <w:lvl w:ilvl="2">
      <w:start w:val="1"/>
      <w:numFmt w:val="decimal"/>
      <w:pStyle w:val="Heading3"/>
      <w:lvlText w:val="%1.%2.%3."/>
      <w:lvlJc w:val="left"/>
      <w:pPr>
        <w:tabs>
          <w:tab w:val="num" w:pos="1230"/>
        </w:tabs>
        <w:ind w:left="1014" w:hanging="504"/>
      </w:pPr>
      <w:rPr>
        <w:rFonts w:hint="default"/>
      </w:rPr>
    </w:lvl>
    <w:lvl w:ilvl="3">
      <w:start w:val="1"/>
      <w:numFmt w:val="decimal"/>
      <w:lvlText w:val="%1.%2.%3.%4."/>
      <w:lvlJc w:val="left"/>
      <w:pPr>
        <w:tabs>
          <w:tab w:val="num" w:pos="1590"/>
        </w:tabs>
        <w:ind w:left="1518" w:hanging="648"/>
      </w:pPr>
      <w:rPr>
        <w:rFonts w:hint="default"/>
      </w:rPr>
    </w:lvl>
    <w:lvl w:ilvl="4">
      <w:start w:val="1"/>
      <w:numFmt w:val="decimal"/>
      <w:lvlText w:val="%1.%2.%3.%4.%5."/>
      <w:lvlJc w:val="left"/>
      <w:pPr>
        <w:tabs>
          <w:tab w:val="num" w:pos="2310"/>
        </w:tabs>
        <w:ind w:left="2022" w:hanging="792"/>
      </w:pPr>
      <w:rPr>
        <w:rFonts w:hint="default"/>
      </w:rPr>
    </w:lvl>
    <w:lvl w:ilvl="5">
      <w:start w:val="1"/>
      <w:numFmt w:val="decimal"/>
      <w:lvlText w:val="%1.%2.%3.%4.%5.%6."/>
      <w:lvlJc w:val="left"/>
      <w:pPr>
        <w:tabs>
          <w:tab w:val="num" w:pos="2670"/>
        </w:tabs>
        <w:ind w:left="2526" w:hanging="936"/>
      </w:pPr>
      <w:rPr>
        <w:rFonts w:hint="default"/>
      </w:rPr>
    </w:lvl>
    <w:lvl w:ilvl="6">
      <w:start w:val="1"/>
      <w:numFmt w:val="decimal"/>
      <w:lvlText w:val="%1.%2.%3.%4.%5.%6.%7."/>
      <w:lvlJc w:val="left"/>
      <w:pPr>
        <w:tabs>
          <w:tab w:val="num" w:pos="3390"/>
        </w:tabs>
        <w:ind w:left="3030" w:hanging="1080"/>
      </w:pPr>
      <w:rPr>
        <w:rFonts w:hint="default"/>
      </w:rPr>
    </w:lvl>
    <w:lvl w:ilvl="7">
      <w:start w:val="1"/>
      <w:numFmt w:val="decimal"/>
      <w:lvlText w:val="%1.%2.%3.%4.%5.%6.%7.%8."/>
      <w:lvlJc w:val="left"/>
      <w:pPr>
        <w:tabs>
          <w:tab w:val="num" w:pos="3750"/>
        </w:tabs>
        <w:ind w:left="3534" w:hanging="1224"/>
      </w:pPr>
      <w:rPr>
        <w:rFonts w:hint="default"/>
      </w:rPr>
    </w:lvl>
    <w:lvl w:ilvl="8">
      <w:start w:val="1"/>
      <w:numFmt w:val="decimal"/>
      <w:lvlText w:val="%1.%2.%3.%4.%5.%6.%7.%8.%9."/>
      <w:lvlJc w:val="left"/>
      <w:pPr>
        <w:tabs>
          <w:tab w:val="num" w:pos="4470"/>
        </w:tabs>
        <w:ind w:left="4110" w:hanging="1440"/>
      </w:pPr>
      <w:rPr>
        <w:rFonts w:hint="default"/>
      </w:rPr>
    </w:lvl>
  </w:abstractNum>
  <w:abstractNum w:abstractNumId="13" w15:restartNumberingAfterBreak="0">
    <w:nsid w:val="17E31BCB"/>
    <w:multiLevelType w:val="hybridMultilevel"/>
    <w:tmpl w:val="2B6E7CDC"/>
    <w:lvl w:ilvl="0" w:tplc="141A0017">
      <w:start w:val="1"/>
      <w:numFmt w:val="lowerLetter"/>
      <w:lvlText w:val="%1)"/>
      <w:lvlJc w:val="left"/>
      <w:pPr>
        <w:ind w:left="360" w:hanging="360"/>
      </w:pPr>
      <w:rPr>
        <w:rFont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4" w15:restartNumberingAfterBreak="0">
    <w:nsid w:val="23CA2F19"/>
    <w:multiLevelType w:val="hybridMultilevel"/>
    <w:tmpl w:val="406CC83E"/>
    <w:lvl w:ilvl="0" w:tplc="FFFFFFFF">
      <w:start w:val="1"/>
      <w:numFmt w:val="decimal"/>
      <w:pStyle w:val="Brojevi"/>
      <w:lvlText w:val="%1."/>
      <w:lvlJc w:val="left"/>
      <w:pPr>
        <w:tabs>
          <w:tab w:val="num" w:pos="1465"/>
        </w:tabs>
        <w:ind w:left="1465" w:hanging="180"/>
      </w:pPr>
      <w:rPr>
        <w:rFonts w:hint="default"/>
      </w:rPr>
    </w:lvl>
    <w:lvl w:ilvl="1" w:tplc="FFFFFFFF">
      <w:start w:val="1"/>
      <w:numFmt w:val="lowerLetter"/>
      <w:lvlText w:val="%2."/>
      <w:lvlJc w:val="left"/>
      <w:pPr>
        <w:tabs>
          <w:tab w:val="num" w:pos="2339"/>
        </w:tabs>
        <w:ind w:left="2339" w:hanging="360"/>
      </w:pPr>
    </w:lvl>
    <w:lvl w:ilvl="2" w:tplc="FFFFFFFF" w:tentative="1">
      <w:start w:val="1"/>
      <w:numFmt w:val="lowerRoman"/>
      <w:lvlText w:val="%3."/>
      <w:lvlJc w:val="right"/>
      <w:pPr>
        <w:tabs>
          <w:tab w:val="num" w:pos="3059"/>
        </w:tabs>
        <w:ind w:left="3059" w:hanging="180"/>
      </w:pPr>
    </w:lvl>
    <w:lvl w:ilvl="3" w:tplc="FFFFFFFF" w:tentative="1">
      <w:start w:val="1"/>
      <w:numFmt w:val="decimal"/>
      <w:lvlText w:val="%4."/>
      <w:lvlJc w:val="left"/>
      <w:pPr>
        <w:tabs>
          <w:tab w:val="num" w:pos="3779"/>
        </w:tabs>
        <w:ind w:left="3779" w:hanging="360"/>
      </w:pPr>
    </w:lvl>
    <w:lvl w:ilvl="4" w:tplc="FFFFFFFF" w:tentative="1">
      <w:start w:val="1"/>
      <w:numFmt w:val="lowerLetter"/>
      <w:lvlText w:val="%5."/>
      <w:lvlJc w:val="left"/>
      <w:pPr>
        <w:tabs>
          <w:tab w:val="num" w:pos="4499"/>
        </w:tabs>
        <w:ind w:left="4499" w:hanging="360"/>
      </w:pPr>
    </w:lvl>
    <w:lvl w:ilvl="5" w:tplc="FFFFFFFF" w:tentative="1">
      <w:start w:val="1"/>
      <w:numFmt w:val="lowerRoman"/>
      <w:lvlText w:val="%6."/>
      <w:lvlJc w:val="right"/>
      <w:pPr>
        <w:tabs>
          <w:tab w:val="num" w:pos="5219"/>
        </w:tabs>
        <w:ind w:left="5219" w:hanging="180"/>
      </w:pPr>
    </w:lvl>
    <w:lvl w:ilvl="6" w:tplc="FFFFFFFF" w:tentative="1">
      <w:start w:val="1"/>
      <w:numFmt w:val="decimal"/>
      <w:lvlText w:val="%7."/>
      <w:lvlJc w:val="left"/>
      <w:pPr>
        <w:tabs>
          <w:tab w:val="num" w:pos="5939"/>
        </w:tabs>
        <w:ind w:left="5939" w:hanging="360"/>
      </w:pPr>
    </w:lvl>
    <w:lvl w:ilvl="7" w:tplc="FFFFFFFF" w:tentative="1">
      <w:start w:val="1"/>
      <w:numFmt w:val="lowerLetter"/>
      <w:lvlText w:val="%8."/>
      <w:lvlJc w:val="left"/>
      <w:pPr>
        <w:tabs>
          <w:tab w:val="num" w:pos="6659"/>
        </w:tabs>
        <w:ind w:left="6659" w:hanging="360"/>
      </w:pPr>
    </w:lvl>
    <w:lvl w:ilvl="8" w:tplc="FFFFFFFF" w:tentative="1">
      <w:start w:val="1"/>
      <w:numFmt w:val="lowerRoman"/>
      <w:lvlText w:val="%9."/>
      <w:lvlJc w:val="right"/>
      <w:pPr>
        <w:tabs>
          <w:tab w:val="num" w:pos="7379"/>
        </w:tabs>
        <w:ind w:left="7379" w:hanging="180"/>
      </w:pPr>
    </w:lvl>
  </w:abstractNum>
  <w:abstractNum w:abstractNumId="15" w15:restartNumberingAfterBreak="0">
    <w:nsid w:val="277577D7"/>
    <w:multiLevelType w:val="hybridMultilevel"/>
    <w:tmpl w:val="78D85B80"/>
    <w:lvl w:ilvl="0" w:tplc="141A0011">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36437293"/>
    <w:multiLevelType w:val="multilevel"/>
    <w:tmpl w:val="DF52E59E"/>
    <w:lvl w:ilvl="0">
      <w:start w:val="1"/>
      <w:numFmt w:val="decimal"/>
      <w:lvlText w:val="%1."/>
      <w:lvlJc w:val="left"/>
      <w:pPr>
        <w:tabs>
          <w:tab w:val="num" w:pos="150"/>
        </w:tabs>
        <w:ind w:left="150" w:hanging="360"/>
      </w:pPr>
      <w:rPr>
        <w:rFonts w:hint="default"/>
      </w:rPr>
    </w:lvl>
    <w:lvl w:ilvl="1">
      <w:start w:val="1"/>
      <w:numFmt w:val="decimal"/>
      <w:lvlText w:val="%1.%2."/>
      <w:lvlJc w:val="left"/>
      <w:pPr>
        <w:tabs>
          <w:tab w:val="num" w:pos="357"/>
        </w:tabs>
        <w:ind w:left="357" w:hanging="207"/>
      </w:pPr>
      <w:rPr>
        <w:rFonts w:hint="default"/>
      </w:rPr>
    </w:lvl>
    <w:lvl w:ilvl="2">
      <w:start w:val="1"/>
      <w:numFmt w:val="decimal"/>
      <w:lvlText w:val="%1.%2.%3."/>
      <w:lvlJc w:val="left"/>
      <w:pPr>
        <w:tabs>
          <w:tab w:val="num" w:pos="1230"/>
        </w:tabs>
        <w:ind w:left="1014" w:hanging="504"/>
      </w:pPr>
      <w:rPr>
        <w:rFonts w:hint="default"/>
      </w:rPr>
    </w:lvl>
    <w:lvl w:ilvl="3">
      <w:start w:val="1"/>
      <w:numFmt w:val="decimal"/>
      <w:pStyle w:val="Heading4"/>
      <w:lvlText w:val="%1.%2.%3.%4."/>
      <w:lvlJc w:val="left"/>
      <w:pPr>
        <w:tabs>
          <w:tab w:val="num" w:pos="1590"/>
        </w:tabs>
        <w:ind w:left="1518" w:hanging="648"/>
      </w:pPr>
      <w:rPr>
        <w:rFonts w:hint="default"/>
      </w:rPr>
    </w:lvl>
    <w:lvl w:ilvl="4">
      <w:start w:val="1"/>
      <w:numFmt w:val="decimal"/>
      <w:lvlText w:val="%1.%2.%3.%4.%5."/>
      <w:lvlJc w:val="left"/>
      <w:pPr>
        <w:tabs>
          <w:tab w:val="num" w:pos="2310"/>
        </w:tabs>
        <w:ind w:left="2022" w:hanging="792"/>
      </w:pPr>
      <w:rPr>
        <w:rFonts w:hint="default"/>
      </w:rPr>
    </w:lvl>
    <w:lvl w:ilvl="5">
      <w:start w:val="1"/>
      <w:numFmt w:val="decimal"/>
      <w:lvlText w:val="%1.%2.%3.%4.%5.%6."/>
      <w:lvlJc w:val="left"/>
      <w:pPr>
        <w:tabs>
          <w:tab w:val="num" w:pos="2670"/>
        </w:tabs>
        <w:ind w:left="2526" w:hanging="936"/>
      </w:pPr>
      <w:rPr>
        <w:rFonts w:hint="default"/>
      </w:rPr>
    </w:lvl>
    <w:lvl w:ilvl="6">
      <w:start w:val="1"/>
      <w:numFmt w:val="decimal"/>
      <w:lvlText w:val="%1.%2.%3.%4.%5.%6.%7."/>
      <w:lvlJc w:val="left"/>
      <w:pPr>
        <w:tabs>
          <w:tab w:val="num" w:pos="3390"/>
        </w:tabs>
        <w:ind w:left="3030" w:hanging="1080"/>
      </w:pPr>
      <w:rPr>
        <w:rFonts w:hint="default"/>
      </w:rPr>
    </w:lvl>
    <w:lvl w:ilvl="7">
      <w:start w:val="1"/>
      <w:numFmt w:val="decimal"/>
      <w:lvlText w:val="%1.%2.%3.%4.%5.%6.%7.%8."/>
      <w:lvlJc w:val="left"/>
      <w:pPr>
        <w:tabs>
          <w:tab w:val="num" w:pos="3750"/>
        </w:tabs>
        <w:ind w:left="3534" w:hanging="1224"/>
      </w:pPr>
      <w:rPr>
        <w:rFonts w:hint="default"/>
      </w:rPr>
    </w:lvl>
    <w:lvl w:ilvl="8">
      <w:start w:val="1"/>
      <w:numFmt w:val="decimal"/>
      <w:lvlText w:val="%1.%2.%3.%4.%5.%6.%7.%8.%9."/>
      <w:lvlJc w:val="left"/>
      <w:pPr>
        <w:tabs>
          <w:tab w:val="num" w:pos="4470"/>
        </w:tabs>
        <w:ind w:left="4110" w:hanging="1440"/>
      </w:pPr>
      <w:rPr>
        <w:rFonts w:hint="default"/>
      </w:rPr>
    </w:lvl>
  </w:abstractNum>
  <w:abstractNum w:abstractNumId="17" w15:restartNumberingAfterBreak="0">
    <w:nsid w:val="375870CC"/>
    <w:multiLevelType w:val="hybridMultilevel"/>
    <w:tmpl w:val="2B1ADD24"/>
    <w:lvl w:ilvl="0" w:tplc="9F3E8C22">
      <w:start w:val="1"/>
      <w:numFmt w:val="bullet"/>
      <w:pStyle w:val="Tackice2"/>
      <w:lvlText w:val=""/>
      <w:lvlJc w:val="left"/>
      <w:pPr>
        <w:ind w:left="1571" w:hanging="360"/>
      </w:pPr>
      <w:rPr>
        <w:rFonts w:ascii="Symbol" w:hAnsi="Symbol" w:hint="default"/>
      </w:rPr>
    </w:lvl>
    <w:lvl w:ilvl="1" w:tplc="141A0003" w:tentative="1">
      <w:start w:val="1"/>
      <w:numFmt w:val="bullet"/>
      <w:lvlText w:val="o"/>
      <w:lvlJc w:val="left"/>
      <w:pPr>
        <w:ind w:left="2291" w:hanging="360"/>
      </w:pPr>
      <w:rPr>
        <w:rFonts w:ascii="Courier New" w:hAnsi="Courier New" w:cs="Courier New" w:hint="default"/>
      </w:rPr>
    </w:lvl>
    <w:lvl w:ilvl="2" w:tplc="141A0005" w:tentative="1">
      <w:start w:val="1"/>
      <w:numFmt w:val="bullet"/>
      <w:lvlText w:val=""/>
      <w:lvlJc w:val="left"/>
      <w:pPr>
        <w:ind w:left="3011" w:hanging="360"/>
      </w:pPr>
      <w:rPr>
        <w:rFonts w:ascii="Wingdings" w:hAnsi="Wingdings" w:hint="default"/>
      </w:rPr>
    </w:lvl>
    <w:lvl w:ilvl="3" w:tplc="141A0001" w:tentative="1">
      <w:start w:val="1"/>
      <w:numFmt w:val="bullet"/>
      <w:lvlText w:val=""/>
      <w:lvlJc w:val="left"/>
      <w:pPr>
        <w:ind w:left="3731" w:hanging="360"/>
      </w:pPr>
      <w:rPr>
        <w:rFonts w:ascii="Symbol" w:hAnsi="Symbol" w:hint="default"/>
      </w:rPr>
    </w:lvl>
    <w:lvl w:ilvl="4" w:tplc="141A0003" w:tentative="1">
      <w:start w:val="1"/>
      <w:numFmt w:val="bullet"/>
      <w:lvlText w:val="o"/>
      <w:lvlJc w:val="left"/>
      <w:pPr>
        <w:ind w:left="4451" w:hanging="360"/>
      </w:pPr>
      <w:rPr>
        <w:rFonts w:ascii="Courier New" w:hAnsi="Courier New" w:cs="Courier New" w:hint="default"/>
      </w:rPr>
    </w:lvl>
    <w:lvl w:ilvl="5" w:tplc="141A0005" w:tentative="1">
      <w:start w:val="1"/>
      <w:numFmt w:val="bullet"/>
      <w:lvlText w:val=""/>
      <w:lvlJc w:val="left"/>
      <w:pPr>
        <w:ind w:left="5171" w:hanging="360"/>
      </w:pPr>
      <w:rPr>
        <w:rFonts w:ascii="Wingdings" w:hAnsi="Wingdings" w:hint="default"/>
      </w:rPr>
    </w:lvl>
    <w:lvl w:ilvl="6" w:tplc="141A0001" w:tentative="1">
      <w:start w:val="1"/>
      <w:numFmt w:val="bullet"/>
      <w:lvlText w:val=""/>
      <w:lvlJc w:val="left"/>
      <w:pPr>
        <w:ind w:left="5891" w:hanging="360"/>
      </w:pPr>
      <w:rPr>
        <w:rFonts w:ascii="Symbol" w:hAnsi="Symbol" w:hint="default"/>
      </w:rPr>
    </w:lvl>
    <w:lvl w:ilvl="7" w:tplc="141A0003" w:tentative="1">
      <w:start w:val="1"/>
      <w:numFmt w:val="bullet"/>
      <w:lvlText w:val="o"/>
      <w:lvlJc w:val="left"/>
      <w:pPr>
        <w:ind w:left="6611" w:hanging="360"/>
      </w:pPr>
      <w:rPr>
        <w:rFonts w:ascii="Courier New" w:hAnsi="Courier New" w:cs="Courier New" w:hint="default"/>
      </w:rPr>
    </w:lvl>
    <w:lvl w:ilvl="8" w:tplc="141A0005" w:tentative="1">
      <w:start w:val="1"/>
      <w:numFmt w:val="bullet"/>
      <w:lvlText w:val=""/>
      <w:lvlJc w:val="left"/>
      <w:pPr>
        <w:ind w:left="7331" w:hanging="360"/>
      </w:pPr>
      <w:rPr>
        <w:rFonts w:ascii="Wingdings" w:hAnsi="Wingdings" w:hint="default"/>
      </w:rPr>
    </w:lvl>
  </w:abstractNum>
  <w:abstractNum w:abstractNumId="18" w15:restartNumberingAfterBreak="0">
    <w:nsid w:val="39106175"/>
    <w:multiLevelType w:val="hybridMultilevel"/>
    <w:tmpl w:val="00C4C144"/>
    <w:lvl w:ilvl="0" w:tplc="141A000F">
      <w:start w:val="1"/>
      <w:numFmt w:val="decimal"/>
      <w:lvlText w:val="%1."/>
      <w:lvlJc w:val="left"/>
      <w:pPr>
        <w:tabs>
          <w:tab w:val="num" w:pos="360"/>
        </w:tabs>
        <w:ind w:left="360" w:hanging="360"/>
      </w:pPr>
      <w:rPr>
        <w:rFonts w:hint="default"/>
        <w:color w:val="auto"/>
      </w:rPr>
    </w:lvl>
    <w:lvl w:ilvl="1" w:tplc="FE5CAC4A">
      <w:start w:val="1"/>
      <w:numFmt w:val="none"/>
      <w:lvlText w:val="3.1."/>
      <w:lvlJc w:val="left"/>
      <w:pPr>
        <w:tabs>
          <w:tab w:val="num" w:pos="2007"/>
        </w:tabs>
        <w:ind w:left="2007" w:hanging="360"/>
      </w:pPr>
      <w:rPr>
        <w:rFonts w:hint="default"/>
      </w:rPr>
    </w:lvl>
    <w:lvl w:ilvl="2" w:tplc="041A0001">
      <w:start w:val="1"/>
      <w:numFmt w:val="bullet"/>
      <w:lvlText w:val=""/>
      <w:lvlJc w:val="left"/>
      <w:pPr>
        <w:tabs>
          <w:tab w:val="num" w:pos="2727"/>
        </w:tabs>
        <w:ind w:left="2727" w:hanging="360"/>
      </w:pPr>
      <w:rPr>
        <w:rFonts w:ascii="Symbol" w:hAnsi="Symbol" w:hint="default"/>
      </w:rPr>
    </w:lvl>
    <w:lvl w:ilvl="3" w:tplc="041A0001" w:tentative="1">
      <w:start w:val="1"/>
      <w:numFmt w:val="bullet"/>
      <w:lvlText w:val=""/>
      <w:lvlJc w:val="left"/>
      <w:pPr>
        <w:tabs>
          <w:tab w:val="num" w:pos="3447"/>
        </w:tabs>
        <w:ind w:left="3447" w:hanging="360"/>
      </w:pPr>
      <w:rPr>
        <w:rFonts w:ascii="Symbol" w:hAnsi="Symbol" w:hint="default"/>
      </w:rPr>
    </w:lvl>
    <w:lvl w:ilvl="4" w:tplc="041A0003" w:tentative="1">
      <w:start w:val="1"/>
      <w:numFmt w:val="bullet"/>
      <w:lvlText w:val="o"/>
      <w:lvlJc w:val="left"/>
      <w:pPr>
        <w:tabs>
          <w:tab w:val="num" w:pos="4167"/>
        </w:tabs>
        <w:ind w:left="4167" w:hanging="360"/>
      </w:pPr>
      <w:rPr>
        <w:rFonts w:ascii="Courier New" w:hAnsi="Courier New" w:cs="Courier New" w:hint="default"/>
      </w:rPr>
    </w:lvl>
    <w:lvl w:ilvl="5" w:tplc="041A0005" w:tentative="1">
      <w:start w:val="1"/>
      <w:numFmt w:val="bullet"/>
      <w:lvlText w:val=""/>
      <w:lvlJc w:val="left"/>
      <w:pPr>
        <w:tabs>
          <w:tab w:val="num" w:pos="4887"/>
        </w:tabs>
        <w:ind w:left="4887" w:hanging="360"/>
      </w:pPr>
      <w:rPr>
        <w:rFonts w:ascii="Wingdings" w:hAnsi="Wingdings" w:hint="default"/>
      </w:rPr>
    </w:lvl>
    <w:lvl w:ilvl="6" w:tplc="041A0001" w:tentative="1">
      <w:start w:val="1"/>
      <w:numFmt w:val="bullet"/>
      <w:lvlText w:val=""/>
      <w:lvlJc w:val="left"/>
      <w:pPr>
        <w:tabs>
          <w:tab w:val="num" w:pos="5607"/>
        </w:tabs>
        <w:ind w:left="5607" w:hanging="360"/>
      </w:pPr>
      <w:rPr>
        <w:rFonts w:ascii="Symbol" w:hAnsi="Symbol" w:hint="default"/>
      </w:rPr>
    </w:lvl>
    <w:lvl w:ilvl="7" w:tplc="041A0003" w:tentative="1">
      <w:start w:val="1"/>
      <w:numFmt w:val="bullet"/>
      <w:lvlText w:val="o"/>
      <w:lvlJc w:val="left"/>
      <w:pPr>
        <w:tabs>
          <w:tab w:val="num" w:pos="6327"/>
        </w:tabs>
        <w:ind w:left="6327" w:hanging="360"/>
      </w:pPr>
      <w:rPr>
        <w:rFonts w:ascii="Courier New" w:hAnsi="Courier New" w:cs="Courier New" w:hint="default"/>
      </w:rPr>
    </w:lvl>
    <w:lvl w:ilvl="8" w:tplc="041A0005"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70856088"/>
    <w:multiLevelType w:val="multilevel"/>
    <w:tmpl w:val="6AFE33DA"/>
    <w:lvl w:ilvl="0">
      <w:start w:val="10"/>
      <w:numFmt w:val="decimal"/>
      <w:lvlText w:val="%1."/>
      <w:lvlJc w:val="left"/>
      <w:pPr>
        <w:tabs>
          <w:tab w:val="num" w:pos="630"/>
        </w:tabs>
        <w:ind w:left="630" w:hanging="630"/>
      </w:pPr>
      <w:rPr>
        <w:rFonts w:cs="Times New Roman" w:hint="default"/>
      </w:rPr>
    </w:lvl>
    <w:lvl w:ilvl="1">
      <w:start w:val="1"/>
      <w:numFmt w:val="decimal"/>
      <w:pStyle w:val="Char"/>
      <w:lvlText w:val="%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2358"/>
        </w:tabs>
        <w:ind w:left="2358" w:hanging="1080"/>
      </w:pPr>
      <w:rPr>
        <w:rFonts w:cs="Times New Roman" w:hint="default"/>
      </w:rPr>
    </w:lvl>
    <w:lvl w:ilvl="4">
      <w:start w:val="1"/>
      <w:numFmt w:val="decimal"/>
      <w:lvlText w:val="%1.%2.%3.%4.%5."/>
      <w:lvlJc w:val="left"/>
      <w:pPr>
        <w:tabs>
          <w:tab w:val="num" w:pos="3144"/>
        </w:tabs>
        <w:ind w:left="3144" w:hanging="1440"/>
      </w:pPr>
      <w:rPr>
        <w:rFonts w:cs="Times New Roman" w:hint="default"/>
      </w:rPr>
    </w:lvl>
    <w:lvl w:ilvl="5">
      <w:start w:val="1"/>
      <w:numFmt w:val="decimal"/>
      <w:lvlText w:val="%1.%2.%3.%4.%5.%6."/>
      <w:lvlJc w:val="left"/>
      <w:pPr>
        <w:tabs>
          <w:tab w:val="num" w:pos="3570"/>
        </w:tabs>
        <w:ind w:left="3570" w:hanging="1440"/>
      </w:pPr>
      <w:rPr>
        <w:rFonts w:cs="Times New Roman" w:hint="default"/>
      </w:rPr>
    </w:lvl>
    <w:lvl w:ilvl="6">
      <w:start w:val="1"/>
      <w:numFmt w:val="decimal"/>
      <w:lvlText w:val="%1.%2.%3.%4.%5.%6.%7."/>
      <w:lvlJc w:val="left"/>
      <w:pPr>
        <w:tabs>
          <w:tab w:val="num" w:pos="4356"/>
        </w:tabs>
        <w:ind w:left="4356" w:hanging="1800"/>
      </w:pPr>
      <w:rPr>
        <w:rFonts w:cs="Times New Roman" w:hint="default"/>
      </w:rPr>
    </w:lvl>
    <w:lvl w:ilvl="7">
      <w:start w:val="1"/>
      <w:numFmt w:val="decimal"/>
      <w:lvlText w:val="%1.%2.%3.%4.%5.%6.%7.%8."/>
      <w:lvlJc w:val="left"/>
      <w:pPr>
        <w:tabs>
          <w:tab w:val="num" w:pos="5142"/>
        </w:tabs>
        <w:ind w:left="5142" w:hanging="2160"/>
      </w:pPr>
      <w:rPr>
        <w:rFonts w:cs="Times New Roman" w:hint="default"/>
      </w:rPr>
    </w:lvl>
    <w:lvl w:ilvl="8">
      <w:start w:val="1"/>
      <w:numFmt w:val="decimal"/>
      <w:lvlText w:val="%1.%2.%3.%4.%5.%6.%7.%8.%9."/>
      <w:lvlJc w:val="left"/>
      <w:pPr>
        <w:tabs>
          <w:tab w:val="num" w:pos="5568"/>
        </w:tabs>
        <w:ind w:left="5568" w:hanging="2160"/>
      </w:pPr>
      <w:rPr>
        <w:rFonts w:cs="Times New Roman" w:hint="default"/>
      </w:rPr>
    </w:lvl>
  </w:abstractNum>
  <w:abstractNum w:abstractNumId="20" w15:restartNumberingAfterBreak="0">
    <w:nsid w:val="7C2F5AB2"/>
    <w:multiLevelType w:val="hybridMultilevel"/>
    <w:tmpl w:val="555E77DC"/>
    <w:lvl w:ilvl="0" w:tplc="041A0001">
      <w:start w:val="1"/>
      <w:numFmt w:val="bullet"/>
      <w:pStyle w:val="1SNaslovpoglavlja"/>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9"/>
  </w:num>
  <w:num w:numId="15">
    <w:abstractNumId w:val="10"/>
  </w:num>
  <w:num w:numId="16">
    <w:abstractNumId w:val="20"/>
  </w:num>
  <w:num w:numId="17">
    <w:abstractNumId w:val="11"/>
  </w:num>
  <w:num w:numId="18">
    <w:abstractNumId w:val="17"/>
  </w:num>
  <w:num w:numId="19">
    <w:abstractNumId w:val="13"/>
  </w:num>
  <w:num w:numId="20">
    <w:abstractNumId w:val="18"/>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mirrorMargin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6B1"/>
    <w:rsid w:val="00000239"/>
    <w:rsid w:val="000007CD"/>
    <w:rsid w:val="00000B57"/>
    <w:rsid w:val="00000B5A"/>
    <w:rsid w:val="00000EFF"/>
    <w:rsid w:val="0000139B"/>
    <w:rsid w:val="0000305D"/>
    <w:rsid w:val="000036D0"/>
    <w:rsid w:val="0000370D"/>
    <w:rsid w:val="00005E4C"/>
    <w:rsid w:val="00005EBD"/>
    <w:rsid w:val="000060CA"/>
    <w:rsid w:val="000067FE"/>
    <w:rsid w:val="00007964"/>
    <w:rsid w:val="00011E58"/>
    <w:rsid w:val="00013540"/>
    <w:rsid w:val="000142A1"/>
    <w:rsid w:val="00014A13"/>
    <w:rsid w:val="00014CFB"/>
    <w:rsid w:val="000154E0"/>
    <w:rsid w:val="0001591E"/>
    <w:rsid w:val="00016AE0"/>
    <w:rsid w:val="00016C3B"/>
    <w:rsid w:val="00017D66"/>
    <w:rsid w:val="00017DE1"/>
    <w:rsid w:val="00020947"/>
    <w:rsid w:val="00021C5E"/>
    <w:rsid w:val="00021D4F"/>
    <w:rsid w:val="000252C2"/>
    <w:rsid w:val="00025895"/>
    <w:rsid w:val="00025DEE"/>
    <w:rsid w:val="0002640B"/>
    <w:rsid w:val="000267DB"/>
    <w:rsid w:val="0003100F"/>
    <w:rsid w:val="00035634"/>
    <w:rsid w:val="00036C3B"/>
    <w:rsid w:val="000378D9"/>
    <w:rsid w:val="00037C47"/>
    <w:rsid w:val="000409B8"/>
    <w:rsid w:val="00040CE7"/>
    <w:rsid w:val="00040D8B"/>
    <w:rsid w:val="00041216"/>
    <w:rsid w:val="0004331D"/>
    <w:rsid w:val="00043AD5"/>
    <w:rsid w:val="00043D5C"/>
    <w:rsid w:val="00043F0B"/>
    <w:rsid w:val="00044793"/>
    <w:rsid w:val="0004664A"/>
    <w:rsid w:val="00046B75"/>
    <w:rsid w:val="00046EE6"/>
    <w:rsid w:val="000470F2"/>
    <w:rsid w:val="000508B0"/>
    <w:rsid w:val="00050C4E"/>
    <w:rsid w:val="00050ECF"/>
    <w:rsid w:val="00051F9F"/>
    <w:rsid w:val="00052193"/>
    <w:rsid w:val="00052457"/>
    <w:rsid w:val="000539C7"/>
    <w:rsid w:val="00055F21"/>
    <w:rsid w:val="0005782D"/>
    <w:rsid w:val="0006103C"/>
    <w:rsid w:val="00061595"/>
    <w:rsid w:val="0006382F"/>
    <w:rsid w:val="00064760"/>
    <w:rsid w:val="00065E8C"/>
    <w:rsid w:val="000705AC"/>
    <w:rsid w:val="000719BB"/>
    <w:rsid w:val="00072F89"/>
    <w:rsid w:val="000742A8"/>
    <w:rsid w:val="000751F5"/>
    <w:rsid w:val="000756A7"/>
    <w:rsid w:val="00075D5E"/>
    <w:rsid w:val="00076198"/>
    <w:rsid w:val="000774A9"/>
    <w:rsid w:val="00077D26"/>
    <w:rsid w:val="00081284"/>
    <w:rsid w:val="00081BE1"/>
    <w:rsid w:val="000828A0"/>
    <w:rsid w:val="000832A1"/>
    <w:rsid w:val="00083627"/>
    <w:rsid w:val="00083A38"/>
    <w:rsid w:val="00084AC1"/>
    <w:rsid w:val="00084EEA"/>
    <w:rsid w:val="000862E2"/>
    <w:rsid w:val="000876FD"/>
    <w:rsid w:val="000908BB"/>
    <w:rsid w:val="0009174F"/>
    <w:rsid w:val="000942AF"/>
    <w:rsid w:val="00095724"/>
    <w:rsid w:val="00096492"/>
    <w:rsid w:val="000A052A"/>
    <w:rsid w:val="000A0C06"/>
    <w:rsid w:val="000A17D9"/>
    <w:rsid w:val="000A244B"/>
    <w:rsid w:val="000A24AB"/>
    <w:rsid w:val="000A3281"/>
    <w:rsid w:val="000A376B"/>
    <w:rsid w:val="000A3BB5"/>
    <w:rsid w:val="000A50A8"/>
    <w:rsid w:val="000A7CBF"/>
    <w:rsid w:val="000B182D"/>
    <w:rsid w:val="000B588B"/>
    <w:rsid w:val="000B7B5F"/>
    <w:rsid w:val="000C064B"/>
    <w:rsid w:val="000C1983"/>
    <w:rsid w:val="000C2978"/>
    <w:rsid w:val="000C3B03"/>
    <w:rsid w:val="000C3B80"/>
    <w:rsid w:val="000C4035"/>
    <w:rsid w:val="000C41E6"/>
    <w:rsid w:val="000C78AC"/>
    <w:rsid w:val="000D2652"/>
    <w:rsid w:val="000D26B1"/>
    <w:rsid w:val="000D2AB9"/>
    <w:rsid w:val="000D339F"/>
    <w:rsid w:val="000D485F"/>
    <w:rsid w:val="000D4861"/>
    <w:rsid w:val="000D5E14"/>
    <w:rsid w:val="000D7E76"/>
    <w:rsid w:val="000E142B"/>
    <w:rsid w:val="000E1995"/>
    <w:rsid w:val="000E1C1B"/>
    <w:rsid w:val="000E3375"/>
    <w:rsid w:val="000E36A1"/>
    <w:rsid w:val="000E3929"/>
    <w:rsid w:val="000E5683"/>
    <w:rsid w:val="000E7499"/>
    <w:rsid w:val="000E7623"/>
    <w:rsid w:val="000E7C32"/>
    <w:rsid w:val="000F098A"/>
    <w:rsid w:val="000F117A"/>
    <w:rsid w:val="000F1ADA"/>
    <w:rsid w:val="000F4094"/>
    <w:rsid w:val="000F4334"/>
    <w:rsid w:val="000F4B66"/>
    <w:rsid w:val="000F5174"/>
    <w:rsid w:val="000F6F0F"/>
    <w:rsid w:val="000F6FCC"/>
    <w:rsid w:val="000F73D0"/>
    <w:rsid w:val="0010214A"/>
    <w:rsid w:val="0010283E"/>
    <w:rsid w:val="001062BC"/>
    <w:rsid w:val="00107057"/>
    <w:rsid w:val="00107A8C"/>
    <w:rsid w:val="0011023C"/>
    <w:rsid w:val="00113D37"/>
    <w:rsid w:val="00115F6E"/>
    <w:rsid w:val="001164C8"/>
    <w:rsid w:val="001164D6"/>
    <w:rsid w:val="0011761A"/>
    <w:rsid w:val="0011763E"/>
    <w:rsid w:val="00117C24"/>
    <w:rsid w:val="00120535"/>
    <w:rsid w:val="00121F48"/>
    <w:rsid w:val="00125C7D"/>
    <w:rsid w:val="00127CBB"/>
    <w:rsid w:val="001304A5"/>
    <w:rsid w:val="00131D86"/>
    <w:rsid w:val="00131EBF"/>
    <w:rsid w:val="00136DE9"/>
    <w:rsid w:val="00137513"/>
    <w:rsid w:val="00140EE6"/>
    <w:rsid w:val="00140F43"/>
    <w:rsid w:val="001410C3"/>
    <w:rsid w:val="001441D6"/>
    <w:rsid w:val="00144A3E"/>
    <w:rsid w:val="00145874"/>
    <w:rsid w:val="00146635"/>
    <w:rsid w:val="001503EF"/>
    <w:rsid w:val="0015158D"/>
    <w:rsid w:val="00152C70"/>
    <w:rsid w:val="0015418A"/>
    <w:rsid w:val="00155AD5"/>
    <w:rsid w:val="001602EE"/>
    <w:rsid w:val="001607C8"/>
    <w:rsid w:val="0016187F"/>
    <w:rsid w:val="00161A76"/>
    <w:rsid w:val="00161C13"/>
    <w:rsid w:val="00161FBF"/>
    <w:rsid w:val="001620F4"/>
    <w:rsid w:val="00162615"/>
    <w:rsid w:val="0016288C"/>
    <w:rsid w:val="00163275"/>
    <w:rsid w:val="00164ADB"/>
    <w:rsid w:val="00167CDA"/>
    <w:rsid w:val="00170473"/>
    <w:rsid w:val="0017164A"/>
    <w:rsid w:val="00172258"/>
    <w:rsid w:val="00172921"/>
    <w:rsid w:val="001739B7"/>
    <w:rsid w:val="0017582B"/>
    <w:rsid w:val="001758A4"/>
    <w:rsid w:val="00180C3E"/>
    <w:rsid w:val="00181018"/>
    <w:rsid w:val="00181160"/>
    <w:rsid w:val="0018135B"/>
    <w:rsid w:val="0018200A"/>
    <w:rsid w:val="00182F5D"/>
    <w:rsid w:val="0018358A"/>
    <w:rsid w:val="00184322"/>
    <w:rsid w:val="001879EA"/>
    <w:rsid w:val="00187DC6"/>
    <w:rsid w:val="00191EBF"/>
    <w:rsid w:val="00194C33"/>
    <w:rsid w:val="00195459"/>
    <w:rsid w:val="00195CFA"/>
    <w:rsid w:val="001A0135"/>
    <w:rsid w:val="001A0537"/>
    <w:rsid w:val="001A15F6"/>
    <w:rsid w:val="001A281D"/>
    <w:rsid w:val="001A2E9E"/>
    <w:rsid w:val="001A31D6"/>
    <w:rsid w:val="001A3988"/>
    <w:rsid w:val="001A4E89"/>
    <w:rsid w:val="001A6168"/>
    <w:rsid w:val="001A654E"/>
    <w:rsid w:val="001A6A17"/>
    <w:rsid w:val="001A7792"/>
    <w:rsid w:val="001A79E6"/>
    <w:rsid w:val="001B19EE"/>
    <w:rsid w:val="001B2186"/>
    <w:rsid w:val="001B2F73"/>
    <w:rsid w:val="001B41B8"/>
    <w:rsid w:val="001B5D96"/>
    <w:rsid w:val="001B64F6"/>
    <w:rsid w:val="001B77D9"/>
    <w:rsid w:val="001C054D"/>
    <w:rsid w:val="001C23BB"/>
    <w:rsid w:val="001C4538"/>
    <w:rsid w:val="001C4E63"/>
    <w:rsid w:val="001C62B5"/>
    <w:rsid w:val="001D2136"/>
    <w:rsid w:val="001D37B1"/>
    <w:rsid w:val="001D42DA"/>
    <w:rsid w:val="001D489A"/>
    <w:rsid w:val="001D4D67"/>
    <w:rsid w:val="001D5209"/>
    <w:rsid w:val="001D5335"/>
    <w:rsid w:val="001D69E6"/>
    <w:rsid w:val="001D7E86"/>
    <w:rsid w:val="001E1A25"/>
    <w:rsid w:val="001E2A22"/>
    <w:rsid w:val="001E3C2C"/>
    <w:rsid w:val="001E4C10"/>
    <w:rsid w:val="001E4D8C"/>
    <w:rsid w:val="001E5913"/>
    <w:rsid w:val="001F0F4E"/>
    <w:rsid w:val="001F16BF"/>
    <w:rsid w:val="001F54AA"/>
    <w:rsid w:val="001F5D85"/>
    <w:rsid w:val="0020024C"/>
    <w:rsid w:val="0020051C"/>
    <w:rsid w:val="00203391"/>
    <w:rsid w:val="0020341B"/>
    <w:rsid w:val="00203553"/>
    <w:rsid w:val="00207C12"/>
    <w:rsid w:val="00210333"/>
    <w:rsid w:val="00210473"/>
    <w:rsid w:val="002106CB"/>
    <w:rsid w:val="00211171"/>
    <w:rsid w:val="00211AAE"/>
    <w:rsid w:val="002125D2"/>
    <w:rsid w:val="00212DE8"/>
    <w:rsid w:val="00212F75"/>
    <w:rsid w:val="0021373E"/>
    <w:rsid w:val="00217287"/>
    <w:rsid w:val="00222025"/>
    <w:rsid w:val="00223F52"/>
    <w:rsid w:val="0022633C"/>
    <w:rsid w:val="002268E5"/>
    <w:rsid w:val="0022718F"/>
    <w:rsid w:val="00227DEE"/>
    <w:rsid w:val="00230369"/>
    <w:rsid w:val="00233AC6"/>
    <w:rsid w:val="00235578"/>
    <w:rsid w:val="00235B0B"/>
    <w:rsid w:val="00237DB4"/>
    <w:rsid w:val="00240D1C"/>
    <w:rsid w:val="002411F8"/>
    <w:rsid w:val="00241465"/>
    <w:rsid w:val="00242207"/>
    <w:rsid w:val="0024391A"/>
    <w:rsid w:val="00247151"/>
    <w:rsid w:val="00251EE2"/>
    <w:rsid w:val="002525B1"/>
    <w:rsid w:val="002549E1"/>
    <w:rsid w:val="002567AF"/>
    <w:rsid w:val="00257316"/>
    <w:rsid w:val="00257800"/>
    <w:rsid w:val="00257AF4"/>
    <w:rsid w:val="00257F08"/>
    <w:rsid w:val="00261DA4"/>
    <w:rsid w:val="002622E1"/>
    <w:rsid w:val="0027021B"/>
    <w:rsid w:val="00270813"/>
    <w:rsid w:val="002732F1"/>
    <w:rsid w:val="00273A9B"/>
    <w:rsid w:val="00273BB8"/>
    <w:rsid w:val="00273F46"/>
    <w:rsid w:val="00275358"/>
    <w:rsid w:val="002756E2"/>
    <w:rsid w:val="00275D14"/>
    <w:rsid w:val="00275D2C"/>
    <w:rsid w:val="0027799C"/>
    <w:rsid w:val="00277ACE"/>
    <w:rsid w:val="00280056"/>
    <w:rsid w:val="00281097"/>
    <w:rsid w:val="00284338"/>
    <w:rsid w:val="0028501A"/>
    <w:rsid w:val="00285DF2"/>
    <w:rsid w:val="00286347"/>
    <w:rsid w:val="00286A4C"/>
    <w:rsid w:val="0029032D"/>
    <w:rsid w:val="00290525"/>
    <w:rsid w:val="00292C99"/>
    <w:rsid w:val="002A265B"/>
    <w:rsid w:val="002A2B5C"/>
    <w:rsid w:val="002A38AE"/>
    <w:rsid w:val="002A38DD"/>
    <w:rsid w:val="002A3D89"/>
    <w:rsid w:val="002A4A4E"/>
    <w:rsid w:val="002A78DB"/>
    <w:rsid w:val="002B094A"/>
    <w:rsid w:val="002B0D0C"/>
    <w:rsid w:val="002B1E33"/>
    <w:rsid w:val="002B26DD"/>
    <w:rsid w:val="002B3FDF"/>
    <w:rsid w:val="002B46DF"/>
    <w:rsid w:val="002C1FE8"/>
    <w:rsid w:val="002C5795"/>
    <w:rsid w:val="002D3C73"/>
    <w:rsid w:val="002D407D"/>
    <w:rsid w:val="002D4D2F"/>
    <w:rsid w:val="002D4D4C"/>
    <w:rsid w:val="002D5C0E"/>
    <w:rsid w:val="002D725D"/>
    <w:rsid w:val="002E048C"/>
    <w:rsid w:val="002E09A0"/>
    <w:rsid w:val="002E15AA"/>
    <w:rsid w:val="002E3B8A"/>
    <w:rsid w:val="002E4F4D"/>
    <w:rsid w:val="002E528E"/>
    <w:rsid w:val="002E7016"/>
    <w:rsid w:val="002E73CE"/>
    <w:rsid w:val="002E77F1"/>
    <w:rsid w:val="002F0595"/>
    <w:rsid w:val="002F082B"/>
    <w:rsid w:val="002F14E4"/>
    <w:rsid w:val="002F14ED"/>
    <w:rsid w:val="002F158E"/>
    <w:rsid w:val="002F1A8A"/>
    <w:rsid w:val="002F4E31"/>
    <w:rsid w:val="002F5077"/>
    <w:rsid w:val="002F5CDD"/>
    <w:rsid w:val="002F621B"/>
    <w:rsid w:val="002F6D38"/>
    <w:rsid w:val="00300CC5"/>
    <w:rsid w:val="0030334B"/>
    <w:rsid w:val="00303BB5"/>
    <w:rsid w:val="00304A50"/>
    <w:rsid w:val="003065A2"/>
    <w:rsid w:val="003070C5"/>
    <w:rsid w:val="00313DDE"/>
    <w:rsid w:val="00314955"/>
    <w:rsid w:val="00315655"/>
    <w:rsid w:val="00315B58"/>
    <w:rsid w:val="00316121"/>
    <w:rsid w:val="00316F59"/>
    <w:rsid w:val="00317733"/>
    <w:rsid w:val="00317BE2"/>
    <w:rsid w:val="00317D83"/>
    <w:rsid w:val="00320B92"/>
    <w:rsid w:val="00321DE0"/>
    <w:rsid w:val="00322813"/>
    <w:rsid w:val="003239ED"/>
    <w:rsid w:val="0032577F"/>
    <w:rsid w:val="00325B4C"/>
    <w:rsid w:val="00327ABE"/>
    <w:rsid w:val="0033071E"/>
    <w:rsid w:val="00334541"/>
    <w:rsid w:val="00335BFD"/>
    <w:rsid w:val="003371CA"/>
    <w:rsid w:val="003372E0"/>
    <w:rsid w:val="003401CF"/>
    <w:rsid w:val="00340DC5"/>
    <w:rsid w:val="0034133F"/>
    <w:rsid w:val="0034318E"/>
    <w:rsid w:val="003443F3"/>
    <w:rsid w:val="00344597"/>
    <w:rsid w:val="00345E83"/>
    <w:rsid w:val="00347DEA"/>
    <w:rsid w:val="00347F48"/>
    <w:rsid w:val="00351F0D"/>
    <w:rsid w:val="0035214A"/>
    <w:rsid w:val="00353880"/>
    <w:rsid w:val="0035796B"/>
    <w:rsid w:val="0036135E"/>
    <w:rsid w:val="00361504"/>
    <w:rsid w:val="0036152F"/>
    <w:rsid w:val="00363BB6"/>
    <w:rsid w:val="00364EF9"/>
    <w:rsid w:val="00365092"/>
    <w:rsid w:val="00366265"/>
    <w:rsid w:val="00366DE6"/>
    <w:rsid w:val="00367833"/>
    <w:rsid w:val="0037024D"/>
    <w:rsid w:val="00374DD6"/>
    <w:rsid w:val="003767FA"/>
    <w:rsid w:val="00376C0D"/>
    <w:rsid w:val="0037715A"/>
    <w:rsid w:val="00377CD2"/>
    <w:rsid w:val="00381115"/>
    <w:rsid w:val="0038233F"/>
    <w:rsid w:val="003825EB"/>
    <w:rsid w:val="00382EDE"/>
    <w:rsid w:val="00386132"/>
    <w:rsid w:val="00386282"/>
    <w:rsid w:val="0038701B"/>
    <w:rsid w:val="003876EB"/>
    <w:rsid w:val="00387AD9"/>
    <w:rsid w:val="00390232"/>
    <w:rsid w:val="0039059D"/>
    <w:rsid w:val="00390937"/>
    <w:rsid w:val="00390D88"/>
    <w:rsid w:val="00391CFB"/>
    <w:rsid w:val="0039241D"/>
    <w:rsid w:val="003931DE"/>
    <w:rsid w:val="00395F08"/>
    <w:rsid w:val="003974F3"/>
    <w:rsid w:val="003A229B"/>
    <w:rsid w:val="003A331A"/>
    <w:rsid w:val="003A4075"/>
    <w:rsid w:val="003A5B4C"/>
    <w:rsid w:val="003A61E5"/>
    <w:rsid w:val="003A6559"/>
    <w:rsid w:val="003A781A"/>
    <w:rsid w:val="003B2B03"/>
    <w:rsid w:val="003B3C0F"/>
    <w:rsid w:val="003B3F8F"/>
    <w:rsid w:val="003B5724"/>
    <w:rsid w:val="003B5FB8"/>
    <w:rsid w:val="003B73B9"/>
    <w:rsid w:val="003B73F2"/>
    <w:rsid w:val="003C7F85"/>
    <w:rsid w:val="003D07BE"/>
    <w:rsid w:val="003D0E53"/>
    <w:rsid w:val="003D0FC1"/>
    <w:rsid w:val="003D27D4"/>
    <w:rsid w:val="003D2B16"/>
    <w:rsid w:val="003D3B8A"/>
    <w:rsid w:val="003D3C46"/>
    <w:rsid w:val="003D5316"/>
    <w:rsid w:val="003E04D1"/>
    <w:rsid w:val="003E06D6"/>
    <w:rsid w:val="003E2264"/>
    <w:rsid w:val="003E3E25"/>
    <w:rsid w:val="003E43C4"/>
    <w:rsid w:val="003E4F46"/>
    <w:rsid w:val="003E572B"/>
    <w:rsid w:val="003E60C2"/>
    <w:rsid w:val="003E72E0"/>
    <w:rsid w:val="003E7651"/>
    <w:rsid w:val="003F1A74"/>
    <w:rsid w:val="003F411F"/>
    <w:rsid w:val="003F44CC"/>
    <w:rsid w:val="003F4D93"/>
    <w:rsid w:val="003F7071"/>
    <w:rsid w:val="003F70D3"/>
    <w:rsid w:val="004034AD"/>
    <w:rsid w:val="004049FA"/>
    <w:rsid w:val="004063C0"/>
    <w:rsid w:val="004105E4"/>
    <w:rsid w:val="00411600"/>
    <w:rsid w:val="00414346"/>
    <w:rsid w:val="00415CB4"/>
    <w:rsid w:val="00415FDB"/>
    <w:rsid w:val="00416789"/>
    <w:rsid w:val="00417553"/>
    <w:rsid w:val="00420B45"/>
    <w:rsid w:val="004210BF"/>
    <w:rsid w:val="00421924"/>
    <w:rsid w:val="004232FC"/>
    <w:rsid w:val="00423C85"/>
    <w:rsid w:val="004241E1"/>
    <w:rsid w:val="0042499C"/>
    <w:rsid w:val="0042727A"/>
    <w:rsid w:val="00430EF3"/>
    <w:rsid w:val="00431122"/>
    <w:rsid w:val="004320B3"/>
    <w:rsid w:val="00436AA4"/>
    <w:rsid w:val="00436BEE"/>
    <w:rsid w:val="00436D76"/>
    <w:rsid w:val="00436F15"/>
    <w:rsid w:val="00437A39"/>
    <w:rsid w:val="00437FE5"/>
    <w:rsid w:val="00443C98"/>
    <w:rsid w:val="004452AA"/>
    <w:rsid w:val="00447767"/>
    <w:rsid w:val="00457173"/>
    <w:rsid w:val="004572EC"/>
    <w:rsid w:val="00457762"/>
    <w:rsid w:val="004615C2"/>
    <w:rsid w:val="00461CD6"/>
    <w:rsid w:val="004643C0"/>
    <w:rsid w:val="00466B77"/>
    <w:rsid w:val="00466BA9"/>
    <w:rsid w:val="00467A03"/>
    <w:rsid w:val="00473177"/>
    <w:rsid w:val="0047405E"/>
    <w:rsid w:val="00474A1C"/>
    <w:rsid w:val="004759A3"/>
    <w:rsid w:val="00476F1B"/>
    <w:rsid w:val="00477ECE"/>
    <w:rsid w:val="004818F3"/>
    <w:rsid w:val="00481E55"/>
    <w:rsid w:val="0048203D"/>
    <w:rsid w:val="004821A0"/>
    <w:rsid w:val="00483F55"/>
    <w:rsid w:val="0048436A"/>
    <w:rsid w:val="00484988"/>
    <w:rsid w:val="00484BE7"/>
    <w:rsid w:val="00486100"/>
    <w:rsid w:val="00491008"/>
    <w:rsid w:val="00491A5B"/>
    <w:rsid w:val="004924BC"/>
    <w:rsid w:val="00492E9B"/>
    <w:rsid w:val="00493A58"/>
    <w:rsid w:val="00495FBD"/>
    <w:rsid w:val="004965AB"/>
    <w:rsid w:val="00497C7F"/>
    <w:rsid w:val="004A0E6A"/>
    <w:rsid w:val="004A2904"/>
    <w:rsid w:val="004A2F89"/>
    <w:rsid w:val="004A3EAC"/>
    <w:rsid w:val="004A501E"/>
    <w:rsid w:val="004A58A7"/>
    <w:rsid w:val="004A6860"/>
    <w:rsid w:val="004A6B05"/>
    <w:rsid w:val="004B2647"/>
    <w:rsid w:val="004B618E"/>
    <w:rsid w:val="004B6D9D"/>
    <w:rsid w:val="004C053A"/>
    <w:rsid w:val="004C0A34"/>
    <w:rsid w:val="004C0F27"/>
    <w:rsid w:val="004C2E3C"/>
    <w:rsid w:val="004C3C57"/>
    <w:rsid w:val="004C520E"/>
    <w:rsid w:val="004C57BB"/>
    <w:rsid w:val="004C78F9"/>
    <w:rsid w:val="004C7B76"/>
    <w:rsid w:val="004C7F78"/>
    <w:rsid w:val="004D0280"/>
    <w:rsid w:val="004D02A3"/>
    <w:rsid w:val="004D10A5"/>
    <w:rsid w:val="004D1669"/>
    <w:rsid w:val="004D1A66"/>
    <w:rsid w:val="004D35CD"/>
    <w:rsid w:val="004D3B41"/>
    <w:rsid w:val="004D77E4"/>
    <w:rsid w:val="004E0136"/>
    <w:rsid w:val="004E1AF0"/>
    <w:rsid w:val="004E58BD"/>
    <w:rsid w:val="004F0053"/>
    <w:rsid w:val="004F1DF7"/>
    <w:rsid w:val="004F2891"/>
    <w:rsid w:val="004F37D4"/>
    <w:rsid w:val="004F53C0"/>
    <w:rsid w:val="004F550D"/>
    <w:rsid w:val="00503045"/>
    <w:rsid w:val="00503DCD"/>
    <w:rsid w:val="00504C7C"/>
    <w:rsid w:val="00505729"/>
    <w:rsid w:val="00505E5A"/>
    <w:rsid w:val="005061F0"/>
    <w:rsid w:val="005108E4"/>
    <w:rsid w:val="00510F1C"/>
    <w:rsid w:val="0051238C"/>
    <w:rsid w:val="00513EBF"/>
    <w:rsid w:val="00514102"/>
    <w:rsid w:val="00515354"/>
    <w:rsid w:val="005165EC"/>
    <w:rsid w:val="0051681A"/>
    <w:rsid w:val="00517590"/>
    <w:rsid w:val="00520B54"/>
    <w:rsid w:val="00520D13"/>
    <w:rsid w:val="00520EBE"/>
    <w:rsid w:val="00522CB2"/>
    <w:rsid w:val="00522E63"/>
    <w:rsid w:val="00522E77"/>
    <w:rsid w:val="0052541F"/>
    <w:rsid w:val="00526192"/>
    <w:rsid w:val="00530412"/>
    <w:rsid w:val="00532385"/>
    <w:rsid w:val="005332F0"/>
    <w:rsid w:val="00534DEB"/>
    <w:rsid w:val="005365C9"/>
    <w:rsid w:val="00541E84"/>
    <w:rsid w:val="0054376D"/>
    <w:rsid w:val="00543EE7"/>
    <w:rsid w:val="00544B22"/>
    <w:rsid w:val="0054659B"/>
    <w:rsid w:val="00550EF3"/>
    <w:rsid w:val="00551AEB"/>
    <w:rsid w:val="00552C57"/>
    <w:rsid w:val="00552F57"/>
    <w:rsid w:val="00553638"/>
    <w:rsid w:val="00553789"/>
    <w:rsid w:val="00553B8E"/>
    <w:rsid w:val="00554442"/>
    <w:rsid w:val="00554D3C"/>
    <w:rsid w:val="0055633D"/>
    <w:rsid w:val="00557164"/>
    <w:rsid w:val="0055737D"/>
    <w:rsid w:val="0055757F"/>
    <w:rsid w:val="00561678"/>
    <w:rsid w:val="00563017"/>
    <w:rsid w:val="00564CFC"/>
    <w:rsid w:val="00566D68"/>
    <w:rsid w:val="00566D8B"/>
    <w:rsid w:val="0056726D"/>
    <w:rsid w:val="005715FA"/>
    <w:rsid w:val="005723CB"/>
    <w:rsid w:val="00572B46"/>
    <w:rsid w:val="005766C8"/>
    <w:rsid w:val="00576FFF"/>
    <w:rsid w:val="005809CA"/>
    <w:rsid w:val="00580A30"/>
    <w:rsid w:val="00580B9B"/>
    <w:rsid w:val="00581472"/>
    <w:rsid w:val="005816AC"/>
    <w:rsid w:val="005822E0"/>
    <w:rsid w:val="005824AF"/>
    <w:rsid w:val="00584836"/>
    <w:rsid w:val="00584ED8"/>
    <w:rsid w:val="0058532F"/>
    <w:rsid w:val="00585BC7"/>
    <w:rsid w:val="00585D3E"/>
    <w:rsid w:val="005861A1"/>
    <w:rsid w:val="0059142E"/>
    <w:rsid w:val="00592026"/>
    <w:rsid w:val="00592297"/>
    <w:rsid w:val="0059311A"/>
    <w:rsid w:val="005937E0"/>
    <w:rsid w:val="00594457"/>
    <w:rsid w:val="00596E12"/>
    <w:rsid w:val="005973D4"/>
    <w:rsid w:val="005A380B"/>
    <w:rsid w:val="005A3E67"/>
    <w:rsid w:val="005A6BC1"/>
    <w:rsid w:val="005A7DB8"/>
    <w:rsid w:val="005B343D"/>
    <w:rsid w:val="005B6078"/>
    <w:rsid w:val="005B7D2D"/>
    <w:rsid w:val="005C142B"/>
    <w:rsid w:val="005C1812"/>
    <w:rsid w:val="005C2224"/>
    <w:rsid w:val="005C306C"/>
    <w:rsid w:val="005C4B60"/>
    <w:rsid w:val="005C543C"/>
    <w:rsid w:val="005C6F9A"/>
    <w:rsid w:val="005D002E"/>
    <w:rsid w:val="005D0341"/>
    <w:rsid w:val="005D03FF"/>
    <w:rsid w:val="005D04FB"/>
    <w:rsid w:val="005D2371"/>
    <w:rsid w:val="005D2544"/>
    <w:rsid w:val="005D2779"/>
    <w:rsid w:val="005D41FF"/>
    <w:rsid w:val="005D4326"/>
    <w:rsid w:val="005D7067"/>
    <w:rsid w:val="005E20BC"/>
    <w:rsid w:val="005E2929"/>
    <w:rsid w:val="005E46D8"/>
    <w:rsid w:val="005E4798"/>
    <w:rsid w:val="005F41BA"/>
    <w:rsid w:val="005F5F76"/>
    <w:rsid w:val="005F61ED"/>
    <w:rsid w:val="005F75E2"/>
    <w:rsid w:val="00600150"/>
    <w:rsid w:val="00600472"/>
    <w:rsid w:val="0060048F"/>
    <w:rsid w:val="00600C7A"/>
    <w:rsid w:val="00600E1B"/>
    <w:rsid w:val="00601AC2"/>
    <w:rsid w:val="00602135"/>
    <w:rsid w:val="006035E5"/>
    <w:rsid w:val="00603664"/>
    <w:rsid w:val="006036CF"/>
    <w:rsid w:val="00603A8E"/>
    <w:rsid w:val="00603E09"/>
    <w:rsid w:val="00604213"/>
    <w:rsid w:val="006051A5"/>
    <w:rsid w:val="00605E63"/>
    <w:rsid w:val="00607686"/>
    <w:rsid w:val="006079FC"/>
    <w:rsid w:val="0061040C"/>
    <w:rsid w:val="006104AE"/>
    <w:rsid w:val="00613BF5"/>
    <w:rsid w:val="00614055"/>
    <w:rsid w:val="006141F0"/>
    <w:rsid w:val="0061428D"/>
    <w:rsid w:val="0061599E"/>
    <w:rsid w:val="00616163"/>
    <w:rsid w:val="0061794B"/>
    <w:rsid w:val="00622E4D"/>
    <w:rsid w:val="0062416E"/>
    <w:rsid w:val="00624497"/>
    <w:rsid w:val="00625615"/>
    <w:rsid w:val="006257A8"/>
    <w:rsid w:val="00626406"/>
    <w:rsid w:val="0062796F"/>
    <w:rsid w:val="00627DD1"/>
    <w:rsid w:val="00630041"/>
    <w:rsid w:val="00632ADA"/>
    <w:rsid w:val="00632F82"/>
    <w:rsid w:val="006334B5"/>
    <w:rsid w:val="006335A5"/>
    <w:rsid w:val="00634DA8"/>
    <w:rsid w:val="006350E4"/>
    <w:rsid w:val="00635157"/>
    <w:rsid w:val="00635B36"/>
    <w:rsid w:val="00635BC9"/>
    <w:rsid w:val="006362DE"/>
    <w:rsid w:val="0063646C"/>
    <w:rsid w:val="00636D2B"/>
    <w:rsid w:val="006377FE"/>
    <w:rsid w:val="006415CB"/>
    <w:rsid w:val="00641DBC"/>
    <w:rsid w:val="00642E01"/>
    <w:rsid w:val="00644235"/>
    <w:rsid w:val="006466C8"/>
    <w:rsid w:val="006500E6"/>
    <w:rsid w:val="00651F55"/>
    <w:rsid w:val="00653318"/>
    <w:rsid w:val="00653E39"/>
    <w:rsid w:val="00656884"/>
    <w:rsid w:val="00657058"/>
    <w:rsid w:val="0065790F"/>
    <w:rsid w:val="00664E4F"/>
    <w:rsid w:val="00665077"/>
    <w:rsid w:val="00665E47"/>
    <w:rsid w:val="00666C50"/>
    <w:rsid w:val="006675D0"/>
    <w:rsid w:val="006702EE"/>
    <w:rsid w:val="006721EE"/>
    <w:rsid w:val="0067253F"/>
    <w:rsid w:val="00674AE9"/>
    <w:rsid w:val="00674FEE"/>
    <w:rsid w:val="00675A6D"/>
    <w:rsid w:val="00675DA1"/>
    <w:rsid w:val="006765A9"/>
    <w:rsid w:val="00677505"/>
    <w:rsid w:val="0068053B"/>
    <w:rsid w:val="00680E5E"/>
    <w:rsid w:val="00681014"/>
    <w:rsid w:val="006813B6"/>
    <w:rsid w:val="00683D28"/>
    <w:rsid w:val="00684A9B"/>
    <w:rsid w:val="00685056"/>
    <w:rsid w:val="006854F4"/>
    <w:rsid w:val="00685887"/>
    <w:rsid w:val="006865DB"/>
    <w:rsid w:val="006876A3"/>
    <w:rsid w:val="006911C8"/>
    <w:rsid w:val="006937F3"/>
    <w:rsid w:val="006938E5"/>
    <w:rsid w:val="00693D1B"/>
    <w:rsid w:val="006948D0"/>
    <w:rsid w:val="00695241"/>
    <w:rsid w:val="006966D9"/>
    <w:rsid w:val="00696F85"/>
    <w:rsid w:val="006A3268"/>
    <w:rsid w:val="006A3A18"/>
    <w:rsid w:val="006A3F12"/>
    <w:rsid w:val="006A48AB"/>
    <w:rsid w:val="006A48CA"/>
    <w:rsid w:val="006A5951"/>
    <w:rsid w:val="006A60D8"/>
    <w:rsid w:val="006A75DA"/>
    <w:rsid w:val="006A7C1A"/>
    <w:rsid w:val="006B0AEC"/>
    <w:rsid w:val="006B1F26"/>
    <w:rsid w:val="006B2BE3"/>
    <w:rsid w:val="006B3708"/>
    <w:rsid w:val="006B3908"/>
    <w:rsid w:val="006B4531"/>
    <w:rsid w:val="006B5A4E"/>
    <w:rsid w:val="006B7D8E"/>
    <w:rsid w:val="006B7E2D"/>
    <w:rsid w:val="006C17EC"/>
    <w:rsid w:val="006C3D67"/>
    <w:rsid w:val="006C47A8"/>
    <w:rsid w:val="006C497D"/>
    <w:rsid w:val="006C4A37"/>
    <w:rsid w:val="006C5823"/>
    <w:rsid w:val="006C78B7"/>
    <w:rsid w:val="006D1235"/>
    <w:rsid w:val="006D1459"/>
    <w:rsid w:val="006D2334"/>
    <w:rsid w:val="006D2F6A"/>
    <w:rsid w:val="006D524D"/>
    <w:rsid w:val="006D5491"/>
    <w:rsid w:val="006D5A76"/>
    <w:rsid w:val="006D75E1"/>
    <w:rsid w:val="006E1ADB"/>
    <w:rsid w:val="006E2C34"/>
    <w:rsid w:val="006E53D8"/>
    <w:rsid w:val="006F0DBB"/>
    <w:rsid w:val="006F69F9"/>
    <w:rsid w:val="006F70AF"/>
    <w:rsid w:val="006F7EAC"/>
    <w:rsid w:val="00700071"/>
    <w:rsid w:val="00701EC3"/>
    <w:rsid w:val="007024FB"/>
    <w:rsid w:val="007035BC"/>
    <w:rsid w:val="0070387F"/>
    <w:rsid w:val="00706CE6"/>
    <w:rsid w:val="00707842"/>
    <w:rsid w:val="00707E55"/>
    <w:rsid w:val="0071128F"/>
    <w:rsid w:val="00712622"/>
    <w:rsid w:val="007136D7"/>
    <w:rsid w:val="00713A66"/>
    <w:rsid w:val="00713C0F"/>
    <w:rsid w:val="00714350"/>
    <w:rsid w:val="00715CC3"/>
    <w:rsid w:val="007161B3"/>
    <w:rsid w:val="007202BD"/>
    <w:rsid w:val="007209DF"/>
    <w:rsid w:val="00720D5C"/>
    <w:rsid w:val="007220ED"/>
    <w:rsid w:val="00725AA8"/>
    <w:rsid w:val="00727A03"/>
    <w:rsid w:val="00731AE0"/>
    <w:rsid w:val="007351B5"/>
    <w:rsid w:val="0073610F"/>
    <w:rsid w:val="00736EFF"/>
    <w:rsid w:val="0073745F"/>
    <w:rsid w:val="00737A90"/>
    <w:rsid w:val="00740792"/>
    <w:rsid w:val="00740CA9"/>
    <w:rsid w:val="00740F53"/>
    <w:rsid w:val="0074155B"/>
    <w:rsid w:val="00743F1D"/>
    <w:rsid w:val="00744E13"/>
    <w:rsid w:val="00745CCD"/>
    <w:rsid w:val="00746B82"/>
    <w:rsid w:val="00746BB8"/>
    <w:rsid w:val="00746FFF"/>
    <w:rsid w:val="00751457"/>
    <w:rsid w:val="0075160D"/>
    <w:rsid w:val="00751B2F"/>
    <w:rsid w:val="00752482"/>
    <w:rsid w:val="00752ED6"/>
    <w:rsid w:val="007533B0"/>
    <w:rsid w:val="007538A9"/>
    <w:rsid w:val="00754322"/>
    <w:rsid w:val="00754B59"/>
    <w:rsid w:val="00755BB7"/>
    <w:rsid w:val="00756F23"/>
    <w:rsid w:val="007601A7"/>
    <w:rsid w:val="00761D90"/>
    <w:rsid w:val="00762A44"/>
    <w:rsid w:val="00763B3E"/>
    <w:rsid w:val="00764DBC"/>
    <w:rsid w:val="00764FAA"/>
    <w:rsid w:val="00766220"/>
    <w:rsid w:val="00766A74"/>
    <w:rsid w:val="00766EC5"/>
    <w:rsid w:val="00771BB9"/>
    <w:rsid w:val="007725B5"/>
    <w:rsid w:val="00772BC3"/>
    <w:rsid w:val="0077409A"/>
    <w:rsid w:val="00774250"/>
    <w:rsid w:val="007746EC"/>
    <w:rsid w:val="0077544F"/>
    <w:rsid w:val="00775E76"/>
    <w:rsid w:val="007761A9"/>
    <w:rsid w:val="00776774"/>
    <w:rsid w:val="00776911"/>
    <w:rsid w:val="0077779D"/>
    <w:rsid w:val="0078214E"/>
    <w:rsid w:val="00782563"/>
    <w:rsid w:val="00782A37"/>
    <w:rsid w:val="007834F8"/>
    <w:rsid w:val="007862C4"/>
    <w:rsid w:val="00787573"/>
    <w:rsid w:val="00791745"/>
    <w:rsid w:val="00791829"/>
    <w:rsid w:val="00792397"/>
    <w:rsid w:val="007928E7"/>
    <w:rsid w:val="00793E25"/>
    <w:rsid w:val="007942BF"/>
    <w:rsid w:val="00794935"/>
    <w:rsid w:val="0079585D"/>
    <w:rsid w:val="00795FB8"/>
    <w:rsid w:val="007969CA"/>
    <w:rsid w:val="00796C9A"/>
    <w:rsid w:val="007A25BB"/>
    <w:rsid w:val="007A579C"/>
    <w:rsid w:val="007A6EEC"/>
    <w:rsid w:val="007A71CE"/>
    <w:rsid w:val="007B0773"/>
    <w:rsid w:val="007B1A5D"/>
    <w:rsid w:val="007B1FFB"/>
    <w:rsid w:val="007B2639"/>
    <w:rsid w:val="007B282D"/>
    <w:rsid w:val="007B385F"/>
    <w:rsid w:val="007B50EF"/>
    <w:rsid w:val="007B6636"/>
    <w:rsid w:val="007B7301"/>
    <w:rsid w:val="007B75C1"/>
    <w:rsid w:val="007C31C5"/>
    <w:rsid w:val="007C6C5A"/>
    <w:rsid w:val="007D2964"/>
    <w:rsid w:val="007D436A"/>
    <w:rsid w:val="007D5A6F"/>
    <w:rsid w:val="007D5AA2"/>
    <w:rsid w:val="007D67AD"/>
    <w:rsid w:val="007D67BF"/>
    <w:rsid w:val="007D74A1"/>
    <w:rsid w:val="007E56C4"/>
    <w:rsid w:val="007E6911"/>
    <w:rsid w:val="007E7D5D"/>
    <w:rsid w:val="007F0405"/>
    <w:rsid w:val="007F0560"/>
    <w:rsid w:val="007F126F"/>
    <w:rsid w:val="007F4241"/>
    <w:rsid w:val="007F48CA"/>
    <w:rsid w:val="007F4DD4"/>
    <w:rsid w:val="007F560D"/>
    <w:rsid w:val="00801440"/>
    <w:rsid w:val="00802D50"/>
    <w:rsid w:val="008030C9"/>
    <w:rsid w:val="008053DC"/>
    <w:rsid w:val="00805792"/>
    <w:rsid w:val="00805F4B"/>
    <w:rsid w:val="00805FE5"/>
    <w:rsid w:val="00806112"/>
    <w:rsid w:val="00811E8C"/>
    <w:rsid w:val="00811FC6"/>
    <w:rsid w:val="00814323"/>
    <w:rsid w:val="00814D94"/>
    <w:rsid w:val="00815F25"/>
    <w:rsid w:val="0081653C"/>
    <w:rsid w:val="0081672A"/>
    <w:rsid w:val="00820452"/>
    <w:rsid w:val="008212CC"/>
    <w:rsid w:val="00821F0E"/>
    <w:rsid w:val="00821FE9"/>
    <w:rsid w:val="00824554"/>
    <w:rsid w:val="008255DA"/>
    <w:rsid w:val="008262EB"/>
    <w:rsid w:val="00826346"/>
    <w:rsid w:val="00826665"/>
    <w:rsid w:val="00826B2C"/>
    <w:rsid w:val="00827D55"/>
    <w:rsid w:val="00830C7A"/>
    <w:rsid w:val="00831F47"/>
    <w:rsid w:val="00832632"/>
    <w:rsid w:val="00833047"/>
    <w:rsid w:val="0083664E"/>
    <w:rsid w:val="00837190"/>
    <w:rsid w:val="008408C2"/>
    <w:rsid w:val="00840BC8"/>
    <w:rsid w:val="008415C7"/>
    <w:rsid w:val="008438ED"/>
    <w:rsid w:val="0084414B"/>
    <w:rsid w:val="00845028"/>
    <w:rsid w:val="00845A65"/>
    <w:rsid w:val="00846589"/>
    <w:rsid w:val="00851B4C"/>
    <w:rsid w:val="00852816"/>
    <w:rsid w:val="00854223"/>
    <w:rsid w:val="0086046D"/>
    <w:rsid w:val="00861247"/>
    <w:rsid w:val="00861956"/>
    <w:rsid w:val="008643CD"/>
    <w:rsid w:val="00864B2D"/>
    <w:rsid w:val="00864E21"/>
    <w:rsid w:val="008669FF"/>
    <w:rsid w:val="00867A86"/>
    <w:rsid w:val="008715B3"/>
    <w:rsid w:val="008722A4"/>
    <w:rsid w:val="00872864"/>
    <w:rsid w:val="00876421"/>
    <w:rsid w:val="00877270"/>
    <w:rsid w:val="00877ACA"/>
    <w:rsid w:val="0088205D"/>
    <w:rsid w:val="00882813"/>
    <w:rsid w:val="00882844"/>
    <w:rsid w:val="008839F2"/>
    <w:rsid w:val="0088459F"/>
    <w:rsid w:val="00887355"/>
    <w:rsid w:val="00887947"/>
    <w:rsid w:val="00890C94"/>
    <w:rsid w:val="00890E62"/>
    <w:rsid w:val="00890E75"/>
    <w:rsid w:val="008916A4"/>
    <w:rsid w:val="00892218"/>
    <w:rsid w:val="00894FB0"/>
    <w:rsid w:val="008960C2"/>
    <w:rsid w:val="00896BE6"/>
    <w:rsid w:val="00896F93"/>
    <w:rsid w:val="008A1298"/>
    <w:rsid w:val="008A1381"/>
    <w:rsid w:val="008A3283"/>
    <w:rsid w:val="008A3C45"/>
    <w:rsid w:val="008A42F9"/>
    <w:rsid w:val="008A53EC"/>
    <w:rsid w:val="008A55B5"/>
    <w:rsid w:val="008A5976"/>
    <w:rsid w:val="008A77A4"/>
    <w:rsid w:val="008B07A4"/>
    <w:rsid w:val="008B3C01"/>
    <w:rsid w:val="008B456F"/>
    <w:rsid w:val="008B5A77"/>
    <w:rsid w:val="008B61B3"/>
    <w:rsid w:val="008B6C74"/>
    <w:rsid w:val="008B7798"/>
    <w:rsid w:val="008C1AE5"/>
    <w:rsid w:val="008C1CA7"/>
    <w:rsid w:val="008C5383"/>
    <w:rsid w:val="008C5CBA"/>
    <w:rsid w:val="008C62DA"/>
    <w:rsid w:val="008C6BBF"/>
    <w:rsid w:val="008D0A7D"/>
    <w:rsid w:val="008D102F"/>
    <w:rsid w:val="008D25CF"/>
    <w:rsid w:val="008D2A35"/>
    <w:rsid w:val="008D33D0"/>
    <w:rsid w:val="008D44D0"/>
    <w:rsid w:val="008D4F3F"/>
    <w:rsid w:val="008E1406"/>
    <w:rsid w:val="008E6721"/>
    <w:rsid w:val="008E7DB0"/>
    <w:rsid w:val="008F0256"/>
    <w:rsid w:val="008F0A53"/>
    <w:rsid w:val="008F1EA6"/>
    <w:rsid w:val="008F1FF0"/>
    <w:rsid w:val="008F6281"/>
    <w:rsid w:val="008F742A"/>
    <w:rsid w:val="0090072B"/>
    <w:rsid w:val="00901B40"/>
    <w:rsid w:val="00901E76"/>
    <w:rsid w:val="00902973"/>
    <w:rsid w:val="009048BF"/>
    <w:rsid w:val="009052FB"/>
    <w:rsid w:val="009055EE"/>
    <w:rsid w:val="00905CBF"/>
    <w:rsid w:val="00906351"/>
    <w:rsid w:val="00906542"/>
    <w:rsid w:val="00906DBC"/>
    <w:rsid w:val="00907C1B"/>
    <w:rsid w:val="00907F86"/>
    <w:rsid w:val="00910F47"/>
    <w:rsid w:val="00912BAB"/>
    <w:rsid w:val="0091345F"/>
    <w:rsid w:val="009135D9"/>
    <w:rsid w:val="00913AD1"/>
    <w:rsid w:val="009146AD"/>
    <w:rsid w:val="00914A54"/>
    <w:rsid w:val="00915CF0"/>
    <w:rsid w:val="00916E8A"/>
    <w:rsid w:val="00921162"/>
    <w:rsid w:val="0092330D"/>
    <w:rsid w:val="00923DA8"/>
    <w:rsid w:val="009258DE"/>
    <w:rsid w:val="00925A36"/>
    <w:rsid w:val="00926B1F"/>
    <w:rsid w:val="00927DB0"/>
    <w:rsid w:val="0093215F"/>
    <w:rsid w:val="0093322B"/>
    <w:rsid w:val="009365B0"/>
    <w:rsid w:val="00940457"/>
    <w:rsid w:val="00940C2F"/>
    <w:rsid w:val="00941BF0"/>
    <w:rsid w:val="0094335B"/>
    <w:rsid w:val="00944B22"/>
    <w:rsid w:val="00944DE3"/>
    <w:rsid w:val="009457EA"/>
    <w:rsid w:val="009463D6"/>
    <w:rsid w:val="009471E6"/>
    <w:rsid w:val="00947751"/>
    <w:rsid w:val="009508BF"/>
    <w:rsid w:val="00951318"/>
    <w:rsid w:val="00952777"/>
    <w:rsid w:val="009538F8"/>
    <w:rsid w:val="00953BBE"/>
    <w:rsid w:val="00953EFF"/>
    <w:rsid w:val="0095657A"/>
    <w:rsid w:val="00957111"/>
    <w:rsid w:val="0095775F"/>
    <w:rsid w:val="009601E4"/>
    <w:rsid w:val="00961CED"/>
    <w:rsid w:val="009627A8"/>
    <w:rsid w:val="00962F36"/>
    <w:rsid w:val="0096355E"/>
    <w:rsid w:val="00964070"/>
    <w:rsid w:val="00965EA5"/>
    <w:rsid w:val="00967065"/>
    <w:rsid w:val="0096785D"/>
    <w:rsid w:val="00970D32"/>
    <w:rsid w:val="00972930"/>
    <w:rsid w:val="00972D4D"/>
    <w:rsid w:val="00974BCF"/>
    <w:rsid w:val="00977DC9"/>
    <w:rsid w:val="0098033C"/>
    <w:rsid w:val="009829BA"/>
    <w:rsid w:val="00984C11"/>
    <w:rsid w:val="00987E80"/>
    <w:rsid w:val="009918D2"/>
    <w:rsid w:val="00993DB1"/>
    <w:rsid w:val="0099558A"/>
    <w:rsid w:val="0099639E"/>
    <w:rsid w:val="009969AC"/>
    <w:rsid w:val="009A0FA3"/>
    <w:rsid w:val="009A1606"/>
    <w:rsid w:val="009A2D9B"/>
    <w:rsid w:val="009A3D24"/>
    <w:rsid w:val="009B21FC"/>
    <w:rsid w:val="009B258B"/>
    <w:rsid w:val="009B2B95"/>
    <w:rsid w:val="009B3CDA"/>
    <w:rsid w:val="009B42D0"/>
    <w:rsid w:val="009B53CC"/>
    <w:rsid w:val="009B5914"/>
    <w:rsid w:val="009B6BE5"/>
    <w:rsid w:val="009B7359"/>
    <w:rsid w:val="009B7777"/>
    <w:rsid w:val="009C4B33"/>
    <w:rsid w:val="009C5212"/>
    <w:rsid w:val="009C6112"/>
    <w:rsid w:val="009C6B60"/>
    <w:rsid w:val="009C7F9C"/>
    <w:rsid w:val="009D309D"/>
    <w:rsid w:val="009D45F5"/>
    <w:rsid w:val="009D6CB3"/>
    <w:rsid w:val="009E19F0"/>
    <w:rsid w:val="009E2042"/>
    <w:rsid w:val="009E304B"/>
    <w:rsid w:val="009E4F82"/>
    <w:rsid w:val="009E52BE"/>
    <w:rsid w:val="009E5DBC"/>
    <w:rsid w:val="009E6CE0"/>
    <w:rsid w:val="009E707B"/>
    <w:rsid w:val="009E77AF"/>
    <w:rsid w:val="009F183E"/>
    <w:rsid w:val="009F28D6"/>
    <w:rsid w:val="009F53CE"/>
    <w:rsid w:val="009F6E0A"/>
    <w:rsid w:val="009F7B3A"/>
    <w:rsid w:val="009F7F02"/>
    <w:rsid w:val="00A0149C"/>
    <w:rsid w:val="00A014C2"/>
    <w:rsid w:val="00A01A8D"/>
    <w:rsid w:val="00A01A9B"/>
    <w:rsid w:val="00A022B6"/>
    <w:rsid w:val="00A0262F"/>
    <w:rsid w:val="00A02DD1"/>
    <w:rsid w:val="00A064B5"/>
    <w:rsid w:val="00A073EF"/>
    <w:rsid w:val="00A117A5"/>
    <w:rsid w:val="00A127CB"/>
    <w:rsid w:val="00A13BDD"/>
    <w:rsid w:val="00A1443C"/>
    <w:rsid w:val="00A152C4"/>
    <w:rsid w:val="00A1599B"/>
    <w:rsid w:val="00A15BC5"/>
    <w:rsid w:val="00A15F8E"/>
    <w:rsid w:val="00A16CD8"/>
    <w:rsid w:val="00A16EE4"/>
    <w:rsid w:val="00A17768"/>
    <w:rsid w:val="00A22D38"/>
    <w:rsid w:val="00A234E2"/>
    <w:rsid w:val="00A24357"/>
    <w:rsid w:val="00A246BC"/>
    <w:rsid w:val="00A279D6"/>
    <w:rsid w:val="00A34A48"/>
    <w:rsid w:val="00A35234"/>
    <w:rsid w:val="00A406C5"/>
    <w:rsid w:val="00A41AAB"/>
    <w:rsid w:val="00A4264A"/>
    <w:rsid w:val="00A4660B"/>
    <w:rsid w:val="00A46DBF"/>
    <w:rsid w:val="00A46DC1"/>
    <w:rsid w:val="00A47250"/>
    <w:rsid w:val="00A47A91"/>
    <w:rsid w:val="00A52201"/>
    <w:rsid w:val="00A526FA"/>
    <w:rsid w:val="00A53070"/>
    <w:rsid w:val="00A5328B"/>
    <w:rsid w:val="00A5561C"/>
    <w:rsid w:val="00A5618A"/>
    <w:rsid w:val="00A56D54"/>
    <w:rsid w:val="00A57BB8"/>
    <w:rsid w:val="00A61FC7"/>
    <w:rsid w:val="00A62222"/>
    <w:rsid w:val="00A64857"/>
    <w:rsid w:val="00A66108"/>
    <w:rsid w:val="00A67DDD"/>
    <w:rsid w:val="00A70B74"/>
    <w:rsid w:val="00A72CDA"/>
    <w:rsid w:val="00A73B24"/>
    <w:rsid w:val="00A74F67"/>
    <w:rsid w:val="00A752D9"/>
    <w:rsid w:val="00A75997"/>
    <w:rsid w:val="00A7657B"/>
    <w:rsid w:val="00A76694"/>
    <w:rsid w:val="00A76C85"/>
    <w:rsid w:val="00A80607"/>
    <w:rsid w:val="00A815D4"/>
    <w:rsid w:val="00A82740"/>
    <w:rsid w:val="00A8501A"/>
    <w:rsid w:val="00A85CDB"/>
    <w:rsid w:val="00A8617D"/>
    <w:rsid w:val="00A8777A"/>
    <w:rsid w:val="00A908B6"/>
    <w:rsid w:val="00A91E49"/>
    <w:rsid w:val="00A92C57"/>
    <w:rsid w:val="00A94274"/>
    <w:rsid w:val="00A95C72"/>
    <w:rsid w:val="00A96B37"/>
    <w:rsid w:val="00A97655"/>
    <w:rsid w:val="00AA05A4"/>
    <w:rsid w:val="00AA097C"/>
    <w:rsid w:val="00AA0CFC"/>
    <w:rsid w:val="00AA1B85"/>
    <w:rsid w:val="00AA33FB"/>
    <w:rsid w:val="00AA37F6"/>
    <w:rsid w:val="00AA3F86"/>
    <w:rsid w:val="00AA4A5D"/>
    <w:rsid w:val="00AA5759"/>
    <w:rsid w:val="00AA581C"/>
    <w:rsid w:val="00AA58E3"/>
    <w:rsid w:val="00AA64D2"/>
    <w:rsid w:val="00AA6F9D"/>
    <w:rsid w:val="00AA74BC"/>
    <w:rsid w:val="00AB1425"/>
    <w:rsid w:val="00AB236F"/>
    <w:rsid w:val="00AB6D9D"/>
    <w:rsid w:val="00AB70DC"/>
    <w:rsid w:val="00AC075A"/>
    <w:rsid w:val="00AC1192"/>
    <w:rsid w:val="00AC16FC"/>
    <w:rsid w:val="00AC1A70"/>
    <w:rsid w:val="00AC1B21"/>
    <w:rsid w:val="00AC1B3D"/>
    <w:rsid w:val="00AC1D2D"/>
    <w:rsid w:val="00AC2F74"/>
    <w:rsid w:val="00AC2F7F"/>
    <w:rsid w:val="00AC3686"/>
    <w:rsid w:val="00AC4955"/>
    <w:rsid w:val="00AC4F42"/>
    <w:rsid w:val="00AC58E6"/>
    <w:rsid w:val="00AC651B"/>
    <w:rsid w:val="00AC6C7E"/>
    <w:rsid w:val="00AC70D5"/>
    <w:rsid w:val="00AD013A"/>
    <w:rsid w:val="00AD0174"/>
    <w:rsid w:val="00AD0728"/>
    <w:rsid w:val="00AD09FA"/>
    <w:rsid w:val="00AD10DA"/>
    <w:rsid w:val="00AD56A4"/>
    <w:rsid w:val="00AD5C92"/>
    <w:rsid w:val="00AD7E24"/>
    <w:rsid w:val="00AE21A3"/>
    <w:rsid w:val="00AE27FB"/>
    <w:rsid w:val="00AE4342"/>
    <w:rsid w:val="00AE5181"/>
    <w:rsid w:val="00AE6938"/>
    <w:rsid w:val="00AE7B20"/>
    <w:rsid w:val="00AF026A"/>
    <w:rsid w:val="00AF050E"/>
    <w:rsid w:val="00AF0680"/>
    <w:rsid w:val="00AF0A9C"/>
    <w:rsid w:val="00AF133E"/>
    <w:rsid w:val="00AF23AA"/>
    <w:rsid w:val="00AF3864"/>
    <w:rsid w:val="00AF51AB"/>
    <w:rsid w:val="00AF561E"/>
    <w:rsid w:val="00B022AD"/>
    <w:rsid w:val="00B0369B"/>
    <w:rsid w:val="00B04AB2"/>
    <w:rsid w:val="00B05952"/>
    <w:rsid w:val="00B0602E"/>
    <w:rsid w:val="00B06356"/>
    <w:rsid w:val="00B10403"/>
    <w:rsid w:val="00B10CF6"/>
    <w:rsid w:val="00B116F2"/>
    <w:rsid w:val="00B117A2"/>
    <w:rsid w:val="00B11A76"/>
    <w:rsid w:val="00B12E80"/>
    <w:rsid w:val="00B15A5A"/>
    <w:rsid w:val="00B22CCB"/>
    <w:rsid w:val="00B233C4"/>
    <w:rsid w:val="00B24F66"/>
    <w:rsid w:val="00B259FB"/>
    <w:rsid w:val="00B25EB6"/>
    <w:rsid w:val="00B27F4A"/>
    <w:rsid w:val="00B30161"/>
    <w:rsid w:val="00B30373"/>
    <w:rsid w:val="00B34A0F"/>
    <w:rsid w:val="00B35FC1"/>
    <w:rsid w:val="00B362CD"/>
    <w:rsid w:val="00B3633B"/>
    <w:rsid w:val="00B40AF4"/>
    <w:rsid w:val="00B4178D"/>
    <w:rsid w:val="00B44AE8"/>
    <w:rsid w:val="00B44BC2"/>
    <w:rsid w:val="00B45FFE"/>
    <w:rsid w:val="00B467CD"/>
    <w:rsid w:val="00B470B8"/>
    <w:rsid w:val="00B47D5F"/>
    <w:rsid w:val="00B502AC"/>
    <w:rsid w:val="00B50690"/>
    <w:rsid w:val="00B50A5E"/>
    <w:rsid w:val="00B50A6C"/>
    <w:rsid w:val="00B5342C"/>
    <w:rsid w:val="00B5374D"/>
    <w:rsid w:val="00B53AAE"/>
    <w:rsid w:val="00B5407D"/>
    <w:rsid w:val="00B54543"/>
    <w:rsid w:val="00B6032B"/>
    <w:rsid w:val="00B60552"/>
    <w:rsid w:val="00B60CAE"/>
    <w:rsid w:val="00B666DD"/>
    <w:rsid w:val="00B66895"/>
    <w:rsid w:val="00B6694D"/>
    <w:rsid w:val="00B670C4"/>
    <w:rsid w:val="00B675F7"/>
    <w:rsid w:val="00B67BCD"/>
    <w:rsid w:val="00B67C5A"/>
    <w:rsid w:val="00B7143A"/>
    <w:rsid w:val="00B73DF5"/>
    <w:rsid w:val="00B753B1"/>
    <w:rsid w:val="00B7783B"/>
    <w:rsid w:val="00B80A66"/>
    <w:rsid w:val="00B81267"/>
    <w:rsid w:val="00B81974"/>
    <w:rsid w:val="00B82B26"/>
    <w:rsid w:val="00B831D3"/>
    <w:rsid w:val="00B837BE"/>
    <w:rsid w:val="00B8652B"/>
    <w:rsid w:val="00B87F95"/>
    <w:rsid w:val="00B9046A"/>
    <w:rsid w:val="00B95C33"/>
    <w:rsid w:val="00B9662B"/>
    <w:rsid w:val="00BA11A6"/>
    <w:rsid w:val="00BA13D5"/>
    <w:rsid w:val="00BA2322"/>
    <w:rsid w:val="00BA2535"/>
    <w:rsid w:val="00BA3CF0"/>
    <w:rsid w:val="00BA446A"/>
    <w:rsid w:val="00BA51B6"/>
    <w:rsid w:val="00BA544E"/>
    <w:rsid w:val="00BA74C9"/>
    <w:rsid w:val="00BB0C0E"/>
    <w:rsid w:val="00BB1F9F"/>
    <w:rsid w:val="00BB255C"/>
    <w:rsid w:val="00BB58B2"/>
    <w:rsid w:val="00BB61E2"/>
    <w:rsid w:val="00BC0AD9"/>
    <w:rsid w:val="00BC16EC"/>
    <w:rsid w:val="00BC47F3"/>
    <w:rsid w:val="00BC5952"/>
    <w:rsid w:val="00BC65E2"/>
    <w:rsid w:val="00BD1EEE"/>
    <w:rsid w:val="00BD23C4"/>
    <w:rsid w:val="00BD26BF"/>
    <w:rsid w:val="00BD3396"/>
    <w:rsid w:val="00BD376E"/>
    <w:rsid w:val="00BD46C5"/>
    <w:rsid w:val="00BD5EAF"/>
    <w:rsid w:val="00BD74C3"/>
    <w:rsid w:val="00BE011F"/>
    <w:rsid w:val="00BE14B0"/>
    <w:rsid w:val="00BE15D3"/>
    <w:rsid w:val="00BE22D6"/>
    <w:rsid w:val="00BE27A5"/>
    <w:rsid w:val="00BE3B39"/>
    <w:rsid w:val="00BE50FA"/>
    <w:rsid w:val="00BE57D1"/>
    <w:rsid w:val="00BE6B8A"/>
    <w:rsid w:val="00BE7E92"/>
    <w:rsid w:val="00BF01F3"/>
    <w:rsid w:val="00BF036E"/>
    <w:rsid w:val="00BF1169"/>
    <w:rsid w:val="00BF218C"/>
    <w:rsid w:val="00BF4B7F"/>
    <w:rsid w:val="00BF695C"/>
    <w:rsid w:val="00BF6E1B"/>
    <w:rsid w:val="00BF7CDE"/>
    <w:rsid w:val="00C01F2A"/>
    <w:rsid w:val="00C02DDD"/>
    <w:rsid w:val="00C03495"/>
    <w:rsid w:val="00C06AD7"/>
    <w:rsid w:val="00C07F1A"/>
    <w:rsid w:val="00C10006"/>
    <w:rsid w:val="00C10F95"/>
    <w:rsid w:val="00C11304"/>
    <w:rsid w:val="00C11F00"/>
    <w:rsid w:val="00C12B29"/>
    <w:rsid w:val="00C13B98"/>
    <w:rsid w:val="00C14585"/>
    <w:rsid w:val="00C14765"/>
    <w:rsid w:val="00C1556F"/>
    <w:rsid w:val="00C202DB"/>
    <w:rsid w:val="00C215DA"/>
    <w:rsid w:val="00C222E9"/>
    <w:rsid w:val="00C224A2"/>
    <w:rsid w:val="00C22870"/>
    <w:rsid w:val="00C230DE"/>
    <w:rsid w:val="00C25B21"/>
    <w:rsid w:val="00C3286A"/>
    <w:rsid w:val="00C3289B"/>
    <w:rsid w:val="00C332C6"/>
    <w:rsid w:val="00C338F0"/>
    <w:rsid w:val="00C34682"/>
    <w:rsid w:val="00C36C48"/>
    <w:rsid w:val="00C37DEE"/>
    <w:rsid w:val="00C42275"/>
    <w:rsid w:val="00C429E5"/>
    <w:rsid w:val="00C43B8F"/>
    <w:rsid w:val="00C4514C"/>
    <w:rsid w:val="00C46E45"/>
    <w:rsid w:val="00C470DA"/>
    <w:rsid w:val="00C47510"/>
    <w:rsid w:val="00C5115A"/>
    <w:rsid w:val="00C51608"/>
    <w:rsid w:val="00C53890"/>
    <w:rsid w:val="00C54D73"/>
    <w:rsid w:val="00C54E36"/>
    <w:rsid w:val="00C54EDC"/>
    <w:rsid w:val="00C55094"/>
    <w:rsid w:val="00C55616"/>
    <w:rsid w:val="00C56FC7"/>
    <w:rsid w:val="00C57FA0"/>
    <w:rsid w:val="00C60A74"/>
    <w:rsid w:val="00C61A8F"/>
    <w:rsid w:val="00C66509"/>
    <w:rsid w:val="00C709E7"/>
    <w:rsid w:val="00C70A26"/>
    <w:rsid w:val="00C745BD"/>
    <w:rsid w:val="00C74FE1"/>
    <w:rsid w:val="00C750F4"/>
    <w:rsid w:val="00C76294"/>
    <w:rsid w:val="00C77C0C"/>
    <w:rsid w:val="00C80679"/>
    <w:rsid w:val="00C85DBD"/>
    <w:rsid w:val="00C86A4D"/>
    <w:rsid w:val="00C909C2"/>
    <w:rsid w:val="00C92713"/>
    <w:rsid w:val="00C9498A"/>
    <w:rsid w:val="00C95474"/>
    <w:rsid w:val="00C95C0D"/>
    <w:rsid w:val="00C95E72"/>
    <w:rsid w:val="00C96974"/>
    <w:rsid w:val="00CA24C5"/>
    <w:rsid w:val="00CA24F3"/>
    <w:rsid w:val="00CA3419"/>
    <w:rsid w:val="00CA4A25"/>
    <w:rsid w:val="00CA52E2"/>
    <w:rsid w:val="00CA59D1"/>
    <w:rsid w:val="00CA59EB"/>
    <w:rsid w:val="00CA5C6F"/>
    <w:rsid w:val="00CA6458"/>
    <w:rsid w:val="00CA6CDE"/>
    <w:rsid w:val="00CA7328"/>
    <w:rsid w:val="00CB08E4"/>
    <w:rsid w:val="00CB0B10"/>
    <w:rsid w:val="00CB20AD"/>
    <w:rsid w:val="00CB2B9A"/>
    <w:rsid w:val="00CB2E4F"/>
    <w:rsid w:val="00CB419C"/>
    <w:rsid w:val="00CB4FAD"/>
    <w:rsid w:val="00CB50D0"/>
    <w:rsid w:val="00CC0A59"/>
    <w:rsid w:val="00CC11FA"/>
    <w:rsid w:val="00CC1397"/>
    <w:rsid w:val="00CC1E53"/>
    <w:rsid w:val="00CC3145"/>
    <w:rsid w:val="00CC54D2"/>
    <w:rsid w:val="00CC571F"/>
    <w:rsid w:val="00CC5A01"/>
    <w:rsid w:val="00CC6F59"/>
    <w:rsid w:val="00CD0CEE"/>
    <w:rsid w:val="00CD1B2F"/>
    <w:rsid w:val="00CD1ED4"/>
    <w:rsid w:val="00CD2E54"/>
    <w:rsid w:val="00CD3454"/>
    <w:rsid w:val="00CD4B40"/>
    <w:rsid w:val="00CD4BF8"/>
    <w:rsid w:val="00CD5A0E"/>
    <w:rsid w:val="00CD66EC"/>
    <w:rsid w:val="00CE4446"/>
    <w:rsid w:val="00CE5FF8"/>
    <w:rsid w:val="00CE64D6"/>
    <w:rsid w:val="00CE663A"/>
    <w:rsid w:val="00CE7305"/>
    <w:rsid w:val="00CE7954"/>
    <w:rsid w:val="00CF02AD"/>
    <w:rsid w:val="00CF2758"/>
    <w:rsid w:val="00CF472E"/>
    <w:rsid w:val="00CF4EB6"/>
    <w:rsid w:val="00CF5916"/>
    <w:rsid w:val="00CF5F60"/>
    <w:rsid w:val="00CF7553"/>
    <w:rsid w:val="00D010A1"/>
    <w:rsid w:val="00D03933"/>
    <w:rsid w:val="00D04CEF"/>
    <w:rsid w:val="00D051C0"/>
    <w:rsid w:val="00D06161"/>
    <w:rsid w:val="00D07372"/>
    <w:rsid w:val="00D0773B"/>
    <w:rsid w:val="00D07DEE"/>
    <w:rsid w:val="00D11617"/>
    <w:rsid w:val="00D11E49"/>
    <w:rsid w:val="00D11FCC"/>
    <w:rsid w:val="00D136B5"/>
    <w:rsid w:val="00D1406F"/>
    <w:rsid w:val="00D16745"/>
    <w:rsid w:val="00D17EDC"/>
    <w:rsid w:val="00D2090B"/>
    <w:rsid w:val="00D20D09"/>
    <w:rsid w:val="00D221A0"/>
    <w:rsid w:val="00D22320"/>
    <w:rsid w:val="00D2232D"/>
    <w:rsid w:val="00D2289E"/>
    <w:rsid w:val="00D23632"/>
    <w:rsid w:val="00D23B69"/>
    <w:rsid w:val="00D24914"/>
    <w:rsid w:val="00D25DDC"/>
    <w:rsid w:val="00D26070"/>
    <w:rsid w:val="00D30176"/>
    <w:rsid w:val="00D318C9"/>
    <w:rsid w:val="00D32416"/>
    <w:rsid w:val="00D324AE"/>
    <w:rsid w:val="00D35CAE"/>
    <w:rsid w:val="00D368E5"/>
    <w:rsid w:val="00D36FA9"/>
    <w:rsid w:val="00D37E6A"/>
    <w:rsid w:val="00D408E8"/>
    <w:rsid w:val="00D40C77"/>
    <w:rsid w:val="00D433A4"/>
    <w:rsid w:val="00D44439"/>
    <w:rsid w:val="00D476F9"/>
    <w:rsid w:val="00D47B09"/>
    <w:rsid w:val="00D51773"/>
    <w:rsid w:val="00D55090"/>
    <w:rsid w:val="00D55AE4"/>
    <w:rsid w:val="00D56DFC"/>
    <w:rsid w:val="00D602F9"/>
    <w:rsid w:val="00D624C8"/>
    <w:rsid w:val="00D634CC"/>
    <w:rsid w:val="00D6466C"/>
    <w:rsid w:val="00D711F6"/>
    <w:rsid w:val="00D71FFE"/>
    <w:rsid w:val="00D74E40"/>
    <w:rsid w:val="00D7520A"/>
    <w:rsid w:val="00D7586C"/>
    <w:rsid w:val="00D763E6"/>
    <w:rsid w:val="00D77099"/>
    <w:rsid w:val="00D77CD4"/>
    <w:rsid w:val="00D77D61"/>
    <w:rsid w:val="00D77EB7"/>
    <w:rsid w:val="00D8025B"/>
    <w:rsid w:val="00D83838"/>
    <w:rsid w:val="00D84D8A"/>
    <w:rsid w:val="00D9010B"/>
    <w:rsid w:val="00D9354B"/>
    <w:rsid w:val="00D93C76"/>
    <w:rsid w:val="00D97DBC"/>
    <w:rsid w:val="00DA09CE"/>
    <w:rsid w:val="00DA0DE1"/>
    <w:rsid w:val="00DA155C"/>
    <w:rsid w:val="00DA180D"/>
    <w:rsid w:val="00DA2EF9"/>
    <w:rsid w:val="00DA4304"/>
    <w:rsid w:val="00DA66F5"/>
    <w:rsid w:val="00DA7331"/>
    <w:rsid w:val="00DB03E3"/>
    <w:rsid w:val="00DB2548"/>
    <w:rsid w:val="00DB258C"/>
    <w:rsid w:val="00DB33F2"/>
    <w:rsid w:val="00DB4E47"/>
    <w:rsid w:val="00DC0ABE"/>
    <w:rsid w:val="00DC1B64"/>
    <w:rsid w:val="00DC22D5"/>
    <w:rsid w:val="00DC3DAE"/>
    <w:rsid w:val="00DC6574"/>
    <w:rsid w:val="00DD0720"/>
    <w:rsid w:val="00DD0A9F"/>
    <w:rsid w:val="00DD548C"/>
    <w:rsid w:val="00DD6F19"/>
    <w:rsid w:val="00DE33B0"/>
    <w:rsid w:val="00DE530E"/>
    <w:rsid w:val="00DF3B6C"/>
    <w:rsid w:val="00DF3DA1"/>
    <w:rsid w:val="00DF4E2A"/>
    <w:rsid w:val="00DF6DE8"/>
    <w:rsid w:val="00E00883"/>
    <w:rsid w:val="00E009FF"/>
    <w:rsid w:val="00E00DBE"/>
    <w:rsid w:val="00E01386"/>
    <w:rsid w:val="00E02BA4"/>
    <w:rsid w:val="00E03714"/>
    <w:rsid w:val="00E05B45"/>
    <w:rsid w:val="00E065EB"/>
    <w:rsid w:val="00E10A81"/>
    <w:rsid w:val="00E12464"/>
    <w:rsid w:val="00E1294D"/>
    <w:rsid w:val="00E12E9D"/>
    <w:rsid w:val="00E14265"/>
    <w:rsid w:val="00E14BEE"/>
    <w:rsid w:val="00E17C26"/>
    <w:rsid w:val="00E215B3"/>
    <w:rsid w:val="00E22120"/>
    <w:rsid w:val="00E226FE"/>
    <w:rsid w:val="00E234A4"/>
    <w:rsid w:val="00E248DF"/>
    <w:rsid w:val="00E25832"/>
    <w:rsid w:val="00E26AD7"/>
    <w:rsid w:val="00E27D92"/>
    <w:rsid w:val="00E31CC1"/>
    <w:rsid w:val="00E36A30"/>
    <w:rsid w:val="00E36D4D"/>
    <w:rsid w:val="00E409FE"/>
    <w:rsid w:val="00E41956"/>
    <w:rsid w:val="00E43E46"/>
    <w:rsid w:val="00E4670B"/>
    <w:rsid w:val="00E51C9A"/>
    <w:rsid w:val="00E522D4"/>
    <w:rsid w:val="00E53ADF"/>
    <w:rsid w:val="00E543C7"/>
    <w:rsid w:val="00E5463C"/>
    <w:rsid w:val="00E56B2F"/>
    <w:rsid w:val="00E632DB"/>
    <w:rsid w:val="00E64C4A"/>
    <w:rsid w:val="00E6794A"/>
    <w:rsid w:val="00E67CE6"/>
    <w:rsid w:val="00E710E2"/>
    <w:rsid w:val="00E73C42"/>
    <w:rsid w:val="00E7663E"/>
    <w:rsid w:val="00E76785"/>
    <w:rsid w:val="00E76A7B"/>
    <w:rsid w:val="00E8173A"/>
    <w:rsid w:val="00E828EB"/>
    <w:rsid w:val="00E82A06"/>
    <w:rsid w:val="00E83266"/>
    <w:rsid w:val="00E83D5E"/>
    <w:rsid w:val="00E84570"/>
    <w:rsid w:val="00E84BDB"/>
    <w:rsid w:val="00E8600D"/>
    <w:rsid w:val="00E86062"/>
    <w:rsid w:val="00E90B93"/>
    <w:rsid w:val="00E924D9"/>
    <w:rsid w:val="00E92733"/>
    <w:rsid w:val="00EA1685"/>
    <w:rsid w:val="00EA3D1C"/>
    <w:rsid w:val="00EA4F6E"/>
    <w:rsid w:val="00EA50CA"/>
    <w:rsid w:val="00EA6226"/>
    <w:rsid w:val="00EA698B"/>
    <w:rsid w:val="00EA7729"/>
    <w:rsid w:val="00EB0F4B"/>
    <w:rsid w:val="00EB1607"/>
    <w:rsid w:val="00EB5CA1"/>
    <w:rsid w:val="00EB5D2A"/>
    <w:rsid w:val="00EB6786"/>
    <w:rsid w:val="00EC1D94"/>
    <w:rsid w:val="00EC2442"/>
    <w:rsid w:val="00EC3AC6"/>
    <w:rsid w:val="00EC4AF9"/>
    <w:rsid w:val="00EC60A5"/>
    <w:rsid w:val="00EC6567"/>
    <w:rsid w:val="00EC6587"/>
    <w:rsid w:val="00ED098A"/>
    <w:rsid w:val="00ED099C"/>
    <w:rsid w:val="00ED0C6F"/>
    <w:rsid w:val="00ED1391"/>
    <w:rsid w:val="00ED30CB"/>
    <w:rsid w:val="00ED329A"/>
    <w:rsid w:val="00ED36A0"/>
    <w:rsid w:val="00ED39EF"/>
    <w:rsid w:val="00EE013C"/>
    <w:rsid w:val="00EE05EB"/>
    <w:rsid w:val="00EE06C6"/>
    <w:rsid w:val="00EE0974"/>
    <w:rsid w:val="00EE20A6"/>
    <w:rsid w:val="00EE32E5"/>
    <w:rsid w:val="00EE3E0A"/>
    <w:rsid w:val="00EE5B3D"/>
    <w:rsid w:val="00EE6F5A"/>
    <w:rsid w:val="00EE7B71"/>
    <w:rsid w:val="00EF4299"/>
    <w:rsid w:val="00EF7E88"/>
    <w:rsid w:val="00F00992"/>
    <w:rsid w:val="00F02472"/>
    <w:rsid w:val="00F0395B"/>
    <w:rsid w:val="00F040DC"/>
    <w:rsid w:val="00F042AD"/>
    <w:rsid w:val="00F04538"/>
    <w:rsid w:val="00F073F4"/>
    <w:rsid w:val="00F10E19"/>
    <w:rsid w:val="00F11840"/>
    <w:rsid w:val="00F11FEC"/>
    <w:rsid w:val="00F12414"/>
    <w:rsid w:val="00F12622"/>
    <w:rsid w:val="00F13575"/>
    <w:rsid w:val="00F138CA"/>
    <w:rsid w:val="00F14AD5"/>
    <w:rsid w:val="00F15368"/>
    <w:rsid w:val="00F1638C"/>
    <w:rsid w:val="00F2163D"/>
    <w:rsid w:val="00F21737"/>
    <w:rsid w:val="00F21B05"/>
    <w:rsid w:val="00F248AA"/>
    <w:rsid w:val="00F26371"/>
    <w:rsid w:val="00F26B1B"/>
    <w:rsid w:val="00F26BFA"/>
    <w:rsid w:val="00F30931"/>
    <w:rsid w:val="00F31375"/>
    <w:rsid w:val="00F32436"/>
    <w:rsid w:val="00F329DE"/>
    <w:rsid w:val="00F32D13"/>
    <w:rsid w:val="00F347D5"/>
    <w:rsid w:val="00F35808"/>
    <w:rsid w:val="00F36FD5"/>
    <w:rsid w:val="00F40289"/>
    <w:rsid w:val="00F4090D"/>
    <w:rsid w:val="00F40AC3"/>
    <w:rsid w:val="00F41DB7"/>
    <w:rsid w:val="00F41ED5"/>
    <w:rsid w:val="00F4368A"/>
    <w:rsid w:val="00F45159"/>
    <w:rsid w:val="00F45CDF"/>
    <w:rsid w:val="00F47FC5"/>
    <w:rsid w:val="00F50066"/>
    <w:rsid w:val="00F5101E"/>
    <w:rsid w:val="00F5148D"/>
    <w:rsid w:val="00F53416"/>
    <w:rsid w:val="00F53A6C"/>
    <w:rsid w:val="00F56126"/>
    <w:rsid w:val="00F573B1"/>
    <w:rsid w:val="00F57F98"/>
    <w:rsid w:val="00F61811"/>
    <w:rsid w:val="00F6181E"/>
    <w:rsid w:val="00F642D0"/>
    <w:rsid w:val="00F667C0"/>
    <w:rsid w:val="00F67A72"/>
    <w:rsid w:val="00F73635"/>
    <w:rsid w:val="00F74383"/>
    <w:rsid w:val="00F74607"/>
    <w:rsid w:val="00F768DC"/>
    <w:rsid w:val="00F80788"/>
    <w:rsid w:val="00F8152C"/>
    <w:rsid w:val="00F81E82"/>
    <w:rsid w:val="00F8228D"/>
    <w:rsid w:val="00F82968"/>
    <w:rsid w:val="00F82F63"/>
    <w:rsid w:val="00F8323B"/>
    <w:rsid w:val="00F84258"/>
    <w:rsid w:val="00F8584B"/>
    <w:rsid w:val="00F86AEE"/>
    <w:rsid w:val="00F922BB"/>
    <w:rsid w:val="00F93009"/>
    <w:rsid w:val="00F9796F"/>
    <w:rsid w:val="00FA1A36"/>
    <w:rsid w:val="00FA215E"/>
    <w:rsid w:val="00FA21D1"/>
    <w:rsid w:val="00FA3136"/>
    <w:rsid w:val="00FA32F6"/>
    <w:rsid w:val="00FA4D22"/>
    <w:rsid w:val="00FA637B"/>
    <w:rsid w:val="00FB0D38"/>
    <w:rsid w:val="00FB14A8"/>
    <w:rsid w:val="00FB15C5"/>
    <w:rsid w:val="00FB4569"/>
    <w:rsid w:val="00FB59CF"/>
    <w:rsid w:val="00FB68B0"/>
    <w:rsid w:val="00FC0AC0"/>
    <w:rsid w:val="00FC1868"/>
    <w:rsid w:val="00FC1E8B"/>
    <w:rsid w:val="00FC3123"/>
    <w:rsid w:val="00FC33C9"/>
    <w:rsid w:val="00FC3402"/>
    <w:rsid w:val="00FC3EFA"/>
    <w:rsid w:val="00FC520C"/>
    <w:rsid w:val="00FC590F"/>
    <w:rsid w:val="00FC5B14"/>
    <w:rsid w:val="00FD023C"/>
    <w:rsid w:val="00FD0616"/>
    <w:rsid w:val="00FD2E99"/>
    <w:rsid w:val="00FD3CE1"/>
    <w:rsid w:val="00FD5B84"/>
    <w:rsid w:val="00FD6516"/>
    <w:rsid w:val="00FE144E"/>
    <w:rsid w:val="00FE1C1C"/>
    <w:rsid w:val="00FE277A"/>
    <w:rsid w:val="00FE4CD0"/>
    <w:rsid w:val="00FE74EE"/>
    <w:rsid w:val="00FF02BD"/>
    <w:rsid w:val="00FF1A52"/>
    <w:rsid w:val="00FF2368"/>
    <w:rsid w:val="00FF26E3"/>
    <w:rsid w:val="00FF3333"/>
    <w:rsid w:val="00FF6CF2"/>
    <w:rsid w:val="00FF77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C14FC6"/>
  <w15:docId w15:val="{79D973A0-03D3-42BA-94A3-A258987C5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hr-H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3D0"/>
    <w:rPr>
      <w:sz w:val="24"/>
      <w:szCs w:val="24"/>
      <w:lang w:eastAsia="en-US"/>
    </w:rPr>
  </w:style>
  <w:style w:type="paragraph" w:styleId="Heading1">
    <w:name w:val="heading 1"/>
    <w:basedOn w:val="Normal"/>
    <w:next w:val="Normal"/>
    <w:link w:val="Heading1Char"/>
    <w:uiPriority w:val="9"/>
    <w:qFormat/>
    <w:rsid w:val="002D4D2F"/>
    <w:pPr>
      <w:keepNext/>
      <w:numPr>
        <w:numId w:val="1"/>
      </w:numPr>
      <w:spacing w:before="240" w:after="60"/>
      <w:ind w:left="357" w:hanging="357"/>
      <w:outlineLvl w:val="0"/>
    </w:pPr>
    <w:rPr>
      <w:rFonts w:cs="Arial"/>
      <w:b/>
      <w:bCs/>
      <w:caps/>
      <w:kern w:val="32"/>
      <w:szCs w:val="32"/>
    </w:rPr>
  </w:style>
  <w:style w:type="paragraph" w:styleId="Heading2">
    <w:name w:val="heading 2"/>
    <w:basedOn w:val="Heading1"/>
    <w:link w:val="Heading2Char"/>
    <w:uiPriority w:val="9"/>
    <w:qFormat/>
    <w:rsid w:val="00C06AD7"/>
    <w:pPr>
      <w:numPr>
        <w:ilvl w:val="1"/>
      </w:numPr>
      <w:tabs>
        <w:tab w:val="clear" w:pos="357"/>
        <w:tab w:val="num" w:pos="924"/>
      </w:tabs>
      <w:ind w:left="924" w:hanging="567"/>
      <w:outlineLvl w:val="1"/>
    </w:pPr>
    <w:rPr>
      <w:bCs w:val="0"/>
      <w:iCs/>
      <w:caps w:val="0"/>
      <w:szCs w:val="28"/>
    </w:rPr>
  </w:style>
  <w:style w:type="paragraph" w:styleId="Heading3">
    <w:name w:val="heading 3"/>
    <w:basedOn w:val="Heading2"/>
    <w:link w:val="Heading3Char"/>
    <w:uiPriority w:val="9"/>
    <w:qFormat/>
    <w:rsid w:val="00AE27FB"/>
    <w:pPr>
      <w:numPr>
        <w:ilvl w:val="2"/>
      </w:numPr>
      <w:tabs>
        <w:tab w:val="clear" w:pos="1230"/>
        <w:tab w:val="left" w:pos="1701"/>
      </w:tabs>
      <w:spacing w:after="120"/>
      <w:ind w:left="1701" w:hanging="777"/>
      <w:outlineLvl w:val="2"/>
    </w:pPr>
    <w:rPr>
      <w:bCs/>
      <w:szCs w:val="27"/>
    </w:rPr>
  </w:style>
  <w:style w:type="paragraph" w:styleId="Heading4">
    <w:name w:val="heading 4"/>
    <w:basedOn w:val="Normal"/>
    <w:next w:val="Normal"/>
    <w:link w:val="Heading4Char"/>
    <w:uiPriority w:val="9"/>
    <w:qFormat/>
    <w:rsid w:val="00477ECE"/>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
    <w:qFormat/>
    <w:rsid w:val="00F042AD"/>
    <w:pPr>
      <w:spacing w:before="240" w:after="60"/>
      <w:outlineLvl w:val="4"/>
    </w:pPr>
    <w:rPr>
      <w:b/>
      <w:bCs/>
      <w:i/>
      <w:iCs/>
      <w:sz w:val="26"/>
      <w:szCs w:val="26"/>
    </w:rPr>
  </w:style>
  <w:style w:type="paragraph" w:styleId="Heading6">
    <w:name w:val="heading 6"/>
    <w:basedOn w:val="Normal"/>
    <w:next w:val="Normal"/>
    <w:link w:val="Heading6Char"/>
    <w:uiPriority w:val="9"/>
    <w:qFormat/>
    <w:rsid w:val="00F042AD"/>
    <w:pPr>
      <w:spacing w:before="240" w:after="60"/>
      <w:outlineLvl w:val="5"/>
    </w:pPr>
    <w:rPr>
      <w:b/>
      <w:bCs/>
      <w:sz w:val="22"/>
      <w:szCs w:val="22"/>
    </w:rPr>
  </w:style>
  <w:style w:type="paragraph" w:styleId="Heading7">
    <w:name w:val="heading 7"/>
    <w:basedOn w:val="Normal"/>
    <w:next w:val="Normal"/>
    <w:link w:val="Heading7Char"/>
    <w:uiPriority w:val="9"/>
    <w:qFormat/>
    <w:rsid w:val="00F042AD"/>
    <w:pPr>
      <w:spacing w:before="240" w:after="60"/>
      <w:outlineLvl w:val="6"/>
    </w:pPr>
  </w:style>
  <w:style w:type="paragraph" w:styleId="Heading8">
    <w:name w:val="heading 8"/>
    <w:basedOn w:val="Normal"/>
    <w:next w:val="Normal"/>
    <w:link w:val="Heading8Char"/>
    <w:uiPriority w:val="9"/>
    <w:qFormat/>
    <w:rsid w:val="00F042AD"/>
    <w:pPr>
      <w:spacing w:before="240" w:after="60"/>
      <w:outlineLvl w:val="7"/>
    </w:pPr>
    <w:rPr>
      <w:i/>
      <w:iCs/>
    </w:rPr>
  </w:style>
  <w:style w:type="paragraph" w:styleId="Heading9">
    <w:name w:val="heading 9"/>
    <w:basedOn w:val="Normal"/>
    <w:next w:val="Normal"/>
    <w:link w:val="Heading9Char"/>
    <w:uiPriority w:val="9"/>
    <w:qFormat/>
    <w:rsid w:val="00F042A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BA51B6"/>
    <w:rPr>
      <w:rFonts w:cs="Arial"/>
      <w:b/>
      <w:iCs/>
      <w:kern w:val="32"/>
      <w:sz w:val="24"/>
      <w:szCs w:val="28"/>
      <w:lang w:eastAsia="en-US"/>
    </w:rPr>
  </w:style>
  <w:style w:type="character" w:customStyle="1" w:styleId="Heading3Char">
    <w:name w:val="Heading 3 Char"/>
    <w:link w:val="Heading3"/>
    <w:uiPriority w:val="9"/>
    <w:locked/>
    <w:rsid w:val="00BA51B6"/>
    <w:rPr>
      <w:rFonts w:cs="Arial"/>
      <w:b/>
      <w:bCs/>
      <w:iCs/>
      <w:kern w:val="32"/>
      <w:sz w:val="24"/>
      <w:szCs w:val="27"/>
      <w:lang w:eastAsia="en-US"/>
    </w:rPr>
  </w:style>
  <w:style w:type="paragraph" w:styleId="NormalWeb">
    <w:name w:val="Normal (Web)"/>
    <w:basedOn w:val="Normal"/>
    <w:link w:val="NormalWebChar"/>
    <w:uiPriority w:val="99"/>
    <w:rsid w:val="00763B3E"/>
    <w:pPr>
      <w:spacing w:before="100" w:beforeAutospacing="1" w:after="100" w:afterAutospacing="1"/>
    </w:pPr>
  </w:style>
  <w:style w:type="character" w:customStyle="1" w:styleId="NormalWebChar">
    <w:name w:val="Normal (Web) Char"/>
    <w:basedOn w:val="DefaultParagraphFont"/>
    <w:link w:val="NormalWeb"/>
    <w:uiPriority w:val="99"/>
    <w:rsid w:val="007761A9"/>
    <w:rPr>
      <w:sz w:val="24"/>
      <w:szCs w:val="24"/>
      <w:lang w:val="en-GB" w:eastAsia="hr-HR" w:bidi="ar-SA"/>
    </w:rPr>
  </w:style>
  <w:style w:type="character" w:styleId="Hyperlink">
    <w:name w:val="Hyperlink"/>
    <w:basedOn w:val="DefaultParagraphFont"/>
    <w:uiPriority w:val="99"/>
    <w:rsid w:val="00763B3E"/>
    <w:rPr>
      <w:color w:val="0000FF"/>
      <w:u w:val="single"/>
    </w:rPr>
  </w:style>
  <w:style w:type="paragraph" w:customStyle="1" w:styleId="justifycenter">
    <w:name w:val="justify_center"/>
    <w:basedOn w:val="Normal"/>
    <w:rsid w:val="00763B3E"/>
    <w:pPr>
      <w:spacing w:before="100" w:beforeAutospacing="1" w:after="100" w:afterAutospacing="1"/>
    </w:pPr>
  </w:style>
  <w:style w:type="character" w:customStyle="1" w:styleId="fontunderline">
    <w:name w:val="font_underline"/>
    <w:basedOn w:val="DefaultParagraphFont"/>
    <w:rsid w:val="00763B3E"/>
  </w:style>
  <w:style w:type="character" w:customStyle="1" w:styleId="fontbold">
    <w:name w:val="font_bold"/>
    <w:basedOn w:val="DefaultParagraphFont"/>
    <w:rsid w:val="00763B3E"/>
  </w:style>
  <w:style w:type="character" w:customStyle="1" w:styleId="toctoggle">
    <w:name w:val="toctoggle"/>
    <w:basedOn w:val="DefaultParagraphFont"/>
    <w:rsid w:val="00763B3E"/>
  </w:style>
  <w:style w:type="character" w:customStyle="1" w:styleId="tocnumber">
    <w:name w:val="tocnumber"/>
    <w:basedOn w:val="DefaultParagraphFont"/>
    <w:rsid w:val="00763B3E"/>
  </w:style>
  <w:style w:type="character" w:customStyle="1" w:styleId="toctext">
    <w:name w:val="toctext"/>
    <w:basedOn w:val="DefaultParagraphFont"/>
    <w:rsid w:val="00763B3E"/>
  </w:style>
  <w:style w:type="character" w:customStyle="1" w:styleId="mw-headline">
    <w:name w:val="mw-headline"/>
    <w:basedOn w:val="DefaultParagraphFont"/>
    <w:rsid w:val="00763B3E"/>
  </w:style>
  <w:style w:type="character" w:customStyle="1" w:styleId="editsectionmoved">
    <w:name w:val="editsectionmoved"/>
    <w:basedOn w:val="DefaultParagraphFont"/>
    <w:rsid w:val="00763B3E"/>
  </w:style>
  <w:style w:type="paragraph" w:customStyle="1" w:styleId="fineprint">
    <w:name w:val="fineprint"/>
    <w:basedOn w:val="Normal"/>
    <w:rsid w:val="00763B3E"/>
    <w:pPr>
      <w:spacing w:before="100" w:beforeAutospacing="1" w:after="100" w:afterAutospacing="1"/>
    </w:pPr>
  </w:style>
  <w:style w:type="paragraph" w:customStyle="1" w:styleId="mcomm">
    <w:name w:val="mcomm"/>
    <w:basedOn w:val="Normal"/>
    <w:rsid w:val="00763B3E"/>
    <w:pPr>
      <w:spacing w:before="100" w:beforeAutospacing="1" w:after="100" w:afterAutospacing="1"/>
    </w:pPr>
  </w:style>
  <w:style w:type="paragraph" w:customStyle="1" w:styleId="mprintdark">
    <w:name w:val="mprint dark"/>
    <w:basedOn w:val="Normal"/>
    <w:rsid w:val="00763B3E"/>
    <w:pPr>
      <w:spacing w:before="100" w:beforeAutospacing="1" w:after="100" w:afterAutospacing="1"/>
    </w:pPr>
  </w:style>
  <w:style w:type="paragraph" w:customStyle="1" w:styleId="msend">
    <w:name w:val="msend"/>
    <w:basedOn w:val="Normal"/>
    <w:rsid w:val="00763B3E"/>
    <w:pPr>
      <w:spacing w:before="100" w:beforeAutospacing="1" w:after="100" w:afterAutospacing="1"/>
    </w:pPr>
  </w:style>
  <w:style w:type="paragraph" w:customStyle="1" w:styleId="dark">
    <w:name w:val="dark"/>
    <w:basedOn w:val="Normal"/>
    <w:rsid w:val="00D0773B"/>
    <w:pPr>
      <w:spacing w:before="100" w:beforeAutospacing="1" w:after="100" w:afterAutospacing="1"/>
    </w:pPr>
  </w:style>
  <w:style w:type="character" w:customStyle="1" w:styleId="editsection">
    <w:name w:val="editsection"/>
    <w:basedOn w:val="DefaultParagraphFont"/>
    <w:rsid w:val="00C4514C"/>
  </w:style>
  <w:style w:type="character" w:styleId="Strong">
    <w:name w:val="Strong"/>
    <w:basedOn w:val="DefaultParagraphFont"/>
    <w:qFormat/>
    <w:rsid w:val="001A79E6"/>
    <w:rPr>
      <w:b/>
      <w:bCs/>
    </w:rPr>
  </w:style>
  <w:style w:type="character" w:styleId="Emphasis">
    <w:name w:val="Emphasis"/>
    <w:basedOn w:val="DefaultParagraphFont"/>
    <w:qFormat/>
    <w:rsid w:val="001A79E6"/>
    <w:rPr>
      <w:i/>
      <w:iCs/>
    </w:rPr>
  </w:style>
  <w:style w:type="paragraph" w:styleId="BodyTextIndent">
    <w:name w:val="Body Text Indent"/>
    <w:basedOn w:val="Normal"/>
    <w:link w:val="BodyTextIndentChar"/>
    <w:rsid w:val="001A79E6"/>
    <w:pPr>
      <w:spacing w:before="100" w:beforeAutospacing="1" w:after="100" w:afterAutospacing="1"/>
    </w:pPr>
  </w:style>
  <w:style w:type="paragraph" w:styleId="HTMLPreformatted">
    <w:name w:val="HTML Preformatted"/>
    <w:basedOn w:val="Normal"/>
    <w:link w:val="HTMLPreformattedChar"/>
    <w:rsid w:val="001A7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FollowedHyperlink">
    <w:name w:val="FollowedHyperlink"/>
    <w:basedOn w:val="DefaultParagraphFont"/>
    <w:rsid w:val="00120535"/>
    <w:rPr>
      <w:color w:val="0000FF"/>
      <w:u w:val="single"/>
    </w:rPr>
  </w:style>
  <w:style w:type="character" w:customStyle="1" w:styleId="fontbold1">
    <w:name w:val="font_bold1"/>
    <w:basedOn w:val="DefaultParagraphFont"/>
    <w:rsid w:val="00120535"/>
    <w:rPr>
      <w:b/>
      <w:bCs/>
    </w:rPr>
  </w:style>
  <w:style w:type="table" w:styleId="TableGrid">
    <w:name w:val="Table Grid"/>
    <w:basedOn w:val="TableNormal"/>
    <w:uiPriority w:val="59"/>
    <w:rsid w:val="00BE2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VINASLOV">
    <w:name w:val="PRVI NASLOV"/>
    <w:basedOn w:val="Normal"/>
    <w:qFormat/>
    <w:rsid w:val="00C01F2A"/>
    <w:pPr>
      <w:spacing w:before="240" w:after="120"/>
    </w:pPr>
    <w:rPr>
      <w:rFonts w:ascii="Arial" w:hAnsi="Arial" w:cs="Arial"/>
      <w:b/>
      <w:bCs/>
      <w:kern w:val="32"/>
      <w:sz w:val="32"/>
      <w:szCs w:val="32"/>
      <w:lang w:eastAsia="hr-HR"/>
    </w:rPr>
  </w:style>
  <w:style w:type="paragraph" w:styleId="Footer">
    <w:name w:val="footer"/>
    <w:basedOn w:val="Normal"/>
    <w:link w:val="FooterChar"/>
    <w:uiPriority w:val="99"/>
    <w:rsid w:val="00F53A6C"/>
    <w:pPr>
      <w:tabs>
        <w:tab w:val="center" w:pos="4536"/>
        <w:tab w:val="right" w:pos="9072"/>
      </w:tabs>
      <w:ind w:left="170" w:hanging="170"/>
      <w:jc w:val="both"/>
    </w:pPr>
    <w:rPr>
      <w:rFonts w:ascii="Arial" w:hAnsi="Arial"/>
      <w:sz w:val="20"/>
    </w:rPr>
  </w:style>
  <w:style w:type="character" w:styleId="PageNumber">
    <w:name w:val="page number"/>
    <w:basedOn w:val="DefaultParagraphFont"/>
    <w:rsid w:val="00257AF4"/>
  </w:style>
  <w:style w:type="paragraph" w:styleId="Header">
    <w:name w:val="header"/>
    <w:basedOn w:val="Normal"/>
    <w:link w:val="HeaderChar"/>
    <w:uiPriority w:val="99"/>
    <w:rsid w:val="00257AF4"/>
    <w:pPr>
      <w:tabs>
        <w:tab w:val="center" w:pos="4536"/>
        <w:tab w:val="right" w:pos="9072"/>
      </w:tabs>
    </w:pPr>
    <w:rPr>
      <w:lang w:eastAsia="hr-HR"/>
    </w:rPr>
  </w:style>
  <w:style w:type="character" w:customStyle="1" w:styleId="HeaderChar">
    <w:name w:val="Header Char"/>
    <w:link w:val="Header"/>
    <w:uiPriority w:val="99"/>
    <w:locked/>
    <w:rsid w:val="00BA51B6"/>
    <w:rPr>
      <w:sz w:val="24"/>
      <w:szCs w:val="24"/>
      <w:lang w:val="en-GB" w:eastAsia="hr-HR" w:bidi="ar-SA"/>
    </w:rPr>
  </w:style>
  <w:style w:type="paragraph" w:customStyle="1" w:styleId="DRUGINASLOV">
    <w:name w:val="DRUGI NASLOV"/>
    <w:basedOn w:val="Normal"/>
    <w:uiPriority w:val="99"/>
    <w:rsid w:val="00C01F2A"/>
    <w:pPr>
      <w:tabs>
        <w:tab w:val="left" w:pos="567"/>
      </w:tabs>
      <w:spacing w:before="240" w:after="120"/>
    </w:pPr>
    <w:rPr>
      <w:rFonts w:ascii="Arial" w:hAnsi="Arial" w:cs="Arial"/>
      <w:b/>
      <w:iCs/>
      <w:kern w:val="32"/>
      <w:sz w:val="28"/>
      <w:szCs w:val="28"/>
      <w:lang w:eastAsia="hr-HR"/>
    </w:rPr>
  </w:style>
  <w:style w:type="paragraph" w:customStyle="1" w:styleId="Tekst">
    <w:name w:val="Tekst"/>
    <w:basedOn w:val="NormalWeb"/>
    <w:link w:val="TekstChar"/>
    <w:qFormat/>
    <w:rsid w:val="004049FA"/>
    <w:pPr>
      <w:spacing w:before="80" w:beforeAutospacing="0" w:after="0" w:afterAutospacing="0"/>
      <w:jc w:val="both"/>
    </w:pPr>
    <w:rPr>
      <w:rFonts w:ascii="Arial" w:hAnsi="Arial" w:cs="Tahoma"/>
      <w:sz w:val="22"/>
    </w:rPr>
  </w:style>
  <w:style w:type="character" w:customStyle="1" w:styleId="TekstChar">
    <w:name w:val="Tekst Char"/>
    <w:basedOn w:val="NormalWebChar"/>
    <w:link w:val="Tekst"/>
    <w:rsid w:val="004049FA"/>
    <w:rPr>
      <w:rFonts w:ascii="Arial" w:hAnsi="Arial" w:cs="Tahoma"/>
      <w:sz w:val="22"/>
      <w:szCs w:val="24"/>
      <w:lang w:val="en-GB" w:eastAsia="en-US" w:bidi="ar-SA"/>
    </w:rPr>
  </w:style>
  <w:style w:type="paragraph" w:customStyle="1" w:styleId="TREINASLOV">
    <w:name w:val="TREĆI NASLOV"/>
    <w:basedOn w:val="Normal"/>
    <w:uiPriority w:val="99"/>
    <w:rsid w:val="00C01F2A"/>
    <w:pPr>
      <w:tabs>
        <w:tab w:val="left" w:pos="851"/>
      </w:tabs>
      <w:spacing w:before="240" w:after="120"/>
    </w:pPr>
    <w:rPr>
      <w:rFonts w:ascii="Arial" w:hAnsi="Arial" w:cs="Arial"/>
      <w:b/>
      <w:bCs/>
      <w:iCs/>
      <w:kern w:val="32"/>
      <w:sz w:val="26"/>
      <w:szCs w:val="26"/>
      <w:lang w:eastAsia="hr-HR"/>
    </w:rPr>
  </w:style>
  <w:style w:type="paragraph" w:customStyle="1" w:styleId="Tackice">
    <w:name w:val="Tackice"/>
    <w:basedOn w:val="Tekst"/>
    <w:uiPriority w:val="99"/>
    <w:rsid w:val="00B7143A"/>
    <w:pPr>
      <w:numPr>
        <w:numId w:val="15"/>
      </w:numPr>
      <w:ind w:left="714" w:hanging="357"/>
    </w:pPr>
    <w:rPr>
      <w:color w:val="000000"/>
    </w:rPr>
  </w:style>
  <w:style w:type="paragraph" w:styleId="TOC2">
    <w:name w:val="toc 2"/>
    <w:basedOn w:val="Normal"/>
    <w:next w:val="Normal"/>
    <w:autoRedefine/>
    <w:uiPriority w:val="39"/>
    <w:rsid w:val="00D11FCC"/>
    <w:pPr>
      <w:tabs>
        <w:tab w:val="left" w:pos="567"/>
        <w:tab w:val="left" w:pos="993"/>
        <w:tab w:val="left" w:pos="1680"/>
        <w:tab w:val="right" w:leader="dot" w:pos="9072"/>
      </w:tabs>
      <w:spacing w:after="40"/>
      <w:ind w:left="471"/>
    </w:pPr>
    <w:rPr>
      <w:rFonts w:ascii="Arial" w:hAnsi="Arial"/>
      <w:b/>
      <w:noProof/>
      <w:sz w:val="20"/>
    </w:rPr>
  </w:style>
  <w:style w:type="paragraph" w:styleId="TOC1">
    <w:name w:val="toc 1"/>
    <w:next w:val="Normal"/>
    <w:autoRedefine/>
    <w:uiPriority w:val="39"/>
    <w:rsid w:val="00461CD6"/>
    <w:pPr>
      <w:tabs>
        <w:tab w:val="right" w:leader="dot" w:pos="9072"/>
      </w:tabs>
    </w:pPr>
    <w:rPr>
      <w:rFonts w:ascii="Arial" w:hAnsi="Arial" w:cs="Arial"/>
      <w:b/>
      <w:bCs/>
      <w:caps/>
      <w:noProof/>
      <w:kern w:val="32"/>
    </w:rPr>
  </w:style>
  <w:style w:type="paragraph" w:styleId="TOC3">
    <w:name w:val="toc 3"/>
    <w:basedOn w:val="Normal"/>
    <w:next w:val="Normal"/>
    <w:autoRedefine/>
    <w:uiPriority w:val="39"/>
    <w:rsid w:val="001A4E89"/>
    <w:pPr>
      <w:tabs>
        <w:tab w:val="left" w:pos="1418"/>
        <w:tab w:val="right" w:leader="dot" w:pos="9072"/>
      </w:tabs>
      <w:ind w:left="851"/>
    </w:pPr>
    <w:rPr>
      <w:rFonts w:ascii="Arial" w:hAnsi="Arial" w:cs="Arial"/>
      <w:bCs/>
      <w:iCs/>
      <w:noProof/>
      <w:sz w:val="20"/>
      <w:szCs w:val="20"/>
    </w:rPr>
  </w:style>
  <w:style w:type="paragraph" w:customStyle="1" w:styleId="Brojevi">
    <w:name w:val="Brojevi"/>
    <w:basedOn w:val="Tekst"/>
    <w:next w:val="Tekst"/>
    <w:rsid w:val="00FC1868"/>
    <w:pPr>
      <w:numPr>
        <w:numId w:val="2"/>
      </w:numPr>
      <w:spacing w:before="0"/>
    </w:pPr>
  </w:style>
  <w:style w:type="paragraph" w:styleId="BalloonText">
    <w:name w:val="Balloon Text"/>
    <w:basedOn w:val="Normal"/>
    <w:link w:val="BalloonTextChar"/>
    <w:uiPriority w:val="99"/>
    <w:semiHidden/>
    <w:rsid w:val="00AB70DC"/>
    <w:rPr>
      <w:rFonts w:ascii="Tahoma" w:hAnsi="Tahoma" w:cs="Tahoma"/>
      <w:sz w:val="16"/>
      <w:szCs w:val="16"/>
    </w:rPr>
  </w:style>
  <w:style w:type="character" w:customStyle="1" w:styleId="BalloonTextChar">
    <w:name w:val="Balloon Text Char"/>
    <w:link w:val="BalloonText"/>
    <w:uiPriority w:val="99"/>
    <w:semiHidden/>
    <w:locked/>
    <w:rsid w:val="00BA51B6"/>
    <w:rPr>
      <w:rFonts w:ascii="Tahoma" w:hAnsi="Tahoma" w:cs="Tahoma"/>
      <w:sz w:val="16"/>
      <w:szCs w:val="16"/>
      <w:lang w:val="en-GB" w:eastAsia="en-US" w:bidi="ar-SA"/>
    </w:rPr>
  </w:style>
  <w:style w:type="paragraph" w:styleId="BlockText">
    <w:name w:val="Block Text"/>
    <w:basedOn w:val="Normal"/>
    <w:rsid w:val="00AB70DC"/>
    <w:pPr>
      <w:spacing w:after="120"/>
      <w:ind w:left="1440" w:right="1440"/>
    </w:pPr>
  </w:style>
  <w:style w:type="paragraph" w:styleId="BodyText">
    <w:name w:val="Body Text"/>
    <w:basedOn w:val="Normal"/>
    <w:link w:val="BodyTextChar"/>
    <w:rsid w:val="00AB70DC"/>
    <w:pPr>
      <w:spacing w:after="120"/>
    </w:pPr>
  </w:style>
  <w:style w:type="paragraph" w:styleId="BodyText2">
    <w:name w:val="Body Text 2"/>
    <w:basedOn w:val="Normal"/>
    <w:link w:val="BodyText2Char"/>
    <w:rsid w:val="00AB70DC"/>
    <w:pPr>
      <w:spacing w:after="120" w:line="480" w:lineRule="auto"/>
    </w:pPr>
  </w:style>
  <w:style w:type="paragraph" w:styleId="BodyText3">
    <w:name w:val="Body Text 3"/>
    <w:basedOn w:val="Normal"/>
    <w:link w:val="BodyText3Char"/>
    <w:rsid w:val="00AB70DC"/>
    <w:pPr>
      <w:spacing w:after="120"/>
    </w:pPr>
    <w:rPr>
      <w:sz w:val="16"/>
      <w:szCs w:val="16"/>
    </w:rPr>
  </w:style>
  <w:style w:type="paragraph" w:styleId="BodyTextFirstIndent">
    <w:name w:val="Body Text First Indent"/>
    <w:basedOn w:val="BodyText"/>
    <w:link w:val="BodyTextFirstIndentChar"/>
    <w:rsid w:val="00AB70DC"/>
    <w:pPr>
      <w:ind w:firstLine="210"/>
    </w:pPr>
  </w:style>
  <w:style w:type="paragraph" w:styleId="BodyTextFirstIndent2">
    <w:name w:val="Body Text First Indent 2"/>
    <w:basedOn w:val="BodyTextIndent"/>
    <w:link w:val="BodyTextFirstIndent2Char"/>
    <w:rsid w:val="00AB70DC"/>
    <w:pPr>
      <w:spacing w:before="0" w:beforeAutospacing="0" w:after="120" w:afterAutospacing="0"/>
      <w:ind w:left="283" w:firstLine="210"/>
    </w:pPr>
  </w:style>
  <w:style w:type="paragraph" w:styleId="BodyTextIndent2">
    <w:name w:val="Body Text Indent 2"/>
    <w:basedOn w:val="Normal"/>
    <w:link w:val="BodyTextIndent2Char"/>
    <w:rsid w:val="00AB70DC"/>
    <w:pPr>
      <w:spacing w:after="120" w:line="480" w:lineRule="auto"/>
      <w:ind w:left="283"/>
    </w:pPr>
  </w:style>
  <w:style w:type="paragraph" w:styleId="BodyTextIndent3">
    <w:name w:val="Body Text Indent 3"/>
    <w:basedOn w:val="Normal"/>
    <w:link w:val="BodyTextIndent3Char"/>
    <w:rsid w:val="00AB70DC"/>
    <w:pPr>
      <w:spacing w:after="120"/>
      <w:ind w:left="283"/>
    </w:pPr>
    <w:rPr>
      <w:sz w:val="16"/>
      <w:szCs w:val="16"/>
    </w:rPr>
  </w:style>
  <w:style w:type="paragraph" w:styleId="Caption">
    <w:name w:val="caption"/>
    <w:basedOn w:val="Normal"/>
    <w:next w:val="Normal"/>
    <w:uiPriority w:val="35"/>
    <w:qFormat/>
    <w:rsid w:val="0062416E"/>
    <w:pPr>
      <w:spacing w:before="120" w:after="120"/>
    </w:pPr>
    <w:rPr>
      <w:rFonts w:ascii="Arial" w:hAnsi="Arial"/>
      <w:b/>
      <w:bCs/>
      <w:sz w:val="20"/>
      <w:szCs w:val="20"/>
    </w:rPr>
  </w:style>
  <w:style w:type="paragraph" w:styleId="Closing">
    <w:name w:val="Closing"/>
    <w:basedOn w:val="Normal"/>
    <w:link w:val="ClosingChar"/>
    <w:rsid w:val="00AB70DC"/>
    <w:pPr>
      <w:ind w:left="4252"/>
    </w:pPr>
  </w:style>
  <w:style w:type="paragraph" w:styleId="CommentText">
    <w:name w:val="annotation text"/>
    <w:basedOn w:val="Normal"/>
    <w:link w:val="CommentTextChar"/>
    <w:uiPriority w:val="99"/>
    <w:rsid w:val="00AB70DC"/>
    <w:rPr>
      <w:sz w:val="20"/>
      <w:szCs w:val="20"/>
    </w:rPr>
  </w:style>
  <w:style w:type="character" w:customStyle="1" w:styleId="CommentTextChar">
    <w:name w:val="Comment Text Char"/>
    <w:link w:val="CommentText"/>
    <w:uiPriority w:val="99"/>
    <w:locked/>
    <w:rsid w:val="00BA51B6"/>
    <w:rPr>
      <w:lang w:val="en-GB" w:eastAsia="hr-HR" w:bidi="ar-SA"/>
    </w:rPr>
  </w:style>
  <w:style w:type="paragraph" w:styleId="CommentSubject">
    <w:name w:val="annotation subject"/>
    <w:basedOn w:val="CommentText"/>
    <w:next w:val="CommentText"/>
    <w:link w:val="CommentSubjectChar"/>
    <w:uiPriority w:val="99"/>
    <w:semiHidden/>
    <w:rsid w:val="00AB70DC"/>
    <w:rPr>
      <w:b/>
      <w:bCs/>
    </w:rPr>
  </w:style>
  <w:style w:type="paragraph" w:styleId="Date">
    <w:name w:val="Date"/>
    <w:basedOn w:val="Normal"/>
    <w:next w:val="Normal"/>
    <w:link w:val="DateChar"/>
    <w:rsid w:val="00AB70DC"/>
  </w:style>
  <w:style w:type="paragraph" w:styleId="DocumentMap">
    <w:name w:val="Document Map"/>
    <w:basedOn w:val="Normal"/>
    <w:link w:val="DocumentMapChar"/>
    <w:semiHidden/>
    <w:rsid w:val="00AB70DC"/>
    <w:pPr>
      <w:shd w:val="clear" w:color="auto" w:fill="000080"/>
    </w:pPr>
    <w:rPr>
      <w:rFonts w:ascii="Tahoma" w:hAnsi="Tahoma" w:cs="Tahoma"/>
      <w:sz w:val="20"/>
      <w:szCs w:val="20"/>
    </w:rPr>
  </w:style>
  <w:style w:type="paragraph" w:styleId="E-mailSignature">
    <w:name w:val="E-mail Signature"/>
    <w:basedOn w:val="Normal"/>
    <w:link w:val="E-mailSignatureChar"/>
    <w:rsid w:val="00AB70DC"/>
  </w:style>
  <w:style w:type="paragraph" w:styleId="EndnoteText">
    <w:name w:val="endnote text"/>
    <w:basedOn w:val="Normal"/>
    <w:link w:val="EndnoteTextChar"/>
    <w:semiHidden/>
    <w:rsid w:val="00AB70DC"/>
    <w:rPr>
      <w:sz w:val="20"/>
      <w:szCs w:val="20"/>
    </w:rPr>
  </w:style>
  <w:style w:type="paragraph" w:styleId="EnvelopeAddress">
    <w:name w:val="envelope address"/>
    <w:basedOn w:val="Normal"/>
    <w:rsid w:val="00AB70DC"/>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AB70DC"/>
    <w:rPr>
      <w:rFonts w:ascii="Arial" w:hAnsi="Arial" w:cs="Arial"/>
      <w:sz w:val="20"/>
      <w:szCs w:val="20"/>
    </w:rPr>
  </w:style>
  <w:style w:type="paragraph" w:styleId="FootnoteText">
    <w:name w:val="footnote text"/>
    <w:aliases w:val="n,Footnote Text Char,Footnote Text Char Char Char,Footnote Text Char Char,Fußnote,Footnote Text Char1,Fußnotentext Char Char2 Char,Char Char1 Char2 Char,Fußnotentext Char Char Char1 Char,Char Char1 Char Char1 Char,single space,Footnote,fn"/>
    <w:basedOn w:val="Normal"/>
    <w:link w:val="FootnoteTextChar2"/>
    <w:qFormat/>
    <w:rsid w:val="00AB70DC"/>
    <w:rPr>
      <w:sz w:val="20"/>
      <w:szCs w:val="20"/>
    </w:rPr>
  </w:style>
  <w:style w:type="character" w:customStyle="1" w:styleId="FootnoteTextChar2">
    <w:name w:val="Footnote Text Char2"/>
    <w:aliases w:val="n Char1,Footnote Text Char Char1,Footnote Text Char Char Char Char,Footnote Text Char Char Char1,Fußnote Char,Footnote Text Char1 Char,Fußnotentext Char Char2 Char Char,Char Char1 Char2 Char Char,Char Char1 Char Char1 Char Char"/>
    <w:basedOn w:val="DefaultParagraphFont"/>
    <w:link w:val="FootnoteText"/>
    <w:rsid w:val="00C745BD"/>
    <w:rPr>
      <w:lang w:val="en-GB" w:eastAsia="hr-HR" w:bidi="ar-SA"/>
    </w:rPr>
  </w:style>
  <w:style w:type="paragraph" w:styleId="HTMLAddress">
    <w:name w:val="HTML Address"/>
    <w:basedOn w:val="Normal"/>
    <w:link w:val="HTMLAddressChar"/>
    <w:rsid w:val="00AB70DC"/>
    <w:rPr>
      <w:i/>
      <w:iCs/>
    </w:rPr>
  </w:style>
  <w:style w:type="paragraph" w:styleId="Index1">
    <w:name w:val="index 1"/>
    <w:basedOn w:val="Normal"/>
    <w:next w:val="Normal"/>
    <w:autoRedefine/>
    <w:semiHidden/>
    <w:rsid w:val="00AB70DC"/>
    <w:pPr>
      <w:ind w:left="240" w:hanging="240"/>
    </w:pPr>
  </w:style>
  <w:style w:type="paragraph" w:styleId="Index2">
    <w:name w:val="index 2"/>
    <w:basedOn w:val="Normal"/>
    <w:next w:val="Normal"/>
    <w:autoRedefine/>
    <w:semiHidden/>
    <w:rsid w:val="00AB70DC"/>
    <w:pPr>
      <w:ind w:left="480" w:hanging="240"/>
    </w:pPr>
  </w:style>
  <w:style w:type="paragraph" w:styleId="Index3">
    <w:name w:val="index 3"/>
    <w:basedOn w:val="Normal"/>
    <w:next w:val="Normal"/>
    <w:autoRedefine/>
    <w:semiHidden/>
    <w:rsid w:val="00AB70DC"/>
    <w:pPr>
      <w:ind w:left="720" w:hanging="240"/>
    </w:pPr>
  </w:style>
  <w:style w:type="paragraph" w:styleId="Index4">
    <w:name w:val="index 4"/>
    <w:basedOn w:val="Normal"/>
    <w:next w:val="Normal"/>
    <w:autoRedefine/>
    <w:semiHidden/>
    <w:rsid w:val="00AB70DC"/>
    <w:pPr>
      <w:ind w:left="960" w:hanging="240"/>
    </w:pPr>
  </w:style>
  <w:style w:type="paragraph" w:styleId="Index5">
    <w:name w:val="index 5"/>
    <w:basedOn w:val="Normal"/>
    <w:next w:val="Normal"/>
    <w:autoRedefine/>
    <w:semiHidden/>
    <w:rsid w:val="00AB70DC"/>
    <w:pPr>
      <w:ind w:left="1200" w:hanging="240"/>
    </w:pPr>
  </w:style>
  <w:style w:type="paragraph" w:styleId="Index6">
    <w:name w:val="index 6"/>
    <w:basedOn w:val="Normal"/>
    <w:next w:val="Normal"/>
    <w:autoRedefine/>
    <w:semiHidden/>
    <w:rsid w:val="00AB70DC"/>
    <w:pPr>
      <w:ind w:left="1440" w:hanging="240"/>
    </w:pPr>
  </w:style>
  <w:style w:type="paragraph" w:styleId="Index7">
    <w:name w:val="index 7"/>
    <w:basedOn w:val="Normal"/>
    <w:next w:val="Normal"/>
    <w:autoRedefine/>
    <w:semiHidden/>
    <w:rsid w:val="00AB70DC"/>
    <w:pPr>
      <w:ind w:left="1680" w:hanging="240"/>
    </w:pPr>
  </w:style>
  <w:style w:type="paragraph" w:styleId="Index8">
    <w:name w:val="index 8"/>
    <w:basedOn w:val="Normal"/>
    <w:next w:val="Normal"/>
    <w:autoRedefine/>
    <w:semiHidden/>
    <w:rsid w:val="00AB70DC"/>
    <w:pPr>
      <w:ind w:left="1920" w:hanging="240"/>
    </w:pPr>
  </w:style>
  <w:style w:type="paragraph" w:styleId="Index9">
    <w:name w:val="index 9"/>
    <w:basedOn w:val="Normal"/>
    <w:next w:val="Normal"/>
    <w:autoRedefine/>
    <w:semiHidden/>
    <w:rsid w:val="00AB70DC"/>
    <w:pPr>
      <w:ind w:left="2160" w:hanging="240"/>
    </w:pPr>
  </w:style>
  <w:style w:type="paragraph" w:styleId="IndexHeading">
    <w:name w:val="index heading"/>
    <w:basedOn w:val="Normal"/>
    <w:next w:val="Index1"/>
    <w:semiHidden/>
    <w:rsid w:val="00AB70DC"/>
    <w:rPr>
      <w:rFonts w:ascii="Arial" w:hAnsi="Arial" w:cs="Arial"/>
      <w:b/>
      <w:bCs/>
    </w:rPr>
  </w:style>
  <w:style w:type="paragraph" w:styleId="List">
    <w:name w:val="List"/>
    <w:basedOn w:val="Normal"/>
    <w:rsid w:val="00AB70DC"/>
    <w:pPr>
      <w:ind w:left="283" w:hanging="283"/>
    </w:pPr>
  </w:style>
  <w:style w:type="paragraph" w:styleId="List2">
    <w:name w:val="List 2"/>
    <w:basedOn w:val="Normal"/>
    <w:rsid w:val="00AB70DC"/>
    <w:pPr>
      <w:ind w:left="566" w:hanging="283"/>
    </w:pPr>
  </w:style>
  <w:style w:type="paragraph" w:styleId="List3">
    <w:name w:val="List 3"/>
    <w:basedOn w:val="Normal"/>
    <w:rsid w:val="00AB70DC"/>
    <w:pPr>
      <w:ind w:left="849" w:hanging="283"/>
    </w:pPr>
  </w:style>
  <w:style w:type="paragraph" w:styleId="List4">
    <w:name w:val="List 4"/>
    <w:basedOn w:val="Normal"/>
    <w:rsid w:val="00AB70DC"/>
    <w:pPr>
      <w:ind w:left="1132" w:hanging="283"/>
    </w:pPr>
  </w:style>
  <w:style w:type="paragraph" w:styleId="List5">
    <w:name w:val="List 5"/>
    <w:basedOn w:val="Normal"/>
    <w:rsid w:val="00AB70DC"/>
    <w:pPr>
      <w:ind w:left="1415" w:hanging="283"/>
    </w:pPr>
  </w:style>
  <w:style w:type="paragraph" w:styleId="ListBullet">
    <w:name w:val="List Bullet"/>
    <w:basedOn w:val="Normal"/>
    <w:rsid w:val="00AB70DC"/>
    <w:pPr>
      <w:numPr>
        <w:numId w:val="3"/>
      </w:numPr>
    </w:pPr>
  </w:style>
  <w:style w:type="paragraph" w:styleId="ListBullet2">
    <w:name w:val="List Bullet 2"/>
    <w:basedOn w:val="Normal"/>
    <w:rsid w:val="00AB70DC"/>
    <w:pPr>
      <w:numPr>
        <w:numId w:val="4"/>
      </w:numPr>
    </w:pPr>
  </w:style>
  <w:style w:type="paragraph" w:styleId="ListBullet3">
    <w:name w:val="List Bullet 3"/>
    <w:basedOn w:val="Normal"/>
    <w:rsid w:val="00AB70DC"/>
    <w:pPr>
      <w:numPr>
        <w:numId w:val="5"/>
      </w:numPr>
    </w:pPr>
  </w:style>
  <w:style w:type="paragraph" w:styleId="ListBullet4">
    <w:name w:val="List Bullet 4"/>
    <w:basedOn w:val="Normal"/>
    <w:rsid w:val="00AB70DC"/>
    <w:pPr>
      <w:numPr>
        <w:numId w:val="6"/>
      </w:numPr>
    </w:pPr>
  </w:style>
  <w:style w:type="paragraph" w:styleId="ListBullet5">
    <w:name w:val="List Bullet 5"/>
    <w:basedOn w:val="Normal"/>
    <w:rsid w:val="00AB70DC"/>
    <w:pPr>
      <w:numPr>
        <w:numId w:val="7"/>
      </w:numPr>
    </w:pPr>
  </w:style>
  <w:style w:type="paragraph" w:styleId="ListContinue">
    <w:name w:val="List Continue"/>
    <w:basedOn w:val="Normal"/>
    <w:rsid w:val="00AB70DC"/>
    <w:pPr>
      <w:spacing w:after="120"/>
      <w:ind w:left="283"/>
    </w:pPr>
  </w:style>
  <w:style w:type="paragraph" w:styleId="ListContinue2">
    <w:name w:val="List Continue 2"/>
    <w:basedOn w:val="Normal"/>
    <w:rsid w:val="00AB70DC"/>
    <w:pPr>
      <w:spacing w:after="120"/>
      <w:ind w:left="566"/>
    </w:pPr>
  </w:style>
  <w:style w:type="paragraph" w:styleId="ListContinue3">
    <w:name w:val="List Continue 3"/>
    <w:basedOn w:val="Normal"/>
    <w:rsid w:val="00AB70DC"/>
    <w:pPr>
      <w:spacing w:after="120"/>
      <w:ind w:left="849"/>
    </w:pPr>
  </w:style>
  <w:style w:type="paragraph" w:styleId="ListContinue4">
    <w:name w:val="List Continue 4"/>
    <w:basedOn w:val="Normal"/>
    <w:rsid w:val="00AB70DC"/>
    <w:pPr>
      <w:spacing w:after="120"/>
      <w:ind w:left="1132"/>
    </w:pPr>
  </w:style>
  <w:style w:type="paragraph" w:styleId="ListContinue5">
    <w:name w:val="List Continue 5"/>
    <w:basedOn w:val="Normal"/>
    <w:rsid w:val="00AB70DC"/>
    <w:pPr>
      <w:spacing w:after="120"/>
      <w:ind w:left="1415"/>
    </w:pPr>
  </w:style>
  <w:style w:type="paragraph" w:styleId="ListNumber">
    <w:name w:val="List Number"/>
    <w:basedOn w:val="Normal"/>
    <w:rsid w:val="00AB70DC"/>
    <w:pPr>
      <w:numPr>
        <w:numId w:val="8"/>
      </w:numPr>
    </w:pPr>
  </w:style>
  <w:style w:type="paragraph" w:styleId="ListNumber2">
    <w:name w:val="List Number 2"/>
    <w:basedOn w:val="Normal"/>
    <w:rsid w:val="00AB70DC"/>
    <w:pPr>
      <w:numPr>
        <w:numId w:val="9"/>
      </w:numPr>
    </w:pPr>
  </w:style>
  <w:style w:type="paragraph" w:styleId="ListNumber3">
    <w:name w:val="List Number 3"/>
    <w:basedOn w:val="Normal"/>
    <w:rsid w:val="00AB70DC"/>
    <w:pPr>
      <w:numPr>
        <w:numId w:val="10"/>
      </w:numPr>
    </w:pPr>
  </w:style>
  <w:style w:type="paragraph" w:styleId="ListNumber4">
    <w:name w:val="List Number 4"/>
    <w:basedOn w:val="Normal"/>
    <w:rsid w:val="00AB70DC"/>
    <w:pPr>
      <w:numPr>
        <w:numId w:val="11"/>
      </w:numPr>
    </w:pPr>
  </w:style>
  <w:style w:type="paragraph" w:styleId="ListNumber5">
    <w:name w:val="List Number 5"/>
    <w:basedOn w:val="Normal"/>
    <w:rsid w:val="00AB70DC"/>
    <w:pPr>
      <w:numPr>
        <w:numId w:val="12"/>
      </w:numPr>
    </w:pPr>
  </w:style>
  <w:style w:type="paragraph" w:styleId="MacroText">
    <w:name w:val="macro"/>
    <w:link w:val="MacroTextChar"/>
    <w:semiHidden/>
    <w:rsid w:val="00AB70DC"/>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link w:val="MessageHeaderChar"/>
    <w:rsid w:val="00AB70D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Indent">
    <w:name w:val="Normal Indent"/>
    <w:basedOn w:val="Normal"/>
    <w:rsid w:val="00AB70DC"/>
    <w:pPr>
      <w:ind w:left="708"/>
    </w:pPr>
  </w:style>
  <w:style w:type="paragraph" w:styleId="NoteHeading">
    <w:name w:val="Note Heading"/>
    <w:basedOn w:val="Normal"/>
    <w:next w:val="Normal"/>
    <w:link w:val="NoteHeadingChar"/>
    <w:rsid w:val="00AB70DC"/>
  </w:style>
  <w:style w:type="paragraph" w:styleId="PlainText">
    <w:name w:val="Plain Text"/>
    <w:basedOn w:val="Normal"/>
    <w:link w:val="PlainTextChar"/>
    <w:uiPriority w:val="99"/>
    <w:rsid w:val="00AB70DC"/>
    <w:rPr>
      <w:rFonts w:ascii="Courier New" w:hAnsi="Courier New" w:cs="Courier New"/>
      <w:sz w:val="20"/>
      <w:szCs w:val="20"/>
    </w:rPr>
  </w:style>
  <w:style w:type="paragraph" w:styleId="Salutation">
    <w:name w:val="Salutation"/>
    <w:basedOn w:val="Normal"/>
    <w:next w:val="Normal"/>
    <w:link w:val="SalutationChar"/>
    <w:rsid w:val="00AB70DC"/>
  </w:style>
  <w:style w:type="paragraph" w:styleId="Signature">
    <w:name w:val="Signature"/>
    <w:basedOn w:val="Normal"/>
    <w:link w:val="SignatureChar"/>
    <w:rsid w:val="00AB70DC"/>
    <w:pPr>
      <w:ind w:left="4252"/>
    </w:pPr>
  </w:style>
  <w:style w:type="paragraph" w:styleId="Subtitle">
    <w:name w:val="Subtitle"/>
    <w:basedOn w:val="Normal"/>
    <w:link w:val="SubtitleChar"/>
    <w:qFormat/>
    <w:rsid w:val="00AB70DC"/>
    <w:pPr>
      <w:spacing w:after="60"/>
      <w:jc w:val="center"/>
      <w:outlineLvl w:val="1"/>
    </w:pPr>
    <w:rPr>
      <w:rFonts w:ascii="Arial" w:hAnsi="Arial" w:cs="Arial"/>
    </w:rPr>
  </w:style>
  <w:style w:type="paragraph" w:styleId="TableofAuthorities">
    <w:name w:val="table of authorities"/>
    <w:basedOn w:val="Normal"/>
    <w:next w:val="Normal"/>
    <w:semiHidden/>
    <w:rsid w:val="00AB70DC"/>
    <w:pPr>
      <w:ind w:left="240" w:hanging="240"/>
    </w:pPr>
  </w:style>
  <w:style w:type="paragraph" w:styleId="TableofFigures">
    <w:name w:val="table of figures"/>
    <w:basedOn w:val="Normal"/>
    <w:next w:val="Normal"/>
    <w:semiHidden/>
    <w:rsid w:val="00AB70DC"/>
  </w:style>
  <w:style w:type="paragraph" w:styleId="Title">
    <w:name w:val="Title"/>
    <w:basedOn w:val="Normal"/>
    <w:link w:val="TitleChar"/>
    <w:qFormat/>
    <w:rsid w:val="00AB70DC"/>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AB70DC"/>
    <w:pPr>
      <w:spacing w:before="120"/>
    </w:pPr>
    <w:rPr>
      <w:rFonts w:ascii="Arial" w:hAnsi="Arial" w:cs="Arial"/>
      <w:b/>
      <w:bCs/>
    </w:rPr>
  </w:style>
  <w:style w:type="paragraph" w:styleId="TOC4">
    <w:name w:val="toc 4"/>
    <w:basedOn w:val="Normal"/>
    <w:next w:val="Normal"/>
    <w:autoRedefine/>
    <w:uiPriority w:val="39"/>
    <w:rsid w:val="00603664"/>
    <w:pPr>
      <w:tabs>
        <w:tab w:val="left" w:pos="2127"/>
        <w:tab w:val="right" w:leader="dot" w:pos="9072"/>
      </w:tabs>
      <w:ind w:left="720" w:firstLine="698"/>
    </w:pPr>
    <w:rPr>
      <w:rFonts w:ascii="Arial" w:hAnsi="Arial"/>
      <w:sz w:val="20"/>
    </w:rPr>
  </w:style>
  <w:style w:type="paragraph" w:styleId="TOC5">
    <w:name w:val="toc 5"/>
    <w:basedOn w:val="Normal"/>
    <w:next w:val="Normal"/>
    <w:autoRedefine/>
    <w:uiPriority w:val="39"/>
    <w:rsid w:val="00AB70DC"/>
    <w:pPr>
      <w:ind w:left="960"/>
    </w:pPr>
  </w:style>
  <w:style w:type="paragraph" w:styleId="TOC6">
    <w:name w:val="toc 6"/>
    <w:basedOn w:val="Normal"/>
    <w:next w:val="Normal"/>
    <w:autoRedefine/>
    <w:uiPriority w:val="39"/>
    <w:rsid w:val="00AB70DC"/>
    <w:pPr>
      <w:ind w:left="1200"/>
    </w:pPr>
  </w:style>
  <w:style w:type="paragraph" w:styleId="TOC7">
    <w:name w:val="toc 7"/>
    <w:basedOn w:val="Normal"/>
    <w:next w:val="Normal"/>
    <w:autoRedefine/>
    <w:uiPriority w:val="39"/>
    <w:rsid w:val="00AB70DC"/>
    <w:pPr>
      <w:ind w:left="1440"/>
    </w:pPr>
  </w:style>
  <w:style w:type="paragraph" w:styleId="TOC8">
    <w:name w:val="toc 8"/>
    <w:basedOn w:val="Normal"/>
    <w:next w:val="Normal"/>
    <w:autoRedefine/>
    <w:uiPriority w:val="39"/>
    <w:rsid w:val="00AB70DC"/>
    <w:pPr>
      <w:ind w:left="1680"/>
    </w:pPr>
  </w:style>
  <w:style w:type="paragraph" w:styleId="TOC9">
    <w:name w:val="toc 9"/>
    <w:basedOn w:val="Normal"/>
    <w:next w:val="Normal"/>
    <w:autoRedefine/>
    <w:uiPriority w:val="39"/>
    <w:rsid w:val="00AB70DC"/>
    <w:pPr>
      <w:ind w:left="1920"/>
    </w:pPr>
  </w:style>
  <w:style w:type="paragraph" w:customStyle="1" w:styleId="StyleHeading2TimesNewRoman13pt">
    <w:name w:val="Style Heading 2 + Times New Roman 13 pt"/>
    <w:basedOn w:val="Heading2"/>
    <w:rsid w:val="002D4D2F"/>
    <w:rPr>
      <w:b w:val="0"/>
      <w:bCs/>
      <w:i/>
    </w:rPr>
  </w:style>
  <w:style w:type="paragraph" w:customStyle="1" w:styleId="StyleHeading214ptAllcaps">
    <w:name w:val="Style Heading 2 + 14 pt All caps"/>
    <w:rsid w:val="002D4D2F"/>
    <w:rPr>
      <w:rFonts w:cs="Arial"/>
      <w:caps/>
      <w:kern w:val="32"/>
      <w:sz w:val="28"/>
      <w:szCs w:val="28"/>
    </w:rPr>
  </w:style>
  <w:style w:type="character" w:styleId="CommentReference">
    <w:name w:val="annotation reference"/>
    <w:basedOn w:val="DefaultParagraphFont"/>
    <w:uiPriority w:val="99"/>
    <w:semiHidden/>
    <w:rsid w:val="004C053A"/>
    <w:rPr>
      <w:sz w:val="16"/>
      <w:szCs w:val="16"/>
    </w:rPr>
  </w:style>
  <w:style w:type="character" w:styleId="FootnoteReference">
    <w:name w:val="footnote reference"/>
    <w:aliases w:val="BVI fnr,footnote text Char Char2,S_footer Char1 Char,ftref,16 Point,Superscript 6 Point,Footnote Reference Number,nota pié di pagina,Footnote symbol,Footnote reference number,Times 10 Point,Exposant 3 Point,EN Footnote Reference,f"/>
    <w:basedOn w:val="DefaultParagraphFont"/>
    <w:link w:val="BVIfnrChar1CharCharChar"/>
    <w:qFormat/>
    <w:rsid w:val="00584ED8"/>
    <w:rPr>
      <w:vertAlign w:val="superscript"/>
    </w:rPr>
  </w:style>
  <w:style w:type="paragraph" w:customStyle="1" w:styleId="Slika">
    <w:name w:val="Slika"/>
    <w:basedOn w:val="Tekst"/>
    <w:rsid w:val="00043F0B"/>
    <w:pPr>
      <w:spacing w:before="240" w:after="60"/>
      <w:contextualSpacing/>
      <w:jc w:val="left"/>
    </w:pPr>
    <w:rPr>
      <w:rFonts w:cs="Times New Roman"/>
      <w:b/>
      <w:bCs/>
      <w:i/>
      <w:sz w:val="20"/>
      <w:szCs w:val="20"/>
    </w:rPr>
  </w:style>
  <w:style w:type="character" w:customStyle="1" w:styleId="CharChar5">
    <w:name w:val="Char Char5"/>
    <w:rsid w:val="00977DC9"/>
    <w:rPr>
      <w:sz w:val="24"/>
      <w:szCs w:val="24"/>
      <w:lang w:val="en-GB" w:eastAsia="hr-HR" w:bidi="ar-SA"/>
    </w:rPr>
  </w:style>
  <w:style w:type="paragraph" w:styleId="ListParagraph">
    <w:name w:val="List Paragraph"/>
    <w:aliases w:val="Bullet point"/>
    <w:basedOn w:val="Normal"/>
    <w:link w:val="ListParagraphChar"/>
    <w:uiPriority w:val="34"/>
    <w:qFormat/>
    <w:rsid w:val="00BA51B6"/>
    <w:pPr>
      <w:ind w:left="720"/>
    </w:pPr>
  </w:style>
  <w:style w:type="character" w:customStyle="1" w:styleId="CharChar3">
    <w:name w:val="Char Char3"/>
    <w:locked/>
    <w:rsid w:val="00BA51B6"/>
    <w:rPr>
      <w:rFonts w:ascii="Arial" w:hAnsi="Arial" w:cs="Arial"/>
      <w:noProof/>
      <w:sz w:val="20"/>
      <w:szCs w:val="20"/>
      <w:lang w:val="en-GB"/>
    </w:rPr>
  </w:style>
  <w:style w:type="paragraph" w:customStyle="1" w:styleId="Char">
    <w:name w:val="Char"/>
    <w:basedOn w:val="Normal"/>
    <w:semiHidden/>
    <w:rsid w:val="00BA51B6"/>
    <w:pPr>
      <w:numPr>
        <w:ilvl w:val="1"/>
        <w:numId w:val="14"/>
      </w:numPr>
      <w:tabs>
        <w:tab w:val="clear" w:pos="786"/>
      </w:tabs>
      <w:spacing w:after="160" w:line="240" w:lineRule="exact"/>
      <w:ind w:left="0" w:firstLine="0"/>
    </w:pPr>
    <w:rPr>
      <w:rFonts w:ascii="Tahoma" w:hAnsi="Tahoma" w:cs="Tahoma"/>
      <w:sz w:val="20"/>
      <w:szCs w:val="20"/>
    </w:rPr>
  </w:style>
  <w:style w:type="paragraph" w:customStyle="1" w:styleId="CharCharCharCharCharChar">
    <w:name w:val="Char Char Char Char Char Char"/>
    <w:basedOn w:val="Normal"/>
    <w:rsid w:val="00BA51B6"/>
    <w:pPr>
      <w:spacing w:after="160" w:line="240" w:lineRule="exact"/>
    </w:pPr>
    <w:rPr>
      <w:rFonts w:ascii="Tahoma" w:hAnsi="Tahoma" w:cs="Tahoma"/>
      <w:sz w:val="20"/>
      <w:szCs w:val="20"/>
    </w:rPr>
  </w:style>
  <w:style w:type="paragraph" w:customStyle="1" w:styleId="Tabelaidijagramnaslov">
    <w:name w:val="Tabela i dijagram naslov"/>
    <w:basedOn w:val="Normal"/>
    <w:rsid w:val="00A95C72"/>
    <w:pPr>
      <w:spacing w:before="120" w:after="120"/>
    </w:pPr>
    <w:rPr>
      <w:rFonts w:ascii="Arial" w:hAnsi="Arial" w:cs="Arial"/>
      <w:b/>
      <w:bCs/>
      <w:sz w:val="20"/>
      <w:szCs w:val="22"/>
    </w:rPr>
  </w:style>
  <w:style w:type="paragraph" w:customStyle="1" w:styleId="text">
    <w:name w:val="text"/>
    <w:basedOn w:val="Normal"/>
    <w:rsid w:val="00BA51B6"/>
    <w:pPr>
      <w:suppressAutoHyphens/>
      <w:autoSpaceDE w:val="0"/>
      <w:autoSpaceDN w:val="0"/>
      <w:adjustRightInd w:val="0"/>
      <w:spacing w:after="227" w:line="250" w:lineRule="atLeast"/>
      <w:textAlignment w:val="center"/>
    </w:pPr>
    <w:rPr>
      <w:rFonts w:ascii="Arno Pro" w:eastAsia="Calibri" w:hAnsi="Arno Pro" w:cs="Arno Pro"/>
      <w:color w:val="000000"/>
      <w:sz w:val="19"/>
      <w:szCs w:val="19"/>
    </w:rPr>
  </w:style>
  <w:style w:type="paragraph" w:customStyle="1" w:styleId="potpisslika">
    <w:name w:val="potpis slika"/>
    <w:basedOn w:val="text"/>
    <w:rsid w:val="00C709E7"/>
    <w:pPr>
      <w:spacing w:before="120" w:after="120" w:line="240" w:lineRule="auto"/>
      <w:contextualSpacing/>
    </w:pPr>
    <w:rPr>
      <w:rFonts w:ascii="Arial" w:hAnsi="Arial"/>
      <w:b/>
      <w:i/>
      <w:iCs/>
      <w:sz w:val="20"/>
    </w:rPr>
  </w:style>
  <w:style w:type="character" w:customStyle="1" w:styleId="BodyText1">
    <w:name w:val="Body Text1"/>
    <w:link w:val="Bodytext10"/>
    <w:locked/>
    <w:rsid w:val="00BA51B6"/>
    <w:rPr>
      <w:rFonts w:ascii="Arial" w:hAnsi="Arial"/>
      <w:shd w:val="clear" w:color="auto" w:fill="FFFFFF"/>
      <w:lang w:bidi="ar-SA"/>
    </w:rPr>
  </w:style>
  <w:style w:type="paragraph" w:customStyle="1" w:styleId="Bodytext10">
    <w:name w:val="Body text1"/>
    <w:basedOn w:val="Normal"/>
    <w:link w:val="BodyText1"/>
    <w:rsid w:val="00BA51B6"/>
    <w:pPr>
      <w:shd w:val="clear" w:color="auto" w:fill="FFFFFF"/>
      <w:spacing w:after="420" w:line="245" w:lineRule="exact"/>
      <w:jc w:val="both"/>
    </w:pPr>
    <w:rPr>
      <w:rFonts w:ascii="Arial" w:hAnsi="Arial"/>
      <w:sz w:val="20"/>
      <w:szCs w:val="20"/>
      <w:shd w:val="clear" w:color="auto" w:fill="FFFFFF"/>
      <w:lang w:eastAsia="hr-HR"/>
    </w:rPr>
  </w:style>
  <w:style w:type="paragraph" w:customStyle="1" w:styleId="CharCharCharCharCharChar1">
    <w:name w:val="Char Char Char Char Char Char1"/>
    <w:basedOn w:val="Normal"/>
    <w:rsid w:val="00BA51B6"/>
    <w:pPr>
      <w:spacing w:after="160" w:line="240" w:lineRule="exact"/>
    </w:pPr>
    <w:rPr>
      <w:rFonts w:ascii="Tahoma" w:hAnsi="Tahoma"/>
      <w:sz w:val="20"/>
      <w:szCs w:val="20"/>
    </w:rPr>
  </w:style>
  <w:style w:type="paragraph" w:customStyle="1" w:styleId="NormalJustified">
    <w:name w:val="Normal + Justified"/>
    <w:aliases w:val="First line:  0,25&quot;"/>
    <w:basedOn w:val="FootnoteText"/>
    <w:rsid w:val="00BA51B6"/>
    <w:pPr>
      <w:jc w:val="both"/>
    </w:pPr>
    <w:rPr>
      <w:sz w:val="24"/>
      <w:szCs w:val="24"/>
    </w:rPr>
  </w:style>
  <w:style w:type="paragraph" w:customStyle="1" w:styleId="Head5">
    <w:name w:val="Head 5"/>
    <w:basedOn w:val="Normal"/>
    <w:next w:val="Heading5"/>
    <w:rsid w:val="00BA51B6"/>
    <w:pPr>
      <w:spacing w:after="160" w:line="240" w:lineRule="exact"/>
    </w:pPr>
    <w:rPr>
      <w:b/>
      <w:szCs w:val="20"/>
    </w:rPr>
  </w:style>
  <w:style w:type="paragraph" w:customStyle="1" w:styleId="msolistparagraph0">
    <w:name w:val="msolistparagraph"/>
    <w:basedOn w:val="Normal"/>
    <w:rsid w:val="00BA51B6"/>
    <w:pPr>
      <w:spacing w:after="200" w:line="276" w:lineRule="auto"/>
      <w:ind w:left="720"/>
    </w:pPr>
    <w:rPr>
      <w:rFonts w:ascii="Calibri" w:hAnsi="Calibri"/>
      <w:sz w:val="22"/>
      <w:szCs w:val="22"/>
    </w:rPr>
  </w:style>
  <w:style w:type="character" w:customStyle="1" w:styleId="hps">
    <w:name w:val="hps"/>
    <w:basedOn w:val="DefaultParagraphFont"/>
    <w:rsid w:val="00BA51B6"/>
  </w:style>
  <w:style w:type="paragraph" w:customStyle="1" w:styleId="Default">
    <w:name w:val="Default"/>
    <w:rsid w:val="00BA51B6"/>
    <w:pPr>
      <w:autoSpaceDE w:val="0"/>
      <w:autoSpaceDN w:val="0"/>
      <w:adjustRightInd w:val="0"/>
    </w:pPr>
    <w:rPr>
      <w:rFonts w:ascii="Arial" w:hAnsi="Arial" w:cs="Arial"/>
      <w:color w:val="000000"/>
      <w:sz w:val="24"/>
      <w:szCs w:val="24"/>
      <w:lang w:eastAsia="en-US"/>
    </w:rPr>
  </w:style>
  <w:style w:type="paragraph" w:customStyle="1" w:styleId="Tackice2">
    <w:name w:val="Tackice 2"/>
    <w:basedOn w:val="Tackice"/>
    <w:rsid w:val="00BA51B6"/>
    <w:pPr>
      <w:numPr>
        <w:numId w:val="18"/>
      </w:numPr>
      <w:tabs>
        <w:tab w:val="num" w:pos="357"/>
        <w:tab w:val="left" w:pos="1418"/>
      </w:tabs>
    </w:pPr>
  </w:style>
  <w:style w:type="paragraph" w:customStyle="1" w:styleId="default0">
    <w:name w:val="default"/>
    <w:basedOn w:val="Normal"/>
    <w:rsid w:val="00BA51B6"/>
    <w:pPr>
      <w:autoSpaceDE w:val="0"/>
      <w:autoSpaceDN w:val="0"/>
    </w:pPr>
    <w:rPr>
      <w:color w:val="000000"/>
    </w:rPr>
  </w:style>
  <w:style w:type="paragraph" w:customStyle="1" w:styleId="Char1">
    <w:name w:val="Char1"/>
    <w:basedOn w:val="Normal"/>
    <w:semiHidden/>
    <w:rsid w:val="00C46E45"/>
    <w:pPr>
      <w:spacing w:after="160" w:line="240" w:lineRule="exact"/>
    </w:pPr>
    <w:rPr>
      <w:rFonts w:ascii="Tahoma" w:eastAsia="Calibri" w:hAnsi="Tahoma" w:cs="Tahoma"/>
      <w:noProof/>
      <w:sz w:val="20"/>
      <w:szCs w:val="20"/>
    </w:rPr>
  </w:style>
  <w:style w:type="paragraph" w:customStyle="1" w:styleId="Char3">
    <w:name w:val="Char3"/>
    <w:basedOn w:val="Normal"/>
    <w:rsid w:val="00C46E45"/>
    <w:pPr>
      <w:spacing w:after="160" w:line="240" w:lineRule="exact"/>
    </w:pPr>
    <w:rPr>
      <w:rFonts w:ascii="Tahoma" w:hAnsi="Tahoma"/>
      <w:sz w:val="20"/>
      <w:szCs w:val="20"/>
    </w:rPr>
  </w:style>
  <w:style w:type="paragraph" w:styleId="Revision">
    <w:name w:val="Revision"/>
    <w:hidden/>
    <w:semiHidden/>
    <w:rsid w:val="00C46E45"/>
    <w:rPr>
      <w:sz w:val="24"/>
      <w:szCs w:val="24"/>
      <w:lang w:eastAsia="en-US"/>
    </w:rPr>
  </w:style>
  <w:style w:type="table" w:styleId="TableClassic2">
    <w:name w:val="Table Classic 2"/>
    <w:basedOn w:val="TableNormal"/>
    <w:rsid w:val="00C46E4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nChar">
    <w:name w:val="n Char"/>
    <w:aliases w:val="Footnote Text Char Char2,Footnote Text Char Char Char Char1,Footnote Text Char Char Char2,Fußnote Char1,Footnote Text Char1 Char1,Fußnotentext Char Char2 Char Char1,Char Char1 Char2 Char Char1,Fußnotentext Char Char Char1 Char Char1"/>
    <w:uiPriority w:val="99"/>
    <w:rsid w:val="00050C4E"/>
    <w:rPr>
      <w:lang w:val="en-GB" w:eastAsia="hr-HR" w:bidi="ar-SA"/>
    </w:rPr>
  </w:style>
  <w:style w:type="paragraph" w:customStyle="1" w:styleId="Notice">
    <w:name w:val="Notice"/>
    <w:rsid w:val="00466B77"/>
    <w:pPr>
      <w:spacing w:before="40" w:after="40"/>
    </w:pPr>
    <w:rPr>
      <w:rFonts w:cs="Tahoma"/>
      <w:b/>
      <w:sz w:val="24"/>
      <w:szCs w:val="24"/>
      <w:lang w:eastAsia="en-US"/>
    </w:rPr>
  </w:style>
  <w:style w:type="paragraph" w:styleId="NoSpacing">
    <w:name w:val="No Spacing"/>
    <w:link w:val="NoSpacingChar"/>
    <w:uiPriority w:val="1"/>
    <w:qFormat/>
    <w:rsid w:val="009F28D6"/>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9F28D6"/>
    <w:rPr>
      <w:rFonts w:asciiTheme="minorHAnsi" w:eastAsiaTheme="minorEastAsia" w:hAnsiTheme="minorHAnsi" w:cstheme="minorBidi"/>
      <w:sz w:val="22"/>
      <w:szCs w:val="22"/>
      <w:lang w:val="en-GB" w:eastAsia="ja-JP"/>
    </w:rPr>
  </w:style>
  <w:style w:type="paragraph" w:styleId="TOCHeading">
    <w:name w:val="TOC Heading"/>
    <w:basedOn w:val="Heading1"/>
    <w:next w:val="Normal"/>
    <w:uiPriority w:val="39"/>
    <w:unhideWhenUsed/>
    <w:qFormat/>
    <w:rsid w:val="00754322"/>
    <w:pPr>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kern w:val="0"/>
      <w:sz w:val="28"/>
      <w:szCs w:val="28"/>
      <w:lang w:eastAsia="hr-HR"/>
    </w:rPr>
  </w:style>
  <w:style w:type="paragraph" w:customStyle="1" w:styleId="3Naslov-tridecimale">
    <w:name w:val="3 Naslov - tri decimale"/>
    <w:link w:val="3Naslov-tridecimaleChar"/>
    <w:qFormat/>
    <w:rsid w:val="0059311A"/>
    <w:pPr>
      <w:tabs>
        <w:tab w:val="left" w:pos="1843"/>
      </w:tabs>
      <w:spacing w:before="240" w:after="60"/>
    </w:pPr>
    <w:rPr>
      <w:rFonts w:ascii="Arial" w:hAnsi="Arial" w:cs="Arial"/>
      <w:b/>
      <w:bCs/>
      <w:iCs/>
      <w:kern w:val="32"/>
      <w:sz w:val="26"/>
      <w:szCs w:val="26"/>
    </w:rPr>
  </w:style>
  <w:style w:type="character" w:customStyle="1" w:styleId="3Naslov-tridecimaleChar">
    <w:name w:val="3 Naslov - tri decimale Char"/>
    <w:link w:val="3Naslov-tridecimale"/>
    <w:rsid w:val="0059311A"/>
    <w:rPr>
      <w:rFonts w:ascii="Arial" w:hAnsi="Arial" w:cs="Arial"/>
      <w:b/>
      <w:bCs/>
      <w:iCs/>
      <w:kern w:val="32"/>
      <w:sz w:val="26"/>
      <w:szCs w:val="26"/>
    </w:rPr>
  </w:style>
  <w:style w:type="paragraph" w:customStyle="1" w:styleId="2SNaslov-dvijedecimale">
    <w:name w:val="2 SNaslov - dvije decimale"/>
    <w:next w:val="Normal"/>
    <w:link w:val="2SNaslov-dvijedecimaleChar"/>
    <w:autoRedefine/>
    <w:rsid w:val="00021D4F"/>
    <w:pPr>
      <w:tabs>
        <w:tab w:val="left" w:pos="720"/>
        <w:tab w:val="left" w:pos="9000"/>
      </w:tabs>
      <w:spacing w:before="80"/>
      <w:ind w:right="28"/>
      <w:jc w:val="both"/>
    </w:pPr>
    <w:rPr>
      <w:rFonts w:ascii="Arial" w:hAnsi="Arial" w:cs="Arial"/>
      <w:b/>
      <w:bCs/>
      <w:noProof/>
      <w:kern w:val="32"/>
      <w:sz w:val="28"/>
      <w:szCs w:val="28"/>
    </w:rPr>
  </w:style>
  <w:style w:type="character" w:customStyle="1" w:styleId="2SNaslov-dvijedecimaleChar">
    <w:name w:val="2 SNaslov - dvije decimale Char"/>
    <w:link w:val="2SNaslov-dvijedecimale"/>
    <w:locked/>
    <w:rsid w:val="00021D4F"/>
    <w:rPr>
      <w:rFonts w:ascii="Arial" w:hAnsi="Arial" w:cs="Arial"/>
      <w:b/>
      <w:bCs/>
      <w:noProof/>
      <w:kern w:val="32"/>
      <w:sz w:val="28"/>
      <w:szCs w:val="28"/>
    </w:rPr>
  </w:style>
  <w:style w:type="paragraph" w:customStyle="1" w:styleId="1SNaslovpoglavlja">
    <w:name w:val="1 SNaslov poglavlja"/>
    <w:rsid w:val="0059311A"/>
    <w:pPr>
      <w:numPr>
        <w:numId w:val="16"/>
      </w:numPr>
      <w:spacing w:before="240" w:after="60"/>
    </w:pPr>
    <w:rPr>
      <w:rFonts w:ascii="Arial" w:hAnsi="Arial" w:cs="Arial"/>
      <w:b/>
      <w:bCs/>
      <w:caps/>
      <w:kern w:val="32"/>
      <w:sz w:val="32"/>
      <w:szCs w:val="32"/>
    </w:rPr>
  </w:style>
  <w:style w:type="character" w:customStyle="1" w:styleId="FooterChar">
    <w:name w:val="Footer Char"/>
    <w:basedOn w:val="DefaultParagraphFont"/>
    <w:link w:val="Footer"/>
    <w:uiPriority w:val="99"/>
    <w:rsid w:val="00F53A6C"/>
    <w:rPr>
      <w:rFonts w:ascii="Arial" w:hAnsi="Arial"/>
      <w:szCs w:val="24"/>
      <w:lang w:val="en-GB" w:eastAsia="en-US"/>
    </w:rPr>
  </w:style>
  <w:style w:type="numbering" w:customStyle="1" w:styleId="NoList1">
    <w:name w:val="No List1"/>
    <w:next w:val="NoList"/>
    <w:uiPriority w:val="99"/>
    <w:semiHidden/>
    <w:unhideWhenUsed/>
    <w:rsid w:val="00161C13"/>
  </w:style>
  <w:style w:type="table" w:customStyle="1" w:styleId="TableGrid1">
    <w:name w:val="Table Grid1"/>
    <w:basedOn w:val="TableNormal"/>
    <w:next w:val="TableGrid"/>
    <w:uiPriority w:val="59"/>
    <w:rsid w:val="00161C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161C13"/>
    <w:rPr>
      <w:b/>
      <w:bCs/>
      <w:lang w:val="en-GB" w:eastAsia="en-US" w:bidi="ar-SA"/>
    </w:rPr>
  </w:style>
  <w:style w:type="character" w:customStyle="1" w:styleId="nChar2">
    <w:name w:val="n Char2"/>
    <w:aliases w:val="Footnote Text Char Char Char Char2,Footnote Text Char Char Char3,Fußnote Char2,Footnote Text Char1 Char2,Fußnotentext Char Char2 Char Char2,Char Char1 Char2 Char Char2,Fußnotentext Char Char Char1 Char Char2"/>
    <w:basedOn w:val="DefaultParagraphFont"/>
    <w:uiPriority w:val="99"/>
    <w:rsid w:val="0027021B"/>
    <w:rPr>
      <w:rFonts w:ascii="Times New Roman" w:eastAsia="Times New Roman" w:hAnsi="Times New Roman" w:cs="Times New Roman"/>
      <w:sz w:val="20"/>
      <w:szCs w:val="20"/>
      <w:lang w:val="en-GB"/>
    </w:rPr>
  </w:style>
  <w:style w:type="character" w:customStyle="1" w:styleId="apple-converted-space">
    <w:name w:val="apple-converted-space"/>
    <w:basedOn w:val="DefaultParagraphFont"/>
    <w:rsid w:val="0027021B"/>
  </w:style>
  <w:style w:type="character" w:customStyle="1" w:styleId="Heading1Char">
    <w:name w:val="Heading 1 Char"/>
    <w:basedOn w:val="DefaultParagraphFont"/>
    <w:link w:val="Heading1"/>
    <w:uiPriority w:val="9"/>
    <w:rsid w:val="0027021B"/>
    <w:rPr>
      <w:rFonts w:cs="Arial"/>
      <w:b/>
      <w:bCs/>
      <w:caps/>
      <w:kern w:val="32"/>
      <w:sz w:val="24"/>
      <w:szCs w:val="32"/>
      <w:lang w:eastAsia="en-US"/>
    </w:rPr>
  </w:style>
  <w:style w:type="character" w:customStyle="1" w:styleId="Heading4Char">
    <w:name w:val="Heading 4 Char"/>
    <w:basedOn w:val="DefaultParagraphFont"/>
    <w:link w:val="Heading4"/>
    <w:uiPriority w:val="9"/>
    <w:rsid w:val="0027021B"/>
    <w:rPr>
      <w:b/>
      <w:bCs/>
      <w:sz w:val="28"/>
      <w:szCs w:val="28"/>
      <w:lang w:eastAsia="en-US"/>
    </w:rPr>
  </w:style>
  <w:style w:type="character" w:customStyle="1" w:styleId="Heading5Char">
    <w:name w:val="Heading 5 Char"/>
    <w:basedOn w:val="DefaultParagraphFont"/>
    <w:link w:val="Heading5"/>
    <w:uiPriority w:val="9"/>
    <w:rsid w:val="0027021B"/>
    <w:rPr>
      <w:b/>
      <w:bCs/>
      <w:i/>
      <w:iCs/>
      <w:sz w:val="26"/>
      <w:szCs w:val="26"/>
      <w:lang w:val="en-GB" w:eastAsia="en-US"/>
    </w:rPr>
  </w:style>
  <w:style w:type="character" w:customStyle="1" w:styleId="Heading6Char">
    <w:name w:val="Heading 6 Char"/>
    <w:basedOn w:val="DefaultParagraphFont"/>
    <w:link w:val="Heading6"/>
    <w:uiPriority w:val="9"/>
    <w:rsid w:val="0027021B"/>
    <w:rPr>
      <w:b/>
      <w:bCs/>
      <w:sz w:val="22"/>
      <w:szCs w:val="22"/>
      <w:lang w:val="en-GB" w:eastAsia="en-US"/>
    </w:rPr>
  </w:style>
  <w:style w:type="character" w:customStyle="1" w:styleId="Heading7Char">
    <w:name w:val="Heading 7 Char"/>
    <w:basedOn w:val="DefaultParagraphFont"/>
    <w:link w:val="Heading7"/>
    <w:uiPriority w:val="9"/>
    <w:rsid w:val="0027021B"/>
    <w:rPr>
      <w:sz w:val="24"/>
      <w:szCs w:val="24"/>
      <w:lang w:val="en-GB" w:eastAsia="en-US"/>
    </w:rPr>
  </w:style>
  <w:style w:type="character" w:customStyle="1" w:styleId="Heading8Char">
    <w:name w:val="Heading 8 Char"/>
    <w:basedOn w:val="DefaultParagraphFont"/>
    <w:link w:val="Heading8"/>
    <w:uiPriority w:val="9"/>
    <w:rsid w:val="0027021B"/>
    <w:rPr>
      <w:i/>
      <w:iCs/>
      <w:sz w:val="24"/>
      <w:szCs w:val="24"/>
      <w:lang w:val="en-GB" w:eastAsia="en-US"/>
    </w:rPr>
  </w:style>
  <w:style w:type="character" w:customStyle="1" w:styleId="Heading9Char">
    <w:name w:val="Heading 9 Char"/>
    <w:basedOn w:val="DefaultParagraphFont"/>
    <w:link w:val="Heading9"/>
    <w:uiPriority w:val="9"/>
    <w:rsid w:val="0027021B"/>
    <w:rPr>
      <w:rFonts w:ascii="Arial" w:hAnsi="Arial" w:cs="Arial"/>
      <w:sz w:val="22"/>
      <w:szCs w:val="22"/>
      <w:lang w:val="en-GB" w:eastAsia="en-US"/>
    </w:rPr>
  </w:style>
  <w:style w:type="character" w:customStyle="1" w:styleId="BodyTextIndentChar">
    <w:name w:val="Body Text Indent Char"/>
    <w:basedOn w:val="DefaultParagraphFont"/>
    <w:link w:val="BodyTextIndent"/>
    <w:rsid w:val="0027021B"/>
    <w:rPr>
      <w:sz w:val="24"/>
      <w:szCs w:val="24"/>
      <w:lang w:val="en-GB" w:eastAsia="en-US"/>
    </w:rPr>
  </w:style>
  <w:style w:type="character" w:customStyle="1" w:styleId="HTMLPreformattedChar">
    <w:name w:val="HTML Preformatted Char"/>
    <w:basedOn w:val="DefaultParagraphFont"/>
    <w:link w:val="HTMLPreformatted"/>
    <w:rsid w:val="0027021B"/>
    <w:rPr>
      <w:rFonts w:ascii="Courier New" w:hAnsi="Courier New" w:cs="Courier New"/>
      <w:lang w:val="en-GB" w:eastAsia="en-US"/>
    </w:rPr>
  </w:style>
  <w:style w:type="character" w:customStyle="1" w:styleId="BodyTextChar">
    <w:name w:val="Body Text Char"/>
    <w:basedOn w:val="DefaultParagraphFont"/>
    <w:link w:val="BodyText"/>
    <w:rsid w:val="0027021B"/>
    <w:rPr>
      <w:sz w:val="24"/>
      <w:szCs w:val="24"/>
      <w:lang w:val="en-GB" w:eastAsia="en-US"/>
    </w:rPr>
  </w:style>
  <w:style w:type="character" w:customStyle="1" w:styleId="BodyText2Char">
    <w:name w:val="Body Text 2 Char"/>
    <w:basedOn w:val="DefaultParagraphFont"/>
    <w:link w:val="BodyText2"/>
    <w:rsid w:val="0027021B"/>
    <w:rPr>
      <w:sz w:val="24"/>
      <w:szCs w:val="24"/>
      <w:lang w:val="en-GB" w:eastAsia="en-US"/>
    </w:rPr>
  </w:style>
  <w:style w:type="character" w:customStyle="1" w:styleId="BodyText3Char">
    <w:name w:val="Body Text 3 Char"/>
    <w:basedOn w:val="DefaultParagraphFont"/>
    <w:link w:val="BodyText3"/>
    <w:rsid w:val="0027021B"/>
    <w:rPr>
      <w:sz w:val="16"/>
      <w:szCs w:val="16"/>
      <w:lang w:val="en-GB" w:eastAsia="en-US"/>
    </w:rPr>
  </w:style>
  <w:style w:type="character" w:customStyle="1" w:styleId="BodyTextFirstIndentChar">
    <w:name w:val="Body Text First Indent Char"/>
    <w:basedOn w:val="BodyTextChar"/>
    <w:link w:val="BodyTextFirstIndent"/>
    <w:rsid w:val="0027021B"/>
    <w:rPr>
      <w:sz w:val="24"/>
      <w:szCs w:val="24"/>
      <w:lang w:val="en-GB" w:eastAsia="en-US"/>
    </w:rPr>
  </w:style>
  <w:style w:type="character" w:customStyle="1" w:styleId="BodyTextFirstIndent2Char">
    <w:name w:val="Body Text First Indent 2 Char"/>
    <w:basedOn w:val="BodyTextIndentChar"/>
    <w:link w:val="BodyTextFirstIndent2"/>
    <w:rsid w:val="0027021B"/>
    <w:rPr>
      <w:sz w:val="24"/>
      <w:szCs w:val="24"/>
      <w:lang w:val="en-GB" w:eastAsia="en-US"/>
    </w:rPr>
  </w:style>
  <w:style w:type="character" w:customStyle="1" w:styleId="BodyTextIndent2Char">
    <w:name w:val="Body Text Indent 2 Char"/>
    <w:basedOn w:val="DefaultParagraphFont"/>
    <w:link w:val="BodyTextIndent2"/>
    <w:rsid w:val="0027021B"/>
    <w:rPr>
      <w:sz w:val="24"/>
      <w:szCs w:val="24"/>
      <w:lang w:val="en-GB" w:eastAsia="en-US"/>
    </w:rPr>
  </w:style>
  <w:style w:type="character" w:customStyle="1" w:styleId="BodyTextIndent3Char">
    <w:name w:val="Body Text Indent 3 Char"/>
    <w:basedOn w:val="DefaultParagraphFont"/>
    <w:link w:val="BodyTextIndent3"/>
    <w:rsid w:val="0027021B"/>
    <w:rPr>
      <w:sz w:val="16"/>
      <w:szCs w:val="16"/>
      <w:lang w:val="en-GB" w:eastAsia="en-US"/>
    </w:rPr>
  </w:style>
  <w:style w:type="character" w:customStyle="1" w:styleId="ClosingChar">
    <w:name w:val="Closing Char"/>
    <w:basedOn w:val="DefaultParagraphFont"/>
    <w:link w:val="Closing"/>
    <w:rsid w:val="0027021B"/>
    <w:rPr>
      <w:sz w:val="24"/>
      <w:szCs w:val="24"/>
      <w:lang w:val="en-GB" w:eastAsia="en-US"/>
    </w:rPr>
  </w:style>
  <w:style w:type="character" w:customStyle="1" w:styleId="DateChar">
    <w:name w:val="Date Char"/>
    <w:basedOn w:val="DefaultParagraphFont"/>
    <w:link w:val="Date"/>
    <w:rsid w:val="0027021B"/>
    <w:rPr>
      <w:sz w:val="24"/>
      <w:szCs w:val="24"/>
      <w:lang w:val="en-GB" w:eastAsia="en-US"/>
    </w:rPr>
  </w:style>
  <w:style w:type="character" w:customStyle="1" w:styleId="DocumentMapChar">
    <w:name w:val="Document Map Char"/>
    <w:basedOn w:val="DefaultParagraphFont"/>
    <w:link w:val="DocumentMap"/>
    <w:semiHidden/>
    <w:rsid w:val="0027021B"/>
    <w:rPr>
      <w:rFonts w:ascii="Tahoma" w:hAnsi="Tahoma" w:cs="Tahoma"/>
      <w:shd w:val="clear" w:color="auto" w:fill="000080"/>
      <w:lang w:val="en-GB" w:eastAsia="en-US"/>
    </w:rPr>
  </w:style>
  <w:style w:type="character" w:customStyle="1" w:styleId="E-mailSignatureChar">
    <w:name w:val="E-mail Signature Char"/>
    <w:basedOn w:val="DefaultParagraphFont"/>
    <w:link w:val="E-mailSignature"/>
    <w:rsid w:val="0027021B"/>
    <w:rPr>
      <w:sz w:val="24"/>
      <w:szCs w:val="24"/>
      <w:lang w:val="en-GB" w:eastAsia="en-US"/>
    </w:rPr>
  </w:style>
  <w:style w:type="character" w:customStyle="1" w:styleId="EndnoteTextChar">
    <w:name w:val="Endnote Text Char"/>
    <w:basedOn w:val="DefaultParagraphFont"/>
    <w:link w:val="EndnoteText"/>
    <w:semiHidden/>
    <w:rsid w:val="0027021B"/>
    <w:rPr>
      <w:lang w:val="en-GB" w:eastAsia="en-US"/>
    </w:rPr>
  </w:style>
  <w:style w:type="character" w:customStyle="1" w:styleId="HTMLAddressChar">
    <w:name w:val="HTML Address Char"/>
    <w:basedOn w:val="DefaultParagraphFont"/>
    <w:link w:val="HTMLAddress"/>
    <w:rsid w:val="0027021B"/>
    <w:rPr>
      <w:i/>
      <w:iCs/>
      <w:sz w:val="24"/>
      <w:szCs w:val="24"/>
      <w:lang w:val="en-GB" w:eastAsia="en-US"/>
    </w:rPr>
  </w:style>
  <w:style w:type="character" w:customStyle="1" w:styleId="MacroTextChar">
    <w:name w:val="Macro Text Char"/>
    <w:basedOn w:val="DefaultParagraphFont"/>
    <w:link w:val="MacroText"/>
    <w:semiHidden/>
    <w:rsid w:val="0027021B"/>
    <w:rPr>
      <w:rFonts w:ascii="Courier New" w:hAnsi="Courier New" w:cs="Courier New"/>
    </w:rPr>
  </w:style>
  <w:style w:type="character" w:customStyle="1" w:styleId="MessageHeaderChar">
    <w:name w:val="Message Header Char"/>
    <w:basedOn w:val="DefaultParagraphFont"/>
    <w:link w:val="MessageHeader"/>
    <w:rsid w:val="0027021B"/>
    <w:rPr>
      <w:rFonts w:ascii="Arial" w:hAnsi="Arial" w:cs="Arial"/>
      <w:sz w:val="24"/>
      <w:szCs w:val="24"/>
      <w:shd w:val="pct20" w:color="auto" w:fill="auto"/>
      <w:lang w:val="en-GB" w:eastAsia="en-US"/>
    </w:rPr>
  </w:style>
  <w:style w:type="character" w:customStyle="1" w:styleId="NoteHeadingChar">
    <w:name w:val="Note Heading Char"/>
    <w:basedOn w:val="DefaultParagraphFont"/>
    <w:link w:val="NoteHeading"/>
    <w:rsid w:val="0027021B"/>
    <w:rPr>
      <w:sz w:val="24"/>
      <w:szCs w:val="24"/>
      <w:lang w:val="en-GB" w:eastAsia="en-US"/>
    </w:rPr>
  </w:style>
  <w:style w:type="character" w:customStyle="1" w:styleId="PlainTextChar">
    <w:name w:val="Plain Text Char"/>
    <w:basedOn w:val="DefaultParagraphFont"/>
    <w:link w:val="PlainText"/>
    <w:uiPriority w:val="99"/>
    <w:rsid w:val="0027021B"/>
    <w:rPr>
      <w:rFonts w:ascii="Courier New" w:hAnsi="Courier New" w:cs="Courier New"/>
      <w:lang w:val="en-GB" w:eastAsia="en-US"/>
    </w:rPr>
  </w:style>
  <w:style w:type="character" w:customStyle="1" w:styleId="SalutationChar">
    <w:name w:val="Salutation Char"/>
    <w:basedOn w:val="DefaultParagraphFont"/>
    <w:link w:val="Salutation"/>
    <w:rsid w:val="0027021B"/>
    <w:rPr>
      <w:sz w:val="24"/>
      <w:szCs w:val="24"/>
      <w:lang w:val="en-GB" w:eastAsia="en-US"/>
    </w:rPr>
  </w:style>
  <w:style w:type="character" w:customStyle="1" w:styleId="SignatureChar">
    <w:name w:val="Signature Char"/>
    <w:basedOn w:val="DefaultParagraphFont"/>
    <w:link w:val="Signature"/>
    <w:rsid w:val="0027021B"/>
    <w:rPr>
      <w:sz w:val="24"/>
      <w:szCs w:val="24"/>
      <w:lang w:val="en-GB" w:eastAsia="en-US"/>
    </w:rPr>
  </w:style>
  <w:style w:type="character" w:customStyle="1" w:styleId="SubtitleChar">
    <w:name w:val="Subtitle Char"/>
    <w:basedOn w:val="DefaultParagraphFont"/>
    <w:link w:val="Subtitle"/>
    <w:rsid w:val="0027021B"/>
    <w:rPr>
      <w:rFonts w:ascii="Arial" w:hAnsi="Arial" w:cs="Arial"/>
      <w:sz w:val="24"/>
      <w:szCs w:val="24"/>
      <w:lang w:val="en-GB" w:eastAsia="en-US"/>
    </w:rPr>
  </w:style>
  <w:style w:type="character" w:customStyle="1" w:styleId="TitleChar">
    <w:name w:val="Title Char"/>
    <w:basedOn w:val="DefaultParagraphFont"/>
    <w:link w:val="Title"/>
    <w:rsid w:val="0027021B"/>
    <w:rPr>
      <w:rFonts w:ascii="Arial" w:hAnsi="Arial" w:cs="Arial"/>
      <w:b/>
      <w:bCs/>
      <w:kern w:val="28"/>
      <w:sz w:val="32"/>
      <w:szCs w:val="32"/>
      <w:lang w:val="en-GB" w:eastAsia="en-US"/>
    </w:rPr>
  </w:style>
  <w:style w:type="paragraph" w:customStyle="1" w:styleId="StyleHeading2Bold">
    <w:name w:val="Style Heading 2 + Bold"/>
    <w:basedOn w:val="Heading2"/>
    <w:rsid w:val="0027021B"/>
    <w:pPr>
      <w:numPr>
        <w:ilvl w:val="0"/>
        <w:numId w:val="0"/>
      </w:numPr>
      <w:tabs>
        <w:tab w:val="num" w:pos="576"/>
      </w:tabs>
      <w:ind w:left="576" w:hanging="576"/>
    </w:pPr>
    <w:rPr>
      <w:rFonts w:ascii="Arial" w:hAnsi="Arial"/>
      <w:bCs/>
      <w:i/>
      <w:sz w:val="28"/>
    </w:rPr>
  </w:style>
  <w:style w:type="paragraph" w:customStyle="1" w:styleId="ETVRTINASLOV">
    <w:name w:val="ČETVRTI NASLOV"/>
    <w:basedOn w:val="Normal"/>
    <w:rsid w:val="0027021B"/>
    <w:pPr>
      <w:tabs>
        <w:tab w:val="left" w:pos="992"/>
      </w:tabs>
      <w:spacing w:before="240" w:after="60"/>
    </w:pPr>
    <w:rPr>
      <w:rFonts w:ascii="Arial" w:hAnsi="Arial" w:cs="Arial"/>
      <w:b/>
      <w:iCs/>
      <w:kern w:val="32"/>
      <w:szCs w:val="28"/>
      <w:lang w:eastAsia="hr-HR"/>
    </w:rPr>
  </w:style>
  <w:style w:type="paragraph" w:customStyle="1" w:styleId="Podsliku">
    <w:name w:val="Pod sliku"/>
    <w:basedOn w:val="Tekst"/>
    <w:rsid w:val="0027021B"/>
    <w:pPr>
      <w:spacing w:after="120"/>
      <w:jc w:val="center"/>
    </w:pPr>
    <w:rPr>
      <w:rFonts w:cs="Arial"/>
      <w:bCs/>
      <w:i/>
      <w:sz w:val="18"/>
      <w:szCs w:val="18"/>
    </w:rPr>
  </w:style>
  <w:style w:type="character" w:customStyle="1" w:styleId="1NaslovpoglavljaChar">
    <w:name w:val="1 Naslov poglavlja Char"/>
    <w:link w:val="1Naslovpoglavlja"/>
    <w:locked/>
    <w:rsid w:val="0027021B"/>
    <w:rPr>
      <w:rFonts w:ascii="Arial" w:hAnsi="Arial" w:cs="Arial"/>
      <w:b/>
      <w:bCs/>
      <w:caps/>
      <w:kern w:val="32"/>
      <w:sz w:val="32"/>
      <w:szCs w:val="32"/>
    </w:rPr>
  </w:style>
  <w:style w:type="paragraph" w:customStyle="1" w:styleId="1Naslovpoglavlja">
    <w:name w:val="1 Naslov poglavlja"/>
    <w:link w:val="1NaslovpoglavljaChar"/>
    <w:rsid w:val="0027021B"/>
    <w:pPr>
      <w:tabs>
        <w:tab w:val="num" w:pos="425"/>
      </w:tabs>
      <w:spacing w:before="240" w:after="60"/>
      <w:ind w:left="425" w:hanging="425"/>
    </w:pPr>
    <w:rPr>
      <w:rFonts w:ascii="Arial" w:hAnsi="Arial" w:cs="Arial"/>
      <w:b/>
      <w:bCs/>
      <w:caps/>
      <w:kern w:val="32"/>
      <w:sz w:val="32"/>
      <w:szCs w:val="32"/>
    </w:rPr>
  </w:style>
  <w:style w:type="paragraph" w:customStyle="1" w:styleId="WW-NormalWeb">
    <w:name w:val="WW-Normal (Web)"/>
    <w:basedOn w:val="Normal"/>
    <w:rsid w:val="0027021B"/>
    <w:pPr>
      <w:suppressAutoHyphens/>
      <w:spacing w:before="280" w:after="115"/>
    </w:pPr>
    <w:rPr>
      <w:lang w:eastAsia="ar-SA"/>
    </w:rPr>
  </w:style>
  <w:style w:type="paragraph" w:customStyle="1" w:styleId="Normal105">
    <w:name w:val="Normal +10.5"/>
    <w:basedOn w:val="Normal"/>
    <w:rsid w:val="0027021B"/>
    <w:pPr>
      <w:suppressAutoHyphens/>
      <w:spacing w:before="240" w:after="60"/>
      <w:jc w:val="both"/>
    </w:pPr>
    <w:rPr>
      <w:rFonts w:ascii="Arial" w:hAnsi="Arial"/>
      <w:sz w:val="20"/>
      <w:szCs w:val="20"/>
      <w:lang w:eastAsia="ar-SA"/>
    </w:rPr>
  </w:style>
  <w:style w:type="paragraph" w:customStyle="1" w:styleId="etvrtinaslov0">
    <w:name w:val="Četvrti naslov"/>
    <w:basedOn w:val="TREINASLOV"/>
    <w:qFormat/>
    <w:rsid w:val="0035796B"/>
    <w:rPr>
      <w:sz w:val="24"/>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ED329A"/>
    <w:pPr>
      <w:spacing w:after="160" w:line="240" w:lineRule="exact"/>
    </w:pPr>
    <w:rPr>
      <w:sz w:val="20"/>
      <w:szCs w:val="20"/>
      <w:vertAlign w:val="superscript"/>
      <w:lang w:eastAsia="hr-HR"/>
    </w:rPr>
  </w:style>
  <w:style w:type="character" w:customStyle="1" w:styleId="ListParagraphChar">
    <w:name w:val="List Paragraph Char"/>
    <w:aliases w:val="Bullet point Char"/>
    <w:link w:val="ListParagraph"/>
    <w:uiPriority w:val="34"/>
    <w:locked/>
    <w:rsid w:val="00AC16FC"/>
    <w:rPr>
      <w:sz w:val="24"/>
      <w:szCs w:val="24"/>
      <w:lang w:val="en-GB" w:eastAsia="en-US"/>
    </w:rPr>
  </w:style>
  <w:style w:type="paragraph" w:customStyle="1" w:styleId="Footnotetekst">
    <w:name w:val="Footnote tekst"/>
    <w:basedOn w:val="FootnoteText"/>
    <w:link w:val="FootnotetekstChar"/>
    <w:rsid w:val="003F411F"/>
    <w:pPr>
      <w:ind w:left="198" w:hanging="198"/>
      <w:jc w:val="both"/>
    </w:pPr>
    <w:rPr>
      <w:rFonts w:ascii="Arial" w:hAnsi="Arial"/>
      <w:sz w:val="18"/>
    </w:rPr>
  </w:style>
  <w:style w:type="character" w:customStyle="1" w:styleId="FootnotetekstChar">
    <w:name w:val="Footnote tekst Char"/>
    <w:basedOn w:val="FootnoteTextChar2"/>
    <w:link w:val="Footnotetekst"/>
    <w:rsid w:val="003F411F"/>
    <w:rPr>
      <w:rFonts w:ascii="Arial" w:hAnsi="Arial"/>
      <w:sz w:val="18"/>
      <w:lang w:val="en-GB" w:eastAsia="en-US" w:bidi="ar-SA"/>
    </w:rPr>
  </w:style>
  <w:style w:type="paragraph" w:customStyle="1" w:styleId="Char2">
    <w:name w:val="Char2"/>
    <w:basedOn w:val="Normal"/>
    <w:rsid w:val="002E09A0"/>
    <w:pPr>
      <w:spacing w:after="160" w:line="240" w:lineRule="exact"/>
    </w:pPr>
    <w:rPr>
      <w:sz w:val="20"/>
      <w:szCs w:val="20"/>
      <w:vertAlign w:val="superscript"/>
      <w:lang w:eastAsia="hr-HR"/>
    </w:rPr>
  </w:style>
  <w:style w:type="paragraph" w:customStyle="1" w:styleId="Tablica1">
    <w:name w:val="Tablica 1"/>
    <w:basedOn w:val="Normal"/>
    <w:autoRedefine/>
    <w:uiPriority w:val="99"/>
    <w:qFormat/>
    <w:rsid w:val="00A85CDB"/>
    <w:pPr>
      <w:spacing w:after="160" w:line="240" w:lineRule="exact"/>
    </w:pPr>
    <w:rPr>
      <w:rFonts w:eastAsiaTheme="minorHAnsi" w:cstheme="minorBidi"/>
      <w:szCs w:val="22"/>
      <w:vertAlign w:val="superscript"/>
    </w:rPr>
  </w:style>
  <w:style w:type="character" w:customStyle="1" w:styleId="Bodytext5">
    <w:name w:val="Body text (5)"/>
    <w:basedOn w:val="DefaultParagraphFont"/>
    <w:link w:val="Bodytext51"/>
    <w:uiPriority w:val="99"/>
    <w:rsid w:val="00A85CDB"/>
    <w:rPr>
      <w:rFonts w:ascii="Arial" w:hAnsi="Arial" w:cs="Arial"/>
    </w:rPr>
  </w:style>
  <w:style w:type="paragraph" w:customStyle="1" w:styleId="Bodytext51">
    <w:name w:val="Body text (5)1"/>
    <w:basedOn w:val="Normal"/>
    <w:link w:val="Bodytext5"/>
    <w:uiPriority w:val="99"/>
    <w:rsid w:val="00A85CDB"/>
    <w:pPr>
      <w:spacing w:before="480" w:after="120" w:line="240" w:lineRule="atLeast"/>
    </w:pPr>
    <w:rPr>
      <w:rFonts w:ascii="Arial" w:hAnsi="Arial" w:cs="Arial"/>
      <w:sz w:val="20"/>
      <w:szCs w:val="20"/>
      <w:lang w:eastAsia="hr-HR"/>
    </w:rPr>
  </w:style>
  <w:style w:type="character" w:customStyle="1" w:styleId="Tablecaption">
    <w:name w:val="Table caption"/>
    <w:basedOn w:val="DefaultParagraphFont"/>
    <w:link w:val="Tablecaption1"/>
    <w:uiPriority w:val="99"/>
    <w:rsid w:val="00A85CDB"/>
    <w:rPr>
      <w:rFonts w:ascii="Arial" w:hAnsi="Arial" w:cs="Arial"/>
      <w:b/>
      <w:bCs/>
      <w:sz w:val="18"/>
      <w:szCs w:val="18"/>
    </w:rPr>
  </w:style>
  <w:style w:type="paragraph" w:customStyle="1" w:styleId="Tablecaption1">
    <w:name w:val="Table caption1"/>
    <w:basedOn w:val="Normal"/>
    <w:link w:val="Tablecaption"/>
    <w:uiPriority w:val="99"/>
    <w:rsid w:val="00A85CDB"/>
    <w:pPr>
      <w:spacing w:line="240" w:lineRule="atLeast"/>
    </w:pPr>
    <w:rPr>
      <w:rFonts w:ascii="Arial" w:hAnsi="Arial" w:cs="Arial"/>
      <w:b/>
      <w:bCs/>
      <w:sz w:val="18"/>
      <w:szCs w:val="18"/>
      <w:lang w:eastAsia="hr-HR"/>
    </w:rPr>
  </w:style>
  <w:style w:type="paragraph" w:customStyle="1" w:styleId="Tackicenove">
    <w:name w:val="Tackice nove"/>
    <w:basedOn w:val="Normal"/>
    <w:link w:val="TackicenoveChar"/>
    <w:qFormat/>
    <w:rsid w:val="00C332C6"/>
    <w:pPr>
      <w:numPr>
        <w:numId w:val="17"/>
      </w:numPr>
      <w:spacing w:before="80"/>
      <w:ind w:left="720" w:hanging="357"/>
      <w:jc w:val="both"/>
    </w:pPr>
    <w:rPr>
      <w:rFonts w:ascii="Arial" w:hAnsi="Arial" w:cs="Arial"/>
      <w:sz w:val="22"/>
    </w:rPr>
  </w:style>
  <w:style w:type="character" w:customStyle="1" w:styleId="TackicenoveChar">
    <w:name w:val="Tackice nove Char"/>
    <w:link w:val="Tackicenove"/>
    <w:rsid w:val="00C332C6"/>
    <w:rPr>
      <w:rFonts w:ascii="Arial" w:hAnsi="Arial" w:cs="Arial"/>
      <w:sz w:val="22"/>
      <w:szCs w:val="24"/>
      <w:lang w:eastAsia="en-US"/>
    </w:rPr>
  </w:style>
  <w:style w:type="character" w:customStyle="1" w:styleId="UnresolvedMention1">
    <w:name w:val="Unresolved Mention1"/>
    <w:basedOn w:val="DefaultParagraphFont"/>
    <w:uiPriority w:val="99"/>
    <w:semiHidden/>
    <w:unhideWhenUsed/>
    <w:rsid w:val="001739B7"/>
    <w:rPr>
      <w:color w:val="605E5C"/>
      <w:shd w:val="clear" w:color="auto" w:fill="E1DFDD"/>
    </w:rPr>
  </w:style>
  <w:style w:type="character" w:customStyle="1" w:styleId="fontstyle01">
    <w:name w:val="fontstyle01"/>
    <w:basedOn w:val="DefaultParagraphFont"/>
    <w:rsid w:val="00D55AE4"/>
    <w:rPr>
      <w:rFonts w:ascii="GillSansMT" w:hAnsi="GillSansMT" w:hint="default"/>
      <w:b w:val="0"/>
      <w:bCs w:val="0"/>
      <w:i w:val="0"/>
      <w:iCs w:val="0"/>
      <w:color w:val="26262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7036">
      <w:bodyDiv w:val="1"/>
      <w:marLeft w:val="0"/>
      <w:marRight w:val="0"/>
      <w:marTop w:val="0"/>
      <w:marBottom w:val="0"/>
      <w:divBdr>
        <w:top w:val="none" w:sz="0" w:space="0" w:color="auto"/>
        <w:left w:val="none" w:sz="0" w:space="0" w:color="auto"/>
        <w:bottom w:val="none" w:sz="0" w:space="0" w:color="auto"/>
        <w:right w:val="none" w:sz="0" w:space="0" w:color="auto"/>
      </w:divBdr>
      <w:divsChild>
        <w:div w:id="1323698920">
          <w:marLeft w:val="0"/>
          <w:marRight w:val="0"/>
          <w:marTop w:val="0"/>
          <w:marBottom w:val="0"/>
          <w:divBdr>
            <w:top w:val="none" w:sz="0" w:space="0" w:color="auto"/>
            <w:left w:val="none" w:sz="0" w:space="0" w:color="auto"/>
            <w:bottom w:val="none" w:sz="0" w:space="0" w:color="auto"/>
            <w:right w:val="none" w:sz="0" w:space="0" w:color="auto"/>
          </w:divBdr>
          <w:divsChild>
            <w:div w:id="359548952">
              <w:marLeft w:val="0"/>
              <w:marRight w:val="0"/>
              <w:marTop w:val="0"/>
              <w:marBottom w:val="0"/>
              <w:divBdr>
                <w:top w:val="none" w:sz="0" w:space="0" w:color="auto"/>
                <w:left w:val="single" w:sz="4" w:space="0" w:color="666666"/>
                <w:bottom w:val="none" w:sz="0" w:space="0" w:color="auto"/>
                <w:right w:val="none" w:sz="0" w:space="0" w:color="auto"/>
              </w:divBdr>
              <w:divsChild>
                <w:div w:id="1600215153">
                  <w:marLeft w:val="2571"/>
                  <w:marRight w:val="0"/>
                  <w:marTop w:val="0"/>
                  <w:marBottom w:val="0"/>
                  <w:divBdr>
                    <w:top w:val="none" w:sz="0" w:space="0" w:color="auto"/>
                    <w:left w:val="none" w:sz="0" w:space="0" w:color="auto"/>
                    <w:bottom w:val="none" w:sz="0" w:space="0" w:color="auto"/>
                    <w:right w:val="single" w:sz="4" w:space="5" w:color="666666"/>
                  </w:divBdr>
                  <w:divsChild>
                    <w:div w:id="181799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72966">
      <w:bodyDiv w:val="1"/>
      <w:marLeft w:val="0"/>
      <w:marRight w:val="0"/>
      <w:marTop w:val="0"/>
      <w:marBottom w:val="0"/>
      <w:divBdr>
        <w:top w:val="none" w:sz="0" w:space="0" w:color="auto"/>
        <w:left w:val="none" w:sz="0" w:space="0" w:color="auto"/>
        <w:bottom w:val="none" w:sz="0" w:space="0" w:color="auto"/>
        <w:right w:val="none" w:sz="0" w:space="0" w:color="auto"/>
      </w:divBdr>
      <w:divsChild>
        <w:div w:id="1026833742">
          <w:marLeft w:val="0"/>
          <w:marRight w:val="0"/>
          <w:marTop w:val="0"/>
          <w:marBottom w:val="0"/>
          <w:divBdr>
            <w:top w:val="none" w:sz="0" w:space="0" w:color="auto"/>
            <w:left w:val="none" w:sz="0" w:space="0" w:color="auto"/>
            <w:bottom w:val="none" w:sz="0" w:space="0" w:color="auto"/>
            <w:right w:val="none" w:sz="0" w:space="0" w:color="auto"/>
          </w:divBdr>
          <w:divsChild>
            <w:div w:id="137268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34981">
      <w:bodyDiv w:val="1"/>
      <w:marLeft w:val="0"/>
      <w:marRight w:val="0"/>
      <w:marTop w:val="0"/>
      <w:marBottom w:val="0"/>
      <w:divBdr>
        <w:top w:val="none" w:sz="0" w:space="0" w:color="auto"/>
        <w:left w:val="none" w:sz="0" w:space="0" w:color="auto"/>
        <w:bottom w:val="none" w:sz="0" w:space="0" w:color="auto"/>
        <w:right w:val="none" w:sz="0" w:space="0" w:color="auto"/>
      </w:divBdr>
    </w:div>
    <w:div w:id="42562085">
      <w:bodyDiv w:val="1"/>
      <w:marLeft w:val="0"/>
      <w:marRight w:val="0"/>
      <w:marTop w:val="0"/>
      <w:marBottom w:val="0"/>
      <w:divBdr>
        <w:top w:val="none" w:sz="0" w:space="0" w:color="auto"/>
        <w:left w:val="none" w:sz="0" w:space="0" w:color="auto"/>
        <w:bottom w:val="none" w:sz="0" w:space="0" w:color="auto"/>
        <w:right w:val="none" w:sz="0" w:space="0" w:color="auto"/>
      </w:divBdr>
      <w:divsChild>
        <w:div w:id="187833399">
          <w:marLeft w:val="0"/>
          <w:marRight w:val="0"/>
          <w:marTop w:val="0"/>
          <w:marBottom w:val="0"/>
          <w:divBdr>
            <w:top w:val="none" w:sz="0" w:space="0" w:color="auto"/>
            <w:left w:val="none" w:sz="0" w:space="0" w:color="auto"/>
            <w:bottom w:val="none" w:sz="0" w:space="0" w:color="auto"/>
            <w:right w:val="none" w:sz="0" w:space="0" w:color="auto"/>
          </w:divBdr>
        </w:div>
      </w:divsChild>
    </w:div>
    <w:div w:id="54402527">
      <w:bodyDiv w:val="1"/>
      <w:marLeft w:val="0"/>
      <w:marRight w:val="0"/>
      <w:marTop w:val="0"/>
      <w:marBottom w:val="0"/>
      <w:divBdr>
        <w:top w:val="none" w:sz="0" w:space="0" w:color="auto"/>
        <w:left w:val="none" w:sz="0" w:space="0" w:color="auto"/>
        <w:bottom w:val="none" w:sz="0" w:space="0" w:color="auto"/>
        <w:right w:val="none" w:sz="0" w:space="0" w:color="auto"/>
      </w:divBdr>
    </w:div>
    <w:div w:id="113446098">
      <w:bodyDiv w:val="1"/>
      <w:marLeft w:val="0"/>
      <w:marRight w:val="0"/>
      <w:marTop w:val="0"/>
      <w:marBottom w:val="0"/>
      <w:divBdr>
        <w:top w:val="none" w:sz="0" w:space="0" w:color="auto"/>
        <w:left w:val="none" w:sz="0" w:space="0" w:color="auto"/>
        <w:bottom w:val="none" w:sz="0" w:space="0" w:color="auto"/>
        <w:right w:val="none" w:sz="0" w:space="0" w:color="auto"/>
      </w:divBdr>
    </w:div>
    <w:div w:id="166094749">
      <w:bodyDiv w:val="1"/>
      <w:marLeft w:val="0"/>
      <w:marRight w:val="0"/>
      <w:marTop w:val="0"/>
      <w:marBottom w:val="0"/>
      <w:divBdr>
        <w:top w:val="none" w:sz="0" w:space="0" w:color="auto"/>
        <w:left w:val="none" w:sz="0" w:space="0" w:color="auto"/>
        <w:bottom w:val="none" w:sz="0" w:space="0" w:color="auto"/>
        <w:right w:val="none" w:sz="0" w:space="0" w:color="auto"/>
      </w:divBdr>
    </w:div>
    <w:div w:id="173882787">
      <w:bodyDiv w:val="1"/>
      <w:marLeft w:val="0"/>
      <w:marRight w:val="0"/>
      <w:marTop w:val="0"/>
      <w:marBottom w:val="0"/>
      <w:divBdr>
        <w:top w:val="none" w:sz="0" w:space="0" w:color="auto"/>
        <w:left w:val="none" w:sz="0" w:space="0" w:color="auto"/>
        <w:bottom w:val="none" w:sz="0" w:space="0" w:color="auto"/>
        <w:right w:val="none" w:sz="0" w:space="0" w:color="auto"/>
      </w:divBdr>
      <w:divsChild>
        <w:div w:id="1329558243">
          <w:marLeft w:val="0"/>
          <w:marRight w:val="0"/>
          <w:marTop w:val="0"/>
          <w:marBottom w:val="0"/>
          <w:divBdr>
            <w:top w:val="none" w:sz="0" w:space="0" w:color="auto"/>
            <w:left w:val="none" w:sz="0" w:space="0" w:color="auto"/>
            <w:bottom w:val="none" w:sz="0" w:space="0" w:color="auto"/>
            <w:right w:val="none" w:sz="0" w:space="0" w:color="auto"/>
          </w:divBdr>
        </w:div>
      </w:divsChild>
    </w:div>
    <w:div w:id="229996703">
      <w:bodyDiv w:val="1"/>
      <w:marLeft w:val="0"/>
      <w:marRight w:val="0"/>
      <w:marTop w:val="0"/>
      <w:marBottom w:val="0"/>
      <w:divBdr>
        <w:top w:val="none" w:sz="0" w:space="0" w:color="auto"/>
        <w:left w:val="none" w:sz="0" w:space="0" w:color="auto"/>
        <w:bottom w:val="none" w:sz="0" w:space="0" w:color="auto"/>
        <w:right w:val="none" w:sz="0" w:space="0" w:color="auto"/>
      </w:divBdr>
    </w:div>
    <w:div w:id="297878089">
      <w:bodyDiv w:val="1"/>
      <w:marLeft w:val="0"/>
      <w:marRight w:val="0"/>
      <w:marTop w:val="0"/>
      <w:marBottom w:val="0"/>
      <w:divBdr>
        <w:top w:val="none" w:sz="0" w:space="0" w:color="auto"/>
        <w:left w:val="none" w:sz="0" w:space="0" w:color="auto"/>
        <w:bottom w:val="none" w:sz="0" w:space="0" w:color="auto"/>
        <w:right w:val="none" w:sz="0" w:space="0" w:color="auto"/>
      </w:divBdr>
      <w:divsChild>
        <w:div w:id="525482522">
          <w:marLeft w:val="0"/>
          <w:marRight w:val="0"/>
          <w:marTop w:val="0"/>
          <w:marBottom w:val="0"/>
          <w:divBdr>
            <w:top w:val="none" w:sz="0" w:space="0" w:color="auto"/>
            <w:left w:val="none" w:sz="0" w:space="0" w:color="auto"/>
            <w:bottom w:val="none" w:sz="0" w:space="0" w:color="auto"/>
            <w:right w:val="none" w:sz="0" w:space="0" w:color="auto"/>
          </w:divBdr>
          <w:divsChild>
            <w:div w:id="965626971">
              <w:marLeft w:val="0"/>
              <w:marRight w:val="0"/>
              <w:marTop w:val="0"/>
              <w:marBottom w:val="0"/>
              <w:divBdr>
                <w:top w:val="none" w:sz="0" w:space="0" w:color="auto"/>
                <w:left w:val="none" w:sz="0" w:space="0" w:color="auto"/>
                <w:bottom w:val="none" w:sz="0" w:space="0" w:color="auto"/>
                <w:right w:val="none" w:sz="0" w:space="0" w:color="auto"/>
              </w:divBdr>
            </w:div>
            <w:div w:id="18003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221389">
      <w:bodyDiv w:val="1"/>
      <w:marLeft w:val="0"/>
      <w:marRight w:val="0"/>
      <w:marTop w:val="0"/>
      <w:marBottom w:val="0"/>
      <w:divBdr>
        <w:top w:val="none" w:sz="0" w:space="0" w:color="auto"/>
        <w:left w:val="none" w:sz="0" w:space="0" w:color="auto"/>
        <w:bottom w:val="none" w:sz="0" w:space="0" w:color="auto"/>
        <w:right w:val="none" w:sz="0" w:space="0" w:color="auto"/>
      </w:divBdr>
    </w:div>
    <w:div w:id="376008840">
      <w:bodyDiv w:val="1"/>
      <w:marLeft w:val="0"/>
      <w:marRight w:val="0"/>
      <w:marTop w:val="0"/>
      <w:marBottom w:val="0"/>
      <w:divBdr>
        <w:top w:val="none" w:sz="0" w:space="0" w:color="auto"/>
        <w:left w:val="none" w:sz="0" w:space="0" w:color="auto"/>
        <w:bottom w:val="none" w:sz="0" w:space="0" w:color="auto"/>
        <w:right w:val="none" w:sz="0" w:space="0" w:color="auto"/>
      </w:divBdr>
    </w:div>
    <w:div w:id="392393215">
      <w:bodyDiv w:val="1"/>
      <w:marLeft w:val="0"/>
      <w:marRight w:val="0"/>
      <w:marTop w:val="0"/>
      <w:marBottom w:val="0"/>
      <w:divBdr>
        <w:top w:val="none" w:sz="0" w:space="0" w:color="auto"/>
        <w:left w:val="none" w:sz="0" w:space="0" w:color="auto"/>
        <w:bottom w:val="none" w:sz="0" w:space="0" w:color="auto"/>
        <w:right w:val="none" w:sz="0" w:space="0" w:color="auto"/>
      </w:divBdr>
    </w:div>
    <w:div w:id="420489040">
      <w:bodyDiv w:val="1"/>
      <w:marLeft w:val="0"/>
      <w:marRight w:val="0"/>
      <w:marTop w:val="0"/>
      <w:marBottom w:val="0"/>
      <w:divBdr>
        <w:top w:val="none" w:sz="0" w:space="0" w:color="auto"/>
        <w:left w:val="none" w:sz="0" w:space="0" w:color="auto"/>
        <w:bottom w:val="none" w:sz="0" w:space="0" w:color="auto"/>
        <w:right w:val="none" w:sz="0" w:space="0" w:color="auto"/>
      </w:divBdr>
      <w:divsChild>
        <w:div w:id="409546089">
          <w:marLeft w:val="0"/>
          <w:marRight w:val="0"/>
          <w:marTop w:val="0"/>
          <w:marBottom w:val="0"/>
          <w:divBdr>
            <w:top w:val="none" w:sz="0" w:space="0" w:color="auto"/>
            <w:left w:val="none" w:sz="0" w:space="0" w:color="auto"/>
            <w:bottom w:val="none" w:sz="0" w:space="0" w:color="auto"/>
            <w:right w:val="none" w:sz="0" w:space="0" w:color="auto"/>
          </w:divBdr>
        </w:div>
      </w:divsChild>
    </w:div>
    <w:div w:id="561478630">
      <w:bodyDiv w:val="1"/>
      <w:marLeft w:val="0"/>
      <w:marRight w:val="0"/>
      <w:marTop w:val="0"/>
      <w:marBottom w:val="0"/>
      <w:divBdr>
        <w:top w:val="none" w:sz="0" w:space="0" w:color="auto"/>
        <w:left w:val="none" w:sz="0" w:space="0" w:color="auto"/>
        <w:bottom w:val="none" w:sz="0" w:space="0" w:color="auto"/>
        <w:right w:val="none" w:sz="0" w:space="0" w:color="auto"/>
      </w:divBdr>
      <w:divsChild>
        <w:div w:id="356200953">
          <w:marLeft w:val="0"/>
          <w:marRight w:val="0"/>
          <w:marTop w:val="0"/>
          <w:marBottom w:val="0"/>
          <w:divBdr>
            <w:top w:val="none" w:sz="0" w:space="0" w:color="auto"/>
            <w:left w:val="none" w:sz="0" w:space="0" w:color="auto"/>
            <w:bottom w:val="none" w:sz="0" w:space="0" w:color="auto"/>
            <w:right w:val="none" w:sz="0" w:space="0" w:color="auto"/>
          </w:divBdr>
        </w:div>
      </w:divsChild>
    </w:div>
    <w:div w:id="612174304">
      <w:bodyDiv w:val="1"/>
      <w:marLeft w:val="0"/>
      <w:marRight w:val="0"/>
      <w:marTop w:val="0"/>
      <w:marBottom w:val="0"/>
      <w:divBdr>
        <w:top w:val="none" w:sz="0" w:space="0" w:color="auto"/>
        <w:left w:val="none" w:sz="0" w:space="0" w:color="auto"/>
        <w:bottom w:val="none" w:sz="0" w:space="0" w:color="auto"/>
        <w:right w:val="none" w:sz="0" w:space="0" w:color="auto"/>
      </w:divBdr>
      <w:divsChild>
        <w:div w:id="1657874873">
          <w:marLeft w:val="0"/>
          <w:marRight w:val="0"/>
          <w:marTop w:val="0"/>
          <w:marBottom w:val="0"/>
          <w:divBdr>
            <w:top w:val="none" w:sz="0" w:space="0" w:color="auto"/>
            <w:left w:val="none" w:sz="0" w:space="0" w:color="auto"/>
            <w:bottom w:val="none" w:sz="0" w:space="0" w:color="auto"/>
            <w:right w:val="none" w:sz="0" w:space="0" w:color="auto"/>
          </w:divBdr>
        </w:div>
      </w:divsChild>
    </w:div>
    <w:div w:id="686756430">
      <w:bodyDiv w:val="1"/>
      <w:marLeft w:val="0"/>
      <w:marRight w:val="0"/>
      <w:marTop w:val="0"/>
      <w:marBottom w:val="0"/>
      <w:divBdr>
        <w:top w:val="none" w:sz="0" w:space="0" w:color="auto"/>
        <w:left w:val="none" w:sz="0" w:space="0" w:color="auto"/>
        <w:bottom w:val="none" w:sz="0" w:space="0" w:color="auto"/>
        <w:right w:val="none" w:sz="0" w:space="0" w:color="auto"/>
      </w:divBdr>
      <w:divsChild>
        <w:div w:id="1820880064">
          <w:marLeft w:val="0"/>
          <w:marRight w:val="0"/>
          <w:marTop w:val="0"/>
          <w:marBottom w:val="0"/>
          <w:divBdr>
            <w:top w:val="none" w:sz="0" w:space="0" w:color="auto"/>
            <w:left w:val="none" w:sz="0" w:space="0" w:color="auto"/>
            <w:bottom w:val="none" w:sz="0" w:space="0" w:color="auto"/>
            <w:right w:val="none" w:sz="0" w:space="0" w:color="auto"/>
          </w:divBdr>
        </w:div>
      </w:divsChild>
    </w:div>
    <w:div w:id="724451616">
      <w:bodyDiv w:val="1"/>
      <w:marLeft w:val="0"/>
      <w:marRight w:val="0"/>
      <w:marTop w:val="0"/>
      <w:marBottom w:val="0"/>
      <w:divBdr>
        <w:top w:val="none" w:sz="0" w:space="0" w:color="auto"/>
        <w:left w:val="none" w:sz="0" w:space="0" w:color="auto"/>
        <w:bottom w:val="none" w:sz="0" w:space="0" w:color="auto"/>
        <w:right w:val="none" w:sz="0" w:space="0" w:color="auto"/>
      </w:divBdr>
    </w:div>
    <w:div w:id="730884936">
      <w:bodyDiv w:val="1"/>
      <w:marLeft w:val="0"/>
      <w:marRight w:val="0"/>
      <w:marTop w:val="0"/>
      <w:marBottom w:val="0"/>
      <w:divBdr>
        <w:top w:val="none" w:sz="0" w:space="0" w:color="auto"/>
        <w:left w:val="none" w:sz="0" w:space="0" w:color="auto"/>
        <w:bottom w:val="none" w:sz="0" w:space="0" w:color="auto"/>
        <w:right w:val="none" w:sz="0" w:space="0" w:color="auto"/>
      </w:divBdr>
    </w:div>
    <w:div w:id="735278276">
      <w:bodyDiv w:val="1"/>
      <w:marLeft w:val="0"/>
      <w:marRight w:val="0"/>
      <w:marTop w:val="0"/>
      <w:marBottom w:val="0"/>
      <w:divBdr>
        <w:top w:val="none" w:sz="0" w:space="0" w:color="auto"/>
        <w:left w:val="none" w:sz="0" w:space="0" w:color="auto"/>
        <w:bottom w:val="none" w:sz="0" w:space="0" w:color="auto"/>
        <w:right w:val="none" w:sz="0" w:space="0" w:color="auto"/>
      </w:divBdr>
    </w:div>
    <w:div w:id="739207322">
      <w:bodyDiv w:val="1"/>
      <w:marLeft w:val="0"/>
      <w:marRight w:val="0"/>
      <w:marTop w:val="0"/>
      <w:marBottom w:val="0"/>
      <w:divBdr>
        <w:top w:val="none" w:sz="0" w:space="0" w:color="auto"/>
        <w:left w:val="none" w:sz="0" w:space="0" w:color="auto"/>
        <w:bottom w:val="none" w:sz="0" w:space="0" w:color="auto"/>
        <w:right w:val="none" w:sz="0" w:space="0" w:color="auto"/>
      </w:divBdr>
    </w:div>
    <w:div w:id="755368934">
      <w:bodyDiv w:val="1"/>
      <w:marLeft w:val="0"/>
      <w:marRight w:val="0"/>
      <w:marTop w:val="0"/>
      <w:marBottom w:val="0"/>
      <w:divBdr>
        <w:top w:val="none" w:sz="0" w:space="0" w:color="auto"/>
        <w:left w:val="none" w:sz="0" w:space="0" w:color="auto"/>
        <w:bottom w:val="none" w:sz="0" w:space="0" w:color="auto"/>
        <w:right w:val="none" w:sz="0" w:space="0" w:color="auto"/>
      </w:divBdr>
      <w:divsChild>
        <w:div w:id="1206454569">
          <w:marLeft w:val="0"/>
          <w:marRight w:val="0"/>
          <w:marTop w:val="0"/>
          <w:marBottom w:val="0"/>
          <w:divBdr>
            <w:top w:val="none" w:sz="0" w:space="0" w:color="auto"/>
            <w:left w:val="none" w:sz="0" w:space="0" w:color="auto"/>
            <w:bottom w:val="none" w:sz="0" w:space="0" w:color="auto"/>
            <w:right w:val="none" w:sz="0" w:space="0" w:color="auto"/>
          </w:divBdr>
        </w:div>
      </w:divsChild>
    </w:div>
    <w:div w:id="819081503">
      <w:bodyDiv w:val="1"/>
      <w:marLeft w:val="0"/>
      <w:marRight w:val="0"/>
      <w:marTop w:val="0"/>
      <w:marBottom w:val="0"/>
      <w:divBdr>
        <w:top w:val="none" w:sz="0" w:space="0" w:color="auto"/>
        <w:left w:val="none" w:sz="0" w:space="0" w:color="auto"/>
        <w:bottom w:val="none" w:sz="0" w:space="0" w:color="auto"/>
        <w:right w:val="none" w:sz="0" w:space="0" w:color="auto"/>
      </w:divBdr>
      <w:divsChild>
        <w:div w:id="994187364">
          <w:marLeft w:val="0"/>
          <w:marRight w:val="0"/>
          <w:marTop w:val="0"/>
          <w:marBottom w:val="0"/>
          <w:divBdr>
            <w:top w:val="none" w:sz="0" w:space="0" w:color="auto"/>
            <w:left w:val="none" w:sz="0" w:space="0" w:color="auto"/>
            <w:bottom w:val="none" w:sz="0" w:space="0" w:color="auto"/>
            <w:right w:val="none" w:sz="0" w:space="0" w:color="auto"/>
          </w:divBdr>
        </w:div>
      </w:divsChild>
    </w:div>
    <w:div w:id="823475248">
      <w:bodyDiv w:val="1"/>
      <w:marLeft w:val="0"/>
      <w:marRight w:val="0"/>
      <w:marTop w:val="0"/>
      <w:marBottom w:val="0"/>
      <w:divBdr>
        <w:top w:val="none" w:sz="0" w:space="0" w:color="auto"/>
        <w:left w:val="none" w:sz="0" w:space="0" w:color="auto"/>
        <w:bottom w:val="none" w:sz="0" w:space="0" w:color="auto"/>
        <w:right w:val="none" w:sz="0" w:space="0" w:color="auto"/>
      </w:divBdr>
      <w:divsChild>
        <w:div w:id="218714095">
          <w:marLeft w:val="0"/>
          <w:marRight w:val="0"/>
          <w:marTop w:val="0"/>
          <w:marBottom w:val="0"/>
          <w:divBdr>
            <w:top w:val="none" w:sz="0" w:space="0" w:color="auto"/>
            <w:left w:val="none" w:sz="0" w:space="0" w:color="auto"/>
            <w:bottom w:val="none" w:sz="0" w:space="0" w:color="auto"/>
            <w:right w:val="none" w:sz="0" w:space="0" w:color="auto"/>
          </w:divBdr>
        </w:div>
      </w:divsChild>
    </w:div>
    <w:div w:id="862744326">
      <w:bodyDiv w:val="1"/>
      <w:marLeft w:val="0"/>
      <w:marRight w:val="0"/>
      <w:marTop w:val="0"/>
      <w:marBottom w:val="0"/>
      <w:divBdr>
        <w:top w:val="none" w:sz="0" w:space="0" w:color="auto"/>
        <w:left w:val="none" w:sz="0" w:space="0" w:color="auto"/>
        <w:bottom w:val="none" w:sz="0" w:space="0" w:color="auto"/>
        <w:right w:val="none" w:sz="0" w:space="0" w:color="auto"/>
      </w:divBdr>
    </w:div>
    <w:div w:id="897784502">
      <w:bodyDiv w:val="1"/>
      <w:marLeft w:val="0"/>
      <w:marRight w:val="0"/>
      <w:marTop w:val="0"/>
      <w:marBottom w:val="0"/>
      <w:divBdr>
        <w:top w:val="none" w:sz="0" w:space="0" w:color="auto"/>
        <w:left w:val="none" w:sz="0" w:space="0" w:color="auto"/>
        <w:bottom w:val="none" w:sz="0" w:space="0" w:color="auto"/>
        <w:right w:val="none" w:sz="0" w:space="0" w:color="auto"/>
      </w:divBdr>
    </w:div>
    <w:div w:id="905146667">
      <w:bodyDiv w:val="1"/>
      <w:marLeft w:val="0"/>
      <w:marRight w:val="0"/>
      <w:marTop w:val="0"/>
      <w:marBottom w:val="0"/>
      <w:divBdr>
        <w:top w:val="none" w:sz="0" w:space="0" w:color="auto"/>
        <w:left w:val="none" w:sz="0" w:space="0" w:color="auto"/>
        <w:bottom w:val="none" w:sz="0" w:space="0" w:color="auto"/>
        <w:right w:val="none" w:sz="0" w:space="0" w:color="auto"/>
      </w:divBdr>
      <w:divsChild>
        <w:div w:id="868223668">
          <w:marLeft w:val="0"/>
          <w:marRight w:val="0"/>
          <w:marTop w:val="0"/>
          <w:marBottom w:val="0"/>
          <w:divBdr>
            <w:top w:val="none" w:sz="0" w:space="0" w:color="auto"/>
            <w:left w:val="none" w:sz="0" w:space="0" w:color="auto"/>
            <w:bottom w:val="none" w:sz="0" w:space="0" w:color="auto"/>
            <w:right w:val="none" w:sz="0" w:space="0" w:color="auto"/>
          </w:divBdr>
        </w:div>
      </w:divsChild>
    </w:div>
    <w:div w:id="910116909">
      <w:bodyDiv w:val="1"/>
      <w:marLeft w:val="0"/>
      <w:marRight w:val="0"/>
      <w:marTop w:val="0"/>
      <w:marBottom w:val="0"/>
      <w:divBdr>
        <w:top w:val="none" w:sz="0" w:space="0" w:color="auto"/>
        <w:left w:val="none" w:sz="0" w:space="0" w:color="auto"/>
        <w:bottom w:val="none" w:sz="0" w:space="0" w:color="auto"/>
        <w:right w:val="none" w:sz="0" w:space="0" w:color="auto"/>
      </w:divBdr>
      <w:divsChild>
        <w:div w:id="1683238590">
          <w:marLeft w:val="0"/>
          <w:marRight w:val="0"/>
          <w:marTop w:val="0"/>
          <w:marBottom w:val="0"/>
          <w:divBdr>
            <w:top w:val="none" w:sz="0" w:space="0" w:color="auto"/>
            <w:left w:val="none" w:sz="0" w:space="0" w:color="auto"/>
            <w:bottom w:val="none" w:sz="0" w:space="0" w:color="auto"/>
            <w:right w:val="none" w:sz="0" w:space="0" w:color="auto"/>
          </w:divBdr>
        </w:div>
      </w:divsChild>
    </w:div>
    <w:div w:id="949775409">
      <w:bodyDiv w:val="1"/>
      <w:marLeft w:val="0"/>
      <w:marRight w:val="0"/>
      <w:marTop w:val="0"/>
      <w:marBottom w:val="0"/>
      <w:divBdr>
        <w:top w:val="none" w:sz="0" w:space="0" w:color="auto"/>
        <w:left w:val="none" w:sz="0" w:space="0" w:color="auto"/>
        <w:bottom w:val="none" w:sz="0" w:space="0" w:color="auto"/>
        <w:right w:val="none" w:sz="0" w:space="0" w:color="auto"/>
      </w:divBdr>
      <w:divsChild>
        <w:div w:id="326902721">
          <w:marLeft w:val="0"/>
          <w:marRight w:val="0"/>
          <w:marTop w:val="0"/>
          <w:marBottom w:val="0"/>
          <w:divBdr>
            <w:top w:val="none" w:sz="0" w:space="0" w:color="auto"/>
            <w:left w:val="none" w:sz="0" w:space="0" w:color="auto"/>
            <w:bottom w:val="none" w:sz="0" w:space="0" w:color="auto"/>
            <w:right w:val="none" w:sz="0" w:space="0" w:color="auto"/>
          </w:divBdr>
        </w:div>
      </w:divsChild>
    </w:div>
    <w:div w:id="956105109">
      <w:bodyDiv w:val="1"/>
      <w:marLeft w:val="0"/>
      <w:marRight w:val="0"/>
      <w:marTop w:val="0"/>
      <w:marBottom w:val="0"/>
      <w:divBdr>
        <w:top w:val="none" w:sz="0" w:space="0" w:color="auto"/>
        <w:left w:val="none" w:sz="0" w:space="0" w:color="auto"/>
        <w:bottom w:val="none" w:sz="0" w:space="0" w:color="auto"/>
        <w:right w:val="none" w:sz="0" w:space="0" w:color="auto"/>
      </w:divBdr>
    </w:div>
    <w:div w:id="968971377">
      <w:bodyDiv w:val="1"/>
      <w:marLeft w:val="0"/>
      <w:marRight w:val="0"/>
      <w:marTop w:val="0"/>
      <w:marBottom w:val="0"/>
      <w:divBdr>
        <w:top w:val="none" w:sz="0" w:space="0" w:color="auto"/>
        <w:left w:val="none" w:sz="0" w:space="0" w:color="auto"/>
        <w:bottom w:val="none" w:sz="0" w:space="0" w:color="auto"/>
        <w:right w:val="none" w:sz="0" w:space="0" w:color="auto"/>
      </w:divBdr>
      <w:divsChild>
        <w:div w:id="1457482220">
          <w:marLeft w:val="0"/>
          <w:marRight w:val="0"/>
          <w:marTop w:val="0"/>
          <w:marBottom w:val="0"/>
          <w:divBdr>
            <w:top w:val="none" w:sz="0" w:space="0" w:color="auto"/>
            <w:left w:val="none" w:sz="0" w:space="0" w:color="auto"/>
            <w:bottom w:val="none" w:sz="0" w:space="0" w:color="auto"/>
            <w:right w:val="none" w:sz="0" w:space="0" w:color="auto"/>
          </w:divBdr>
        </w:div>
      </w:divsChild>
    </w:div>
    <w:div w:id="969897897">
      <w:bodyDiv w:val="1"/>
      <w:marLeft w:val="0"/>
      <w:marRight w:val="0"/>
      <w:marTop w:val="0"/>
      <w:marBottom w:val="0"/>
      <w:divBdr>
        <w:top w:val="none" w:sz="0" w:space="0" w:color="auto"/>
        <w:left w:val="none" w:sz="0" w:space="0" w:color="auto"/>
        <w:bottom w:val="none" w:sz="0" w:space="0" w:color="auto"/>
        <w:right w:val="none" w:sz="0" w:space="0" w:color="auto"/>
      </w:divBdr>
    </w:div>
    <w:div w:id="989558695">
      <w:bodyDiv w:val="1"/>
      <w:marLeft w:val="0"/>
      <w:marRight w:val="0"/>
      <w:marTop w:val="0"/>
      <w:marBottom w:val="0"/>
      <w:divBdr>
        <w:top w:val="none" w:sz="0" w:space="0" w:color="auto"/>
        <w:left w:val="none" w:sz="0" w:space="0" w:color="auto"/>
        <w:bottom w:val="none" w:sz="0" w:space="0" w:color="auto"/>
        <w:right w:val="none" w:sz="0" w:space="0" w:color="auto"/>
      </w:divBdr>
      <w:divsChild>
        <w:div w:id="88741167">
          <w:marLeft w:val="0"/>
          <w:marRight w:val="0"/>
          <w:marTop w:val="0"/>
          <w:marBottom w:val="0"/>
          <w:divBdr>
            <w:top w:val="none" w:sz="0" w:space="0" w:color="auto"/>
            <w:left w:val="none" w:sz="0" w:space="0" w:color="auto"/>
            <w:bottom w:val="none" w:sz="0" w:space="0" w:color="auto"/>
            <w:right w:val="none" w:sz="0" w:space="0" w:color="auto"/>
          </w:divBdr>
          <w:divsChild>
            <w:div w:id="554244517">
              <w:marLeft w:val="0"/>
              <w:marRight w:val="0"/>
              <w:marTop w:val="0"/>
              <w:marBottom w:val="0"/>
              <w:divBdr>
                <w:top w:val="none" w:sz="0" w:space="0" w:color="auto"/>
                <w:left w:val="none" w:sz="0" w:space="0" w:color="auto"/>
                <w:bottom w:val="none" w:sz="0" w:space="0" w:color="auto"/>
                <w:right w:val="none" w:sz="0" w:space="0" w:color="auto"/>
              </w:divBdr>
            </w:div>
            <w:div w:id="17633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978554">
      <w:bodyDiv w:val="1"/>
      <w:marLeft w:val="0"/>
      <w:marRight w:val="0"/>
      <w:marTop w:val="0"/>
      <w:marBottom w:val="0"/>
      <w:divBdr>
        <w:top w:val="none" w:sz="0" w:space="0" w:color="auto"/>
        <w:left w:val="none" w:sz="0" w:space="0" w:color="auto"/>
        <w:bottom w:val="none" w:sz="0" w:space="0" w:color="auto"/>
        <w:right w:val="none" w:sz="0" w:space="0" w:color="auto"/>
      </w:divBdr>
      <w:divsChild>
        <w:div w:id="511069792">
          <w:marLeft w:val="0"/>
          <w:marRight w:val="0"/>
          <w:marTop w:val="0"/>
          <w:marBottom w:val="0"/>
          <w:divBdr>
            <w:top w:val="none" w:sz="0" w:space="0" w:color="auto"/>
            <w:left w:val="none" w:sz="0" w:space="0" w:color="auto"/>
            <w:bottom w:val="none" w:sz="0" w:space="0" w:color="auto"/>
            <w:right w:val="none" w:sz="0" w:space="0" w:color="auto"/>
          </w:divBdr>
        </w:div>
      </w:divsChild>
    </w:div>
    <w:div w:id="1022979936">
      <w:bodyDiv w:val="1"/>
      <w:marLeft w:val="0"/>
      <w:marRight w:val="0"/>
      <w:marTop w:val="0"/>
      <w:marBottom w:val="0"/>
      <w:divBdr>
        <w:top w:val="none" w:sz="0" w:space="0" w:color="auto"/>
        <w:left w:val="none" w:sz="0" w:space="0" w:color="auto"/>
        <w:bottom w:val="none" w:sz="0" w:space="0" w:color="auto"/>
        <w:right w:val="none" w:sz="0" w:space="0" w:color="auto"/>
      </w:divBdr>
      <w:divsChild>
        <w:div w:id="103154419">
          <w:marLeft w:val="0"/>
          <w:marRight w:val="0"/>
          <w:marTop w:val="0"/>
          <w:marBottom w:val="0"/>
          <w:divBdr>
            <w:top w:val="none" w:sz="0" w:space="0" w:color="auto"/>
            <w:left w:val="none" w:sz="0" w:space="0" w:color="auto"/>
            <w:bottom w:val="none" w:sz="0" w:space="0" w:color="auto"/>
            <w:right w:val="none" w:sz="0" w:space="0" w:color="auto"/>
          </w:divBdr>
        </w:div>
      </w:divsChild>
    </w:div>
    <w:div w:id="1099643157">
      <w:bodyDiv w:val="1"/>
      <w:marLeft w:val="0"/>
      <w:marRight w:val="0"/>
      <w:marTop w:val="0"/>
      <w:marBottom w:val="0"/>
      <w:divBdr>
        <w:top w:val="none" w:sz="0" w:space="0" w:color="auto"/>
        <w:left w:val="none" w:sz="0" w:space="0" w:color="auto"/>
        <w:bottom w:val="none" w:sz="0" w:space="0" w:color="auto"/>
        <w:right w:val="none" w:sz="0" w:space="0" w:color="auto"/>
      </w:divBdr>
    </w:div>
    <w:div w:id="1102458836">
      <w:bodyDiv w:val="1"/>
      <w:marLeft w:val="0"/>
      <w:marRight w:val="0"/>
      <w:marTop w:val="0"/>
      <w:marBottom w:val="0"/>
      <w:divBdr>
        <w:top w:val="none" w:sz="0" w:space="0" w:color="auto"/>
        <w:left w:val="none" w:sz="0" w:space="0" w:color="auto"/>
        <w:bottom w:val="none" w:sz="0" w:space="0" w:color="auto"/>
        <w:right w:val="none" w:sz="0" w:space="0" w:color="auto"/>
      </w:divBdr>
    </w:div>
    <w:div w:id="1107625605">
      <w:bodyDiv w:val="1"/>
      <w:marLeft w:val="0"/>
      <w:marRight w:val="0"/>
      <w:marTop w:val="0"/>
      <w:marBottom w:val="0"/>
      <w:divBdr>
        <w:top w:val="none" w:sz="0" w:space="0" w:color="auto"/>
        <w:left w:val="none" w:sz="0" w:space="0" w:color="auto"/>
        <w:bottom w:val="none" w:sz="0" w:space="0" w:color="auto"/>
        <w:right w:val="none" w:sz="0" w:space="0" w:color="auto"/>
      </w:divBdr>
    </w:div>
    <w:div w:id="1108239290">
      <w:bodyDiv w:val="1"/>
      <w:marLeft w:val="0"/>
      <w:marRight w:val="0"/>
      <w:marTop w:val="0"/>
      <w:marBottom w:val="0"/>
      <w:divBdr>
        <w:top w:val="none" w:sz="0" w:space="0" w:color="auto"/>
        <w:left w:val="none" w:sz="0" w:space="0" w:color="auto"/>
        <w:bottom w:val="none" w:sz="0" w:space="0" w:color="auto"/>
        <w:right w:val="none" w:sz="0" w:space="0" w:color="auto"/>
      </w:divBdr>
    </w:div>
    <w:div w:id="1121218904">
      <w:bodyDiv w:val="1"/>
      <w:marLeft w:val="0"/>
      <w:marRight w:val="0"/>
      <w:marTop w:val="0"/>
      <w:marBottom w:val="0"/>
      <w:divBdr>
        <w:top w:val="none" w:sz="0" w:space="0" w:color="auto"/>
        <w:left w:val="none" w:sz="0" w:space="0" w:color="auto"/>
        <w:bottom w:val="none" w:sz="0" w:space="0" w:color="auto"/>
        <w:right w:val="none" w:sz="0" w:space="0" w:color="auto"/>
      </w:divBdr>
    </w:div>
    <w:div w:id="1121613861">
      <w:bodyDiv w:val="1"/>
      <w:marLeft w:val="0"/>
      <w:marRight w:val="0"/>
      <w:marTop w:val="0"/>
      <w:marBottom w:val="0"/>
      <w:divBdr>
        <w:top w:val="none" w:sz="0" w:space="0" w:color="auto"/>
        <w:left w:val="none" w:sz="0" w:space="0" w:color="auto"/>
        <w:bottom w:val="none" w:sz="0" w:space="0" w:color="auto"/>
        <w:right w:val="none" w:sz="0" w:space="0" w:color="auto"/>
      </w:divBdr>
      <w:divsChild>
        <w:div w:id="12231777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7415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598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453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4453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5447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3108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94465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461537">
                  <w:blockQuote w:val="1"/>
                  <w:marLeft w:val="720"/>
                  <w:marRight w:val="720"/>
                  <w:marTop w:val="100"/>
                  <w:marBottom w:val="100"/>
                  <w:divBdr>
                    <w:top w:val="none" w:sz="0" w:space="0" w:color="auto"/>
                    <w:left w:val="none" w:sz="0" w:space="0" w:color="auto"/>
                    <w:bottom w:val="none" w:sz="0" w:space="0" w:color="auto"/>
                    <w:right w:val="none" w:sz="0" w:space="0" w:color="auto"/>
                  </w:divBdr>
                </w:div>
                <w:div w:id="230770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8045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33299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979166">
      <w:bodyDiv w:val="1"/>
      <w:marLeft w:val="0"/>
      <w:marRight w:val="0"/>
      <w:marTop w:val="0"/>
      <w:marBottom w:val="0"/>
      <w:divBdr>
        <w:top w:val="none" w:sz="0" w:space="0" w:color="auto"/>
        <w:left w:val="none" w:sz="0" w:space="0" w:color="auto"/>
        <w:bottom w:val="none" w:sz="0" w:space="0" w:color="auto"/>
        <w:right w:val="none" w:sz="0" w:space="0" w:color="auto"/>
      </w:divBdr>
    </w:div>
    <w:div w:id="1151486268">
      <w:bodyDiv w:val="1"/>
      <w:marLeft w:val="0"/>
      <w:marRight w:val="0"/>
      <w:marTop w:val="0"/>
      <w:marBottom w:val="0"/>
      <w:divBdr>
        <w:top w:val="none" w:sz="0" w:space="0" w:color="auto"/>
        <w:left w:val="none" w:sz="0" w:space="0" w:color="auto"/>
        <w:bottom w:val="none" w:sz="0" w:space="0" w:color="auto"/>
        <w:right w:val="none" w:sz="0" w:space="0" w:color="auto"/>
      </w:divBdr>
    </w:div>
    <w:div w:id="1161041963">
      <w:bodyDiv w:val="1"/>
      <w:marLeft w:val="0"/>
      <w:marRight w:val="0"/>
      <w:marTop w:val="0"/>
      <w:marBottom w:val="0"/>
      <w:divBdr>
        <w:top w:val="none" w:sz="0" w:space="0" w:color="auto"/>
        <w:left w:val="none" w:sz="0" w:space="0" w:color="auto"/>
        <w:bottom w:val="none" w:sz="0" w:space="0" w:color="auto"/>
        <w:right w:val="none" w:sz="0" w:space="0" w:color="auto"/>
      </w:divBdr>
    </w:div>
    <w:div w:id="1176111889">
      <w:bodyDiv w:val="1"/>
      <w:marLeft w:val="0"/>
      <w:marRight w:val="0"/>
      <w:marTop w:val="0"/>
      <w:marBottom w:val="0"/>
      <w:divBdr>
        <w:top w:val="none" w:sz="0" w:space="0" w:color="auto"/>
        <w:left w:val="none" w:sz="0" w:space="0" w:color="auto"/>
        <w:bottom w:val="none" w:sz="0" w:space="0" w:color="auto"/>
        <w:right w:val="none" w:sz="0" w:space="0" w:color="auto"/>
      </w:divBdr>
    </w:div>
    <w:div w:id="1180852605">
      <w:bodyDiv w:val="1"/>
      <w:marLeft w:val="0"/>
      <w:marRight w:val="0"/>
      <w:marTop w:val="0"/>
      <w:marBottom w:val="0"/>
      <w:divBdr>
        <w:top w:val="none" w:sz="0" w:space="0" w:color="auto"/>
        <w:left w:val="none" w:sz="0" w:space="0" w:color="auto"/>
        <w:bottom w:val="none" w:sz="0" w:space="0" w:color="auto"/>
        <w:right w:val="none" w:sz="0" w:space="0" w:color="auto"/>
      </w:divBdr>
    </w:div>
    <w:div w:id="1264916473">
      <w:bodyDiv w:val="1"/>
      <w:marLeft w:val="0"/>
      <w:marRight w:val="0"/>
      <w:marTop w:val="0"/>
      <w:marBottom w:val="0"/>
      <w:divBdr>
        <w:top w:val="none" w:sz="0" w:space="0" w:color="auto"/>
        <w:left w:val="none" w:sz="0" w:space="0" w:color="auto"/>
        <w:bottom w:val="none" w:sz="0" w:space="0" w:color="auto"/>
        <w:right w:val="none" w:sz="0" w:space="0" w:color="auto"/>
      </w:divBdr>
    </w:div>
    <w:div w:id="1277906736">
      <w:bodyDiv w:val="1"/>
      <w:marLeft w:val="0"/>
      <w:marRight w:val="0"/>
      <w:marTop w:val="0"/>
      <w:marBottom w:val="0"/>
      <w:divBdr>
        <w:top w:val="none" w:sz="0" w:space="0" w:color="auto"/>
        <w:left w:val="none" w:sz="0" w:space="0" w:color="auto"/>
        <w:bottom w:val="none" w:sz="0" w:space="0" w:color="auto"/>
        <w:right w:val="none" w:sz="0" w:space="0" w:color="auto"/>
      </w:divBdr>
      <w:divsChild>
        <w:div w:id="909273313">
          <w:marLeft w:val="0"/>
          <w:marRight w:val="0"/>
          <w:marTop w:val="0"/>
          <w:marBottom w:val="0"/>
          <w:divBdr>
            <w:top w:val="none" w:sz="0" w:space="0" w:color="auto"/>
            <w:left w:val="none" w:sz="0" w:space="0" w:color="auto"/>
            <w:bottom w:val="none" w:sz="0" w:space="0" w:color="auto"/>
            <w:right w:val="none" w:sz="0" w:space="0" w:color="auto"/>
          </w:divBdr>
        </w:div>
      </w:divsChild>
    </w:div>
    <w:div w:id="1305890882">
      <w:bodyDiv w:val="1"/>
      <w:marLeft w:val="0"/>
      <w:marRight w:val="0"/>
      <w:marTop w:val="0"/>
      <w:marBottom w:val="0"/>
      <w:divBdr>
        <w:top w:val="none" w:sz="0" w:space="0" w:color="auto"/>
        <w:left w:val="none" w:sz="0" w:space="0" w:color="auto"/>
        <w:bottom w:val="none" w:sz="0" w:space="0" w:color="auto"/>
        <w:right w:val="none" w:sz="0" w:space="0" w:color="auto"/>
      </w:divBdr>
      <w:divsChild>
        <w:div w:id="1120344298">
          <w:marLeft w:val="0"/>
          <w:marRight w:val="0"/>
          <w:marTop w:val="0"/>
          <w:marBottom w:val="0"/>
          <w:divBdr>
            <w:top w:val="none" w:sz="0" w:space="0" w:color="auto"/>
            <w:left w:val="none" w:sz="0" w:space="0" w:color="auto"/>
            <w:bottom w:val="none" w:sz="0" w:space="0" w:color="auto"/>
            <w:right w:val="none" w:sz="0" w:space="0" w:color="auto"/>
          </w:divBdr>
          <w:divsChild>
            <w:div w:id="289634852">
              <w:marLeft w:val="0"/>
              <w:marRight w:val="0"/>
              <w:marTop w:val="0"/>
              <w:marBottom w:val="0"/>
              <w:divBdr>
                <w:top w:val="none" w:sz="0" w:space="0" w:color="auto"/>
                <w:left w:val="none" w:sz="0" w:space="0" w:color="auto"/>
                <w:bottom w:val="none" w:sz="0" w:space="0" w:color="auto"/>
                <w:right w:val="none" w:sz="0" w:space="0" w:color="auto"/>
              </w:divBdr>
            </w:div>
            <w:div w:id="460802807">
              <w:marLeft w:val="0"/>
              <w:marRight w:val="0"/>
              <w:marTop w:val="0"/>
              <w:marBottom w:val="0"/>
              <w:divBdr>
                <w:top w:val="none" w:sz="0" w:space="0" w:color="auto"/>
                <w:left w:val="none" w:sz="0" w:space="0" w:color="auto"/>
                <w:bottom w:val="none" w:sz="0" w:space="0" w:color="auto"/>
                <w:right w:val="none" w:sz="0" w:space="0" w:color="auto"/>
              </w:divBdr>
            </w:div>
            <w:div w:id="1623341994">
              <w:marLeft w:val="0"/>
              <w:marRight w:val="0"/>
              <w:marTop w:val="0"/>
              <w:marBottom w:val="0"/>
              <w:divBdr>
                <w:top w:val="none" w:sz="0" w:space="0" w:color="auto"/>
                <w:left w:val="none" w:sz="0" w:space="0" w:color="auto"/>
                <w:bottom w:val="none" w:sz="0" w:space="0" w:color="auto"/>
                <w:right w:val="none" w:sz="0" w:space="0" w:color="auto"/>
              </w:divBdr>
              <w:divsChild>
                <w:div w:id="802380755">
                  <w:marLeft w:val="847"/>
                  <w:marRight w:val="0"/>
                  <w:marTop w:val="0"/>
                  <w:marBottom w:val="0"/>
                  <w:divBdr>
                    <w:top w:val="none" w:sz="0" w:space="0" w:color="auto"/>
                    <w:left w:val="none" w:sz="0" w:space="0" w:color="auto"/>
                    <w:bottom w:val="none" w:sz="0" w:space="0" w:color="auto"/>
                    <w:right w:val="none" w:sz="0" w:space="0" w:color="auto"/>
                  </w:divBdr>
                  <w:divsChild>
                    <w:div w:id="788546372">
                      <w:marLeft w:val="141"/>
                      <w:marRight w:val="0"/>
                      <w:marTop w:val="0"/>
                      <w:marBottom w:val="0"/>
                      <w:divBdr>
                        <w:top w:val="none" w:sz="0" w:space="0" w:color="auto"/>
                        <w:left w:val="none" w:sz="0" w:space="0" w:color="auto"/>
                        <w:bottom w:val="none" w:sz="0" w:space="0" w:color="auto"/>
                        <w:right w:val="none" w:sz="0" w:space="0" w:color="auto"/>
                      </w:divBdr>
                    </w:div>
                  </w:divsChild>
                </w:div>
                <w:div w:id="1047604952">
                  <w:marLeft w:val="0"/>
                  <w:marRight w:val="0"/>
                  <w:marTop w:val="0"/>
                  <w:marBottom w:val="0"/>
                  <w:divBdr>
                    <w:top w:val="none" w:sz="0" w:space="0" w:color="auto"/>
                    <w:left w:val="none" w:sz="0" w:space="0" w:color="auto"/>
                    <w:bottom w:val="none" w:sz="0" w:space="0" w:color="auto"/>
                    <w:right w:val="none" w:sz="0" w:space="0" w:color="auto"/>
                  </w:divBdr>
                  <w:divsChild>
                    <w:div w:id="14254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714720">
              <w:marLeft w:val="0"/>
              <w:marRight w:val="0"/>
              <w:marTop w:val="0"/>
              <w:marBottom w:val="0"/>
              <w:divBdr>
                <w:top w:val="none" w:sz="0" w:space="0" w:color="auto"/>
                <w:left w:val="none" w:sz="0" w:space="0" w:color="auto"/>
                <w:bottom w:val="none" w:sz="0" w:space="0" w:color="auto"/>
                <w:right w:val="none" w:sz="0" w:space="0" w:color="auto"/>
              </w:divBdr>
            </w:div>
            <w:div w:id="187862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42939">
      <w:bodyDiv w:val="1"/>
      <w:marLeft w:val="0"/>
      <w:marRight w:val="0"/>
      <w:marTop w:val="0"/>
      <w:marBottom w:val="0"/>
      <w:divBdr>
        <w:top w:val="none" w:sz="0" w:space="0" w:color="auto"/>
        <w:left w:val="none" w:sz="0" w:space="0" w:color="auto"/>
        <w:bottom w:val="none" w:sz="0" w:space="0" w:color="auto"/>
        <w:right w:val="none" w:sz="0" w:space="0" w:color="auto"/>
      </w:divBdr>
      <w:divsChild>
        <w:div w:id="388113752">
          <w:marLeft w:val="0"/>
          <w:marRight w:val="0"/>
          <w:marTop w:val="0"/>
          <w:marBottom w:val="0"/>
          <w:divBdr>
            <w:top w:val="none" w:sz="0" w:space="0" w:color="auto"/>
            <w:left w:val="none" w:sz="0" w:space="0" w:color="auto"/>
            <w:bottom w:val="none" w:sz="0" w:space="0" w:color="auto"/>
            <w:right w:val="none" w:sz="0" w:space="0" w:color="auto"/>
          </w:divBdr>
        </w:div>
      </w:divsChild>
    </w:div>
    <w:div w:id="1428845960">
      <w:bodyDiv w:val="1"/>
      <w:marLeft w:val="0"/>
      <w:marRight w:val="0"/>
      <w:marTop w:val="0"/>
      <w:marBottom w:val="0"/>
      <w:divBdr>
        <w:top w:val="none" w:sz="0" w:space="0" w:color="auto"/>
        <w:left w:val="none" w:sz="0" w:space="0" w:color="auto"/>
        <w:bottom w:val="none" w:sz="0" w:space="0" w:color="auto"/>
        <w:right w:val="none" w:sz="0" w:space="0" w:color="auto"/>
      </w:divBdr>
    </w:div>
    <w:div w:id="1446194892">
      <w:bodyDiv w:val="1"/>
      <w:marLeft w:val="0"/>
      <w:marRight w:val="0"/>
      <w:marTop w:val="0"/>
      <w:marBottom w:val="0"/>
      <w:divBdr>
        <w:top w:val="none" w:sz="0" w:space="0" w:color="auto"/>
        <w:left w:val="none" w:sz="0" w:space="0" w:color="auto"/>
        <w:bottom w:val="none" w:sz="0" w:space="0" w:color="auto"/>
        <w:right w:val="none" w:sz="0" w:space="0" w:color="auto"/>
      </w:divBdr>
    </w:div>
    <w:div w:id="1458984408">
      <w:bodyDiv w:val="1"/>
      <w:marLeft w:val="0"/>
      <w:marRight w:val="0"/>
      <w:marTop w:val="0"/>
      <w:marBottom w:val="0"/>
      <w:divBdr>
        <w:top w:val="none" w:sz="0" w:space="0" w:color="auto"/>
        <w:left w:val="none" w:sz="0" w:space="0" w:color="auto"/>
        <w:bottom w:val="none" w:sz="0" w:space="0" w:color="auto"/>
        <w:right w:val="none" w:sz="0" w:space="0" w:color="auto"/>
      </w:divBdr>
      <w:divsChild>
        <w:div w:id="327900335">
          <w:marLeft w:val="0"/>
          <w:marRight w:val="0"/>
          <w:marTop w:val="0"/>
          <w:marBottom w:val="0"/>
          <w:divBdr>
            <w:top w:val="none" w:sz="0" w:space="0" w:color="auto"/>
            <w:left w:val="none" w:sz="0" w:space="0" w:color="auto"/>
            <w:bottom w:val="none" w:sz="0" w:space="0" w:color="auto"/>
            <w:right w:val="none" w:sz="0" w:space="0" w:color="auto"/>
          </w:divBdr>
        </w:div>
      </w:divsChild>
    </w:div>
    <w:div w:id="1470127997">
      <w:bodyDiv w:val="1"/>
      <w:marLeft w:val="0"/>
      <w:marRight w:val="0"/>
      <w:marTop w:val="0"/>
      <w:marBottom w:val="0"/>
      <w:divBdr>
        <w:top w:val="none" w:sz="0" w:space="0" w:color="auto"/>
        <w:left w:val="none" w:sz="0" w:space="0" w:color="auto"/>
        <w:bottom w:val="none" w:sz="0" w:space="0" w:color="auto"/>
        <w:right w:val="none" w:sz="0" w:space="0" w:color="auto"/>
      </w:divBdr>
      <w:divsChild>
        <w:div w:id="395052985">
          <w:marLeft w:val="0"/>
          <w:marRight w:val="0"/>
          <w:marTop w:val="0"/>
          <w:marBottom w:val="0"/>
          <w:divBdr>
            <w:top w:val="none" w:sz="0" w:space="0" w:color="auto"/>
            <w:left w:val="none" w:sz="0" w:space="0" w:color="auto"/>
            <w:bottom w:val="none" w:sz="0" w:space="0" w:color="auto"/>
            <w:right w:val="none" w:sz="0" w:space="0" w:color="auto"/>
          </w:divBdr>
        </w:div>
      </w:divsChild>
    </w:div>
    <w:div w:id="1481342968">
      <w:bodyDiv w:val="1"/>
      <w:marLeft w:val="0"/>
      <w:marRight w:val="0"/>
      <w:marTop w:val="0"/>
      <w:marBottom w:val="0"/>
      <w:divBdr>
        <w:top w:val="none" w:sz="0" w:space="0" w:color="auto"/>
        <w:left w:val="none" w:sz="0" w:space="0" w:color="auto"/>
        <w:bottom w:val="none" w:sz="0" w:space="0" w:color="auto"/>
        <w:right w:val="none" w:sz="0" w:space="0" w:color="auto"/>
      </w:divBdr>
      <w:divsChild>
        <w:div w:id="329331584">
          <w:marLeft w:val="0"/>
          <w:marRight w:val="0"/>
          <w:marTop w:val="0"/>
          <w:marBottom w:val="0"/>
          <w:divBdr>
            <w:top w:val="none" w:sz="0" w:space="0" w:color="auto"/>
            <w:left w:val="none" w:sz="0" w:space="0" w:color="auto"/>
            <w:bottom w:val="none" w:sz="0" w:space="0" w:color="auto"/>
            <w:right w:val="none" w:sz="0" w:space="0" w:color="auto"/>
          </w:divBdr>
        </w:div>
      </w:divsChild>
    </w:div>
    <w:div w:id="1593977682">
      <w:bodyDiv w:val="1"/>
      <w:marLeft w:val="0"/>
      <w:marRight w:val="0"/>
      <w:marTop w:val="0"/>
      <w:marBottom w:val="0"/>
      <w:divBdr>
        <w:top w:val="none" w:sz="0" w:space="0" w:color="auto"/>
        <w:left w:val="none" w:sz="0" w:space="0" w:color="auto"/>
        <w:bottom w:val="none" w:sz="0" w:space="0" w:color="auto"/>
        <w:right w:val="none" w:sz="0" w:space="0" w:color="auto"/>
      </w:divBdr>
    </w:div>
    <w:div w:id="1605846157">
      <w:bodyDiv w:val="1"/>
      <w:marLeft w:val="0"/>
      <w:marRight w:val="0"/>
      <w:marTop w:val="0"/>
      <w:marBottom w:val="0"/>
      <w:divBdr>
        <w:top w:val="none" w:sz="0" w:space="0" w:color="auto"/>
        <w:left w:val="none" w:sz="0" w:space="0" w:color="auto"/>
        <w:bottom w:val="none" w:sz="0" w:space="0" w:color="auto"/>
        <w:right w:val="none" w:sz="0" w:space="0" w:color="auto"/>
      </w:divBdr>
    </w:div>
    <w:div w:id="1608343129">
      <w:bodyDiv w:val="1"/>
      <w:marLeft w:val="0"/>
      <w:marRight w:val="0"/>
      <w:marTop w:val="0"/>
      <w:marBottom w:val="0"/>
      <w:divBdr>
        <w:top w:val="none" w:sz="0" w:space="0" w:color="auto"/>
        <w:left w:val="none" w:sz="0" w:space="0" w:color="auto"/>
        <w:bottom w:val="none" w:sz="0" w:space="0" w:color="auto"/>
        <w:right w:val="none" w:sz="0" w:space="0" w:color="auto"/>
      </w:divBdr>
      <w:divsChild>
        <w:div w:id="2107340394">
          <w:marLeft w:val="0"/>
          <w:marRight w:val="0"/>
          <w:marTop w:val="0"/>
          <w:marBottom w:val="0"/>
          <w:divBdr>
            <w:top w:val="none" w:sz="0" w:space="0" w:color="auto"/>
            <w:left w:val="none" w:sz="0" w:space="0" w:color="auto"/>
            <w:bottom w:val="none" w:sz="0" w:space="0" w:color="auto"/>
            <w:right w:val="none" w:sz="0" w:space="0" w:color="auto"/>
          </w:divBdr>
          <w:divsChild>
            <w:div w:id="484787471">
              <w:marLeft w:val="0"/>
              <w:marRight w:val="0"/>
              <w:marTop w:val="0"/>
              <w:marBottom w:val="0"/>
              <w:divBdr>
                <w:top w:val="none" w:sz="0" w:space="0" w:color="auto"/>
                <w:left w:val="none" w:sz="0" w:space="0" w:color="auto"/>
                <w:bottom w:val="none" w:sz="0" w:space="0" w:color="auto"/>
                <w:right w:val="none" w:sz="0" w:space="0" w:color="auto"/>
              </w:divBdr>
            </w:div>
            <w:div w:id="20598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03945">
      <w:bodyDiv w:val="1"/>
      <w:marLeft w:val="0"/>
      <w:marRight w:val="0"/>
      <w:marTop w:val="0"/>
      <w:marBottom w:val="0"/>
      <w:divBdr>
        <w:top w:val="none" w:sz="0" w:space="0" w:color="auto"/>
        <w:left w:val="none" w:sz="0" w:space="0" w:color="auto"/>
        <w:bottom w:val="none" w:sz="0" w:space="0" w:color="auto"/>
        <w:right w:val="none" w:sz="0" w:space="0" w:color="auto"/>
      </w:divBdr>
      <w:divsChild>
        <w:div w:id="1380593837">
          <w:marLeft w:val="0"/>
          <w:marRight w:val="0"/>
          <w:marTop w:val="0"/>
          <w:marBottom w:val="0"/>
          <w:divBdr>
            <w:top w:val="none" w:sz="0" w:space="0" w:color="auto"/>
            <w:left w:val="none" w:sz="0" w:space="0" w:color="auto"/>
            <w:bottom w:val="none" w:sz="0" w:space="0" w:color="auto"/>
            <w:right w:val="none" w:sz="0" w:space="0" w:color="auto"/>
          </w:divBdr>
        </w:div>
      </w:divsChild>
    </w:div>
    <w:div w:id="1645502332">
      <w:bodyDiv w:val="1"/>
      <w:marLeft w:val="0"/>
      <w:marRight w:val="0"/>
      <w:marTop w:val="0"/>
      <w:marBottom w:val="0"/>
      <w:divBdr>
        <w:top w:val="none" w:sz="0" w:space="0" w:color="auto"/>
        <w:left w:val="none" w:sz="0" w:space="0" w:color="auto"/>
        <w:bottom w:val="none" w:sz="0" w:space="0" w:color="auto"/>
        <w:right w:val="none" w:sz="0" w:space="0" w:color="auto"/>
      </w:divBdr>
    </w:div>
    <w:div w:id="1698890174">
      <w:bodyDiv w:val="1"/>
      <w:marLeft w:val="0"/>
      <w:marRight w:val="0"/>
      <w:marTop w:val="0"/>
      <w:marBottom w:val="0"/>
      <w:divBdr>
        <w:top w:val="none" w:sz="0" w:space="0" w:color="auto"/>
        <w:left w:val="none" w:sz="0" w:space="0" w:color="auto"/>
        <w:bottom w:val="none" w:sz="0" w:space="0" w:color="auto"/>
        <w:right w:val="none" w:sz="0" w:space="0" w:color="auto"/>
      </w:divBdr>
    </w:div>
    <w:div w:id="1825976103">
      <w:bodyDiv w:val="1"/>
      <w:marLeft w:val="0"/>
      <w:marRight w:val="0"/>
      <w:marTop w:val="0"/>
      <w:marBottom w:val="0"/>
      <w:divBdr>
        <w:top w:val="none" w:sz="0" w:space="0" w:color="auto"/>
        <w:left w:val="none" w:sz="0" w:space="0" w:color="auto"/>
        <w:bottom w:val="none" w:sz="0" w:space="0" w:color="auto"/>
        <w:right w:val="none" w:sz="0" w:space="0" w:color="auto"/>
      </w:divBdr>
    </w:div>
    <w:div w:id="1840728927">
      <w:bodyDiv w:val="1"/>
      <w:marLeft w:val="0"/>
      <w:marRight w:val="0"/>
      <w:marTop w:val="0"/>
      <w:marBottom w:val="0"/>
      <w:divBdr>
        <w:top w:val="none" w:sz="0" w:space="0" w:color="auto"/>
        <w:left w:val="none" w:sz="0" w:space="0" w:color="auto"/>
        <w:bottom w:val="none" w:sz="0" w:space="0" w:color="auto"/>
        <w:right w:val="none" w:sz="0" w:space="0" w:color="auto"/>
      </w:divBdr>
    </w:div>
    <w:div w:id="1860511249">
      <w:bodyDiv w:val="1"/>
      <w:marLeft w:val="0"/>
      <w:marRight w:val="0"/>
      <w:marTop w:val="0"/>
      <w:marBottom w:val="0"/>
      <w:divBdr>
        <w:top w:val="none" w:sz="0" w:space="0" w:color="auto"/>
        <w:left w:val="none" w:sz="0" w:space="0" w:color="auto"/>
        <w:bottom w:val="none" w:sz="0" w:space="0" w:color="auto"/>
        <w:right w:val="none" w:sz="0" w:space="0" w:color="auto"/>
      </w:divBdr>
    </w:div>
    <w:div w:id="1874222764">
      <w:bodyDiv w:val="1"/>
      <w:marLeft w:val="0"/>
      <w:marRight w:val="0"/>
      <w:marTop w:val="0"/>
      <w:marBottom w:val="0"/>
      <w:divBdr>
        <w:top w:val="none" w:sz="0" w:space="0" w:color="auto"/>
        <w:left w:val="none" w:sz="0" w:space="0" w:color="auto"/>
        <w:bottom w:val="none" w:sz="0" w:space="0" w:color="auto"/>
        <w:right w:val="none" w:sz="0" w:space="0" w:color="auto"/>
      </w:divBdr>
    </w:div>
    <w:div w:id="1875538718">
      <w:bodyDiv w:val="1"/>
      <w:marLeft w:val="0"/>
      <w:marRight w:val="0"/>
      <w:marTop w:val="0"/>
      <w:marBottom w:val="0"/>
      <w:divBdr>
        <w:top w:val="none" w:sz="0" w:space="0" w:color="auto"/>
        <w:left w:val="none" w:sz="0" w:space="0" w:color="auto"/>
        <w:bottom w:val="none" w:sz="0" w:space="0" w:color="auto"/>
        <w:right w:val="none" w:sz="0" w:space="0" w:color="auto"/>
      </w:divBdr>
      <w:divsChild>
        <w:div w:id="1165784278">
          <w:marLeft w:val="0"/>
          <w:marRight w:val="0"/>
          <w:marTop w:val="0"/>
          <w:marBottom w:val="0"/>
          <w:divBdr>
            <w:top w:val="none" w:sz="0" w:space="0" w:color="auto"/>
            <w:left w:val="none" w:sz="0" w:space="0" w:color="auto"/>
            <w:bottom w:val="none" w:sz="0" w:space="0" w:color="auto"/>
            <w:right w:val="none" w:sz="0" w:space="0" w:color="auto"/>
          </w:divBdr>
        </w:div>
      </w:divsChild>
    </w:div>
    <w:div w:id="1922980306">
      <w:bodyDiv w:val="1"/>
      <w:marLeft w:val="0"/>
      <w:marRight w:val="0"/>
      <w:marTop w:val="0"/>
      <w:marBottom w:val="0"/>
      <w:divBdr>
        <w:top w:val="none" w:sz="0" w:space="0" w:color="auto"/>
        <w:left w:val="none" w:sz="0" w:space="0" w:color="auto"/>
        <w:bottom w:val="none" w:sz="0" w:space="0" w:color="auto"/>
        <w:right w:val="none" w:sz="0" w:space="0" w:color="auto"/>
      </w:divBdr>
      <w:divsChild>
        <w:div w:id="641813548">
          <w:marLeft w:val="0"/>
          <w:marRight w:val="0"/>
          <w:marTop w:val="0"/>
          <w:marBottom w:val="0"/>
          <w:divBdr>
            <w:top w:val="none" w:sz="0" w:space="0" w:color="auto"/>
            <w:left w:val="none" w:sz="0" w:space="0" w:color="auto"/>
            <w:bottom w:val="none" w:sz="0" w:space="0" w:color="auto"/>
            <w:right w:val="none" w:sz="0" w:space="0" w:color="auto"/>
          </w:divBdr>
        </w:div>
      </w:divsChild>
    </w:div>
    <w:div w:id="1957061256">
      <w:bodyDiv w:val="1"/>
      <w:marLeft w:val="0"/>
      <w:marRight w:val="0"/>
      <w:marTop w:val="0"/>
      <w:marBottom w:val="0"/>
      <w:divBdr>
        <w:top w:val="none" w:sz="0" w:space="0" w:color="auto"/>
        <w:left w:val="none" w:sz="0" w:space="0" w:color="auto"/>
        <w:bottom w:val="none" w:sz="0" w:space="0" w:color="auto"/>
        <w:right w:val="none" w:sz="0" w:space="0" w:color="auto"/>
      </w:divBdr>
      <w:divsChild>
        <w:div w:id="1110206151">
          <w:marLeft w:val="0"/>
          <w:marRight w:val="0"/>
          <w:marTop w:val="0"/>
          <w:marBottom w:val="0"/>
          <w:divBdr>
            <w:top w:val="none" w:sz="0" w:space="0" w:color="auto"/>
            <w:left w:val="none" w:sz="0" w:space="0" w:color="auto"/>
            <w:bottom w:val="none" w:sz="0" w:space="0" w:color="auto"/>
            <w:right w:val="none" w:sz="0" w:space="0" w:color="auto"/>
          </w:divBdr>
        </w:div>
      </w:divsChild>
    </w:div>
    <w:div w:id="2014262262">
      <w:bodyDiv w:val="1"/>
      <w:marLeft w:val="0"/>
      <w:marRight w:val="0"/>
      <w:marTop w:val="0"/>
      <w:marBottom w:val="0"/>
      <w:divBdr>
        <w:top w:val="none" w:sz="0" w:space="0" w:color="auto"/>
        <w:left w:val="none" w:sz="0" w:space="0" w:color="auto"/>
        <w:bottom w:val="none" w:sz="0" w:space="0" w:color="auto"/>
        <w:right w:val="none" w:sz="0" w:space="0" w:color="auto"/>
      </w:divBdr>
      <w:divsChild>
        <w:div w:id="1775981527">
          <w:marLeft w:val="0"/>
          <w:marRight w:val="0"/>
          <w:marTop w:val="0"/>
          <w:marBottom w:val="0"/>
          <w:divBdr>
            <w:top w:val="none" w:sz="0" w:space="0" w:color="auto"/>
            <w:left w:val="none" w:sz="0" w:space="0" w:color="auto"/>
            <w:bottom w:val="none" w:sz="0" w:space="0" w:color="auto"/>
            <w:right w:val="none" w:sz="0" w:space="0" w:color="auto"/>
          </w:divBdr>
        </w:div>
      </w:divsChild>
    </w:div>
    <w:div w:id="2026009637">
      <w:bodyDiv w:val="1"/>
      <w:marLeft w:val="0"/>
      <w:marRight w:val="0"/>
      <w:marTop w:val="0"/>
      <w:marBottom w:val="0"/>
      <w:divBdr>
        <w:top w:val="none" w:sz="0" w:space="0" w:color="auto"/>
        <w:left w:val="none" w:sz="0" w:space="0" w:color="auto"/>
        <w:bottom w:val="none" w:sz="0" w:space="0" w:color="auto"/>
        <w:right w:val="none" w:sz="0" w:space="0" w:color="auto"/>
      </w:divBdr>
    </w:div>
    <w:div w:id="2076276227">
      <w:bodyDiv w:val="1"/>
      <w:marLeft w:val="0"/>
      <w:marRight w:val="0"/>
      <w:marTop w:val="0"/>
      <w:marBottom w:val="0"/>
      <w:divBdr>
        <w:top w:val="none" w:sz="0" w:space="0" w:color="auto"/>
        <w:left w:val="none" w:sz="0" w:space="0" w:color="auto"/>
        <w:bottom w:val="none" w:sz="0" w:space="0" w:color="auto"/>
        <w:right w:val="none" w:sz="0" w:space="0" w:color="auto"/>
      </w:divBdr>
      <w:divsChild>
        <w:div w:id="1058942961">
          <w:marLeft w:val="0"/>
          <w:marRight w:val="0"/>
          <w:marTop w:val="0"/>
          <w:marBottom w:val="0"/>
          <w:divBdr>
            <w:top w:val="none" w:sz="0" w:space="0" w:color="auto"/>
            <w:left w:val="none" w:sz="0" w:space="0" w:color="auto"/>
            <w:bottom w:val="none" w:sz="0" w:space="0" w:color="auto"/>
            <w:right w:val="none" w:sz="0" w:space="0" w:color="auto"/>
          </w:divBdr>
        </w:div>
      </w:divsChild>
    </w:div>
    <w:div w:id="2085567322">
      <w:bodyDiv w:val="1"/>
      <w:marLeft w:val="0"/>
      <w:marRight w:val="0"/>
      <w:marTop w:val="0"/>
      <w:marBottom w:val="0"/>
      <w:divBdr>
        <w:top w:val="none" w:sz="0" w:space="0" w:color="auto"/>
        <w:left w:val="none" w:sz="0" w:space="0" w:color="auto"/>
        <w:bottom w:val="none" w:sz="0" w:space="0" w:color="auto"/>
        <w:right w:val="none" w:sz="0" w:space="0" w:color="auto"/>
      </w:divBdr>
    </w:div>
    <w:div w:id="2090807221">
      <w:bodyDiv w:val="1"/>
      <w:marLeft w:val="0"/>
      <w:marRight w:val="0"/>
      <w:marTop w:val="0"/>
      <w:marBottom w:val="0"/>
      <w:divBdr>
        <w:top w:val="none" w:sz="0" w:space="0" w:color="auto"/>
        <w:left w:val="none" w:sz="0" w:space="0" w:color="auto"/>
        <w:bottom w:val="none" w:sz="0" w:space="0" w:color="auto"/>
        <w:right w:val="none" w:sz="0" w:space="0" w:color="auto"/>
      </w:divBdr>
    </w:div>
    <w:div w:id="21371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image" Target="media/image15.jpeg"/><Relationship Id="rId39" Type="http://schemas.openxmlformats.org/officeDocument/2006/relationships/header" Target="header1.xm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footer" Target="footer2.xml"/><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jpeg"/><Relationship Id="rId63" Type="http://schemas.openxmlformats.org/officeDocument/2006/relationships/image" Target="media/image45.jpeg"/><Relationship Id="rId68"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8.jpg"/><Relationship Id="rId11" Type="http://schemas.openxmlformats.org/officeDocument/2006/relationships/chart" Target="charts/chart3.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header" Target="header2.xml"/><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4.jpeg"/><Relationship Id="rId57" Type="http://schemas.openxmlformats.org/officeDocument/2006/relationships/image" Target="media/image42.jpeg"/><Relationship Id="rId61" Type="http://schemas.openxmlformats.org/officeDocument/2006/relationships/chart" Target="charts/chart9.xml"/><Relationship Id="rId10" Type="http://schemas.openxmlformats.org/officeDocument/2006/relationships/chart" Target="charts/chart2.xml"/><Relationship Id="rId19" Type="http://schemas.openxmlformats.org/officeDocument/2006/relationships/image" Target="media/image8.png"/><Relationship Id="rId31" Type="http://schemas.openxmlformats.org/officeDocument/2006/relationships/image" Target="media/image20.jpe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cid:image001.jpg@01D8BC5C.9842D700" TargetMode="External"/><Relationship Id="rId65" Type="http://schemas.openxmlformats.org/officeDocument/2006/relationships/hyperlink" Target="http://www.pravosudje.ba/csd" TargetMode="External"/><Relationship Id="rId73"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11.jpg"/><Relationship Id="rId27" Type="http://schemas.openxmlformats.org/officeDocument/2006/relationships/image" Target="media/image16.jpeg"/><Relationship Id="rId30" Type="http://schemas.openxmlformats.org/officeDocument/2006/relationships/image" Target="media/image19.jpg"/><Relationship Id="rId35" Type="http://schemas.openxmlformats.org/officeDocument/2006/relationships/image" Target="media/image24.jpeg"/><Relationship Id="rId43" Type="http://schemas.openxmlformats.org/officeDocument/2006/relationships/image" Target="media/image28.pn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hyperlink" Target="https://warcrimesdatabase.net/public/" TargetMode="External"/><Relationship Id="rId69"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image" Target="media/image36.png"/><Relationship Id="rId72" Type="http://schemas.microsoft.com/office/2016/09/relationships/commentsIds" Target="commentsIds.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header" Target="header4.xml"/><Relationship Id="rId20" Type="http://schemas.openxmlformats.org/officeDocument/2006/relationships/image" Target="media/image9.jpeg"/><Relationship Id="rId41" Type="http://schemas.openxmlformats.org/officeDocument/2006/relationships/footer" Target="footer1.xml"/><Relationship Id="rId54" Type="http://schemas.openxmlformats.org/officeDocument/2006/relationships/image" Target="media/image39.jpeg"/><Relationship Id="rId62" Type="http://schemas.openxmlformats.org/officeDocument/2006/relationships/chart" Target="charts/chart10.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pravosudje.ba/cs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da.mika\Documents\GI%202015\Osnova%20za%20GI2013.dot" TargetMode="External"/></Relationships>
</file>

<file path=word/charts/_rels/chart1.xml.rels><?xml version="1.0" encoding="UTF-8" standalone="yes"?>
<Relationships xmlns="http://schemas.openxmlformats.org/package/2006/relationships"><Relationship Id="rId3" Type="http://schemas.openxmlformats.org/officeDocument/2006/relationships/image" Target="../media/image2.png"/><Relationship Id="rId7" Type="http://schemas.openxmlformats.org/officeDocument/2006/relationships/oleObject" Target="file:///C:\Users\mersiha.mavric\Desktop\Pregled%20donatora%20VSTV%20za%20GI.xlsx" TargetMode="External"/><Relationship Id="rId2" Type="http://schemas.microsoft.com/office/2011/relationships/chartColorStyle" Target="colors1.xml"/><Relationship Id="rId1" Type="http://schemas.microsoft.com/office/2011/relationships/chartStyle" Target="style1.xml"/><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charts/_rels/chart2.xml.rels><?xml version="1.0" encoding="UTF-8" standalone="yes"?>
<Relationships xmlns="http://schemas.openxmlformats.org/package/2006/relationships"><Relationship Id="rId1" Type="http://schemas.openxmlformats.org/officeDocument/2006/relationships/oleObject" Target="file:///C:\Users\aida.mika\AppData\Local\Microsoft\Windows\INetCache\Content.Outlook\3HV3NUMO\za%20Aidu.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ida.mika\AppData\Local\Microsoft\Windows\INetCache\Content.Outlook\3HV3NUMO\za%20Aidu.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ida.mika\AppData\Local\Microsoft\Windows\INetCache\Content.Outlook\3HV3NUMO\za%20Aidu.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vstv-file\vstv$\Sekretarijat\Odjel%20za%20informaciono%20komunikacijsku%20tehnologiju\GI%202020\Grafikoni\UD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ida.mika\AppData\Local\Microsoft\Windows\INetCache\Content.Outlook\3HV3NUMO\za%20Aidu.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aida.mika\AppData\Local\Microsoft\Windows\INetCache\Content.Outlook\3HV3NUMO\za%20Aidu.xlsx" TargetMode="External"/><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ida.mika\AppData\Local\Microsoft\Windows\INetCache\Content.Outlook\3HV3NUMO\Sumarno%20realizacija%202011%20-%202022.xlsx" TargetMode="External"/><Relationship Id="rId2" Type="http://schemas.microsoft.com/office/2011/relationships/chartColorStyle" Target="colors3.xml"/><Relationship Id="rId1" Type="http://schemas.microsoft.com/office/2011/relationships/chartStyle" Target="style3.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baseline="0">
                <a:solidFill>
                  <a:sysClr val="windowText" lastClr="000000">
                    <a:lumMod val="65000"/>
                    <a:lumOff val="35000"/>
                  </a:sysClr>
                </a:solidFill>
                <a:latin typeface="+mn-lt"/>
                <a:ea typeface="+mn-ea"/>
                <a:cs typeface="+mn-cs"/>
              </a:defRPr>
            </a:pPr>
            <a:r>
              <a:rPr lang="en-GB" sz="1400" b="1">
                <a:effectLst/>
                <a:latin typeface="Arial" panose="020B0604020202020204" pitchFamily="34" charset="0"/>
                <a:cs typeface="Arial" panose="020B0604020202020204" pitchFamily="34" charset="0"/>
              </a:rPr>
              <a:t>DONORS</a:t>
            </a:r>
          </a:p>
          <a:p>
            <a:pPr marL="0" marR="0" lvl="0" indent="0" algn="ctr" defTabSz="914400" rtl="0" eaLnBrk="1" fontAlgn="auto" latinLnBrk="0" hangingPunct="1">
              <a:lnSpc>
                <a:spcPct val="100000"/>
              </a:lnSpc>
              <a:spcBef>
                <a:spcPts val="0"/>
              </a:spcBef>
              <a:spcAft>
                <a:spcPts val="0"/>
              </a:spcAft>
              <a:buClrTx/>
              <a:buSzTx/>
              <a:buFontTx/>
              <a:buNone/>
              <a:tabLst/>
              <a:defRPr sz="1400">
                <a:solidFill>
                  <a:sysClr val="windowText" lastClr="000000">
                    <a:lumMod val="65000"/>
                    <a:lumOff val="35000"/>
                  </a:sysClr>
                </a:solidFill>
              </a:defRPr>
            </a:pPr>
            <a:endParaRPr lang="en-US" sz="1400">
              <a:solidFill>
                <a:schemeClr val="accent1">
                  <a:lumMod val="50000"/>
                </a:schemeClr>
              </a:solidFill>
            </a:endParaRPr>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all" baseline="0">
              <a:solidFill>
                <a:sysClr val="windowText" lastClr="000000">
                  <a:lumMod val="65000"/>
                  <a:lumOff val="35000"/>
                </a:sysClr>
              </a:solidFill>
              <a:latin typeface="+mn-lt"/>
              <a:ea typeface="+mn-ea"/>
              <a:cs typeface="+mn-cs"/>
            </a:defRPr>
          </a:pPr>
          <a:endParaRPr lang="sr-Latn-RS"/>
        </a:p>
      </c:txPr>
    </c:title>
    <c:autoTitleDeleted val="0"/>
    <c:view3D>
      <c:rotX val="50"/>
      <c:rotY val="40"/>
      <c:depthPercent val="100"/>
      <c:rAngAx val="0"/>
      <c:perspective val="7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30202746395829"/>
          <c:y val="0.22655120655173319"/>
          <c:w val="0.81388888888888888"/>
          <c:h val="0.71043188642766819"/>
        </c:manualLayout>
      </c:layout>
      <c:pie3DChart>
        <c:varyColors val="1"/>
        <c:ser>
          <c:idx val="0"/>
          <c:order val="0"/>
          <c:dLbls>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raspoloživa!$B$5:$B$9</c:f>
              <c:strCache>
                <c:ptCount val="5"/>
                <c:pt idx="1">
                  <c:v>Kraljevina Švedska</c:v>
                </c:pt>
                <c:pt idx="2">
                  <c:v>Europska Unija (IPA)</c:v>
                </c:pt>
                <c:pt idx="3">
                  <c:v>Švajcarska konfederacija</c:v>
                </c:pt>
                <c:pt idx="4">
                  <c:v>Kraljevina Norveška</c:v>
                </c:pt>
              </c:strCache>
            </c:strRef>
          </c:cat>
          <c:val>
            <c:numRef>
              <c:f>raspoloživa!$C$5:$C$9</c:f>
            </c:numRef>
          </c:val>
          <c:extLst>
            <c:ext xmlns:c16="http://schemas.microsoft.com/office/drawing/2014/chart" uri="{C3380CC4-5D6E-409C-BE32-E72D297353CC}">
              <c16:uniqueId val="{00000000-B619-4CC3-B8E5-B6E26D516070}"/>
            </c:ext>
          </c:extLst>
        </c:ser>
        <c:ser>
          <c:idx val="1"/>
          <c:order val="1"/>
          <c:dLbls>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raspoloživa!$B$5:$B$9</c:f>
              <c:strCache>
                <c:ptCount val="5"/>
                <c:pt idx="1">
                  <c:v>Kraljevina Švedska</c:v>
                </c:pt>
                <c:pt idx="2">
                  <c:v>Europska Unija (IPA)</c:v>
                </c:pt>
                <c:pt idx="3">
                  <c:v>Švajcarska konfederacija</c:v>
                </c:pt>
                <c:pt idx="4">
                  <c:v>Kraljevina Norveška</c:v>
                </c:pt>
              </c:strCache>
            </c:strRef>
          </c:cat>
          <c:val>
            <c:numRef>
              <c:f>raspoloživa!$D$5:$D$9</c:f>
            </c:numRef>
          </c:val>
          <c:extLst>
            <c:ext xmlns:c16="http://schemas.microsoft.com/office/drawing/2014/chart" uri="{C3380CC4-5D6E-409C-BE32-E72D297353CC}">
              <c16:uniqueId val="{00000001-B619-4CC3-B8E5-B6E26D516070}"/>
            </c:ext>
          </c:extLst>
        </c:ser>
        <c:ser>
          <c:idx val="2"/>
          <c:order val="2"/>
          <c:dLbls>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raspoloživa!$B$5:$B$9</c:f>
              <c:strCache>
                <c:ptCount val="5"/>
                <c:pt idx="1">
                  <c:v>Kraljevina Švedska</c:v>
                </c:pt>
                <c:pt idx="2">
                  <c:v>Europska Unija (IPA)</c:v>
                </c:pt>
                <c:pt idx="3">
                  <c:v>Švajcarska konfederacija</c:v>
                </c:pt>
                <c:pt idx="4">
                  <c:v>Kraljevina Norveška</c:v>
                </c:pt>
              </c:strCache>
            </c:strRef>
          </c:cat>
          <c:val>
            <c:numRef>
              <c:f>raspoloživa!$E$5:$E$9</c:f>
            </c:numRef>
          </c:val>
          <c:extLst>
            <c:ext xmlns:c16="http://schemas.microsoft.com/office/drawing/2014/chart" uri="{C3380CC4-5D6E-409C-BE32-E72D297353CC}">
              <c16:uniqueId val="{00000002-B619-4CC3-B8E5-B6E26D516070}"/>
            </c:ext>
          </c:extLst>
        </c:ser>
        <c:ser>
          <c:idx val="3"/>
          <c:order val="3"/>
          <c:explosion val="1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B619-4CC3-B8E5-B6E26D516070}"/>
              </c:ext>
            </c:extLst>
          </c:dPt>
          <c:dPt>
            <c:idx val="1"/>
            <c:bubble3D val="0"/>
            <c:spPr>
              <a:blipFill>
                <a:blip xmlns:r="http://schemas.openxmlformats.org/officeDocument/2006/relationships" r:embed="rId3"/>
                <a:stretch>
                  <a:fillRect/>
                </a:stretch>
              </a:blip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B619-4CC3-B8E5-B6E26D516070}"/>
              </c:ext>
            </c:extLst>
          </c:dPt>
          <c:dPt>
            <c:idx val="2"/>
            <c:bubble3D val="0"/>
            <c:spPr>
              <a:blipFill>
                <a:blip xmlns:r="http://schemas.openxmlformats.org/officeDocument/2006/relationships" r:embed="rId4"/>
                <a:stretch>
                  <a:fillRect/>
                </a:stretch>
              </a:blip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B619-4CC3-B8E5-B6E26D516070}"/>
              </c:ext>
            </c:extLst>
          </c:dPt>
          <c:dPt>
            <c:idx val="3"/>
            <c:bubble3D val="0"/>
            <c:spPr>
              <a:blipFill>
                <a:blip xmlns:r="http://schemas.openxmlformats.org/officeDocument/2006/relationships" r:embed="rId5"/>
                <a:stretch>
                  <a:fillRect/>
                </a:stretch>
              </a:blip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A-B619-4CC3-B8E5-B6E26D516070}"/>
              </c:ext>
            </c:extLst>
          </c:dPt>
          <c:dPt>
            <c:idx val="4"/>
            <c:bubble3D val="0"/>
            <c:spPr>
              <a:blipFill>
                <a:blip xmlns:r="http://schemas.openxmlformats.org/officeDocument/2006/relationships" r:embed="rId6"/>
                <a:stretch>
                  <a:fillRect/>
                </a:stretch>
              </a:blip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C-B619-4CC3-B8E5-B6E26D51607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4-B619-4CC3-B8E5-B6E26D516070}"/>
                </c:ext>
              </c:extLst>
            </c:dLbl>
            <c:dLbl>
              <c:idx val="1"/>
              <c:layout>
                <c:manualLayout>
                  <c:x val="9.6618357487922701E-3"/>
                  <c:y val="-5.3782516157779546E-1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r>
                      <a:rPr lang="en-US"/>
                      <a:t>Kingdom of Sweden</a:t>
                    </a:r>
                    <a:r>
                      <a:rPr lang="en-US" baseline="0"/>
                      <a:t>
</a:t>
                    </a:r>
                    <a:fld id="{4EE22D56-9B5F-4133-B56B-9CC480F12D28}" type="PERCENTAGE">
                      <a:rPr lang="en-US" baseline="0"/>
                      <a:pPr>
                        <a:defRPr>
                          <a:solidFill>
                            <a:schemeClr val="accent1">
                              <a:lumMod val="50000"/>
                            </a:schemeClr>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6-B619-4CC3-B8E5-B6E26D516070}"/>
                </c:ext>
              </c:extLst>
            </c:dLbl>
            <c:dLbl>
              <c:idx val="2"/>
              <c:layout>
                <c:manualLayout>
                  <c:x val="0.11352666514511774"/>
                  <c:y val="-6.530273862041978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r>
                      <a:rPr lang="en-US"/>
                      <a:t> European Union (IPA)</a:t>
                    </a:r>
                    <a:r>
                      <a:rPr lang="en-US" baseline="0"/>
                      <a:t>
</a:t>
                    </a:r>
                    <a:fld id="{D00216A5-462F-4F20-B378-17D9E67CAB23}" type="PERCENTAGE">
                      <a:rPr lang="en-US" baseline="0"/>
                      <a:pPr>
                        <a:defRPr>
                          <a:solidFill>
                            <a:schemeClr val="accent1">
                              <a:lumMod val="50000"/>
                            </a:schemeClr>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6571246528966486"/>
                      <c:h val="0.11621569679153748"/>
                    </c:manualLayout>
                  </c15:layout>
                  <c15:dlblFieldTable/>
                  <c15:showDataLabelsRange val="0"/>
                </c:ext>
                <c:ext xmlns:c16="http://schemas.microsoft.com/office/drawing/2014/chart" uri="{C3380CC4-5D6E-409C-BE32-E72D297353CC}">
                  <c16:uniqueId val="{00000008-B619-4CC3-B8E5-B6E26D516070}"/>
                </c:ext>
              </c:extLst>
            </c:dLbl>
            <c:dLbl>
              <c:idx val="3"/>
              <c:layout>
                <c:manualLayout>
                  <c:x val="-4.83082277758759E-3"/>
                  <c:y val="-3.5203508154324444E-2"/>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lumMod val="50000"/>
                          </a:schemeClr>
                        </a:solidFill>
                        <a:latin typeface="+mn-lt"/>
                        <a:ea typeface="+mn-ea"/>
                        <a:cs typeface="+mn-cs"/>
                      </a:defRPr>
                    </a:pPr>
                    <a:r>
                      <a:rPr lang="en-US" baseline="0"/>
                      <a:t>Swiss Confederation
</a:t>
                    </a:r>
                    <a:fld id="{0869B735-3F23-4BC3-B110-D41EDD686441}" type="PERCENTAGE">
                      <a:rPr lang="en-US" baseline="0"/>
                      <a:pPr>
                        <a:defRPr>
                          <a:solidFill>
                            <a:schemeClr val="accent1">
                              <a:lumMod val="50000"/>
                            </a:schemeClr>
                          </a:solidFill>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lumMod val="50000"/>
                        </a:schemeClr>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4008463615961043"/>
                      <c:h val="0.12501657383011858"/>
                    </c:manualLayout>
                  </c15:layout>
                  <c15:dlblFieldTable/>
                  <c15:showDataLabelsRange val="0"/>
                </c:ext>
                <c:ext xmlns:c16="http://schemas.microsoft.com/office/drawing/2014/chart" uri="{C3380CC4-5D6E-409C-BE32-E72D297353CC}">
                  <c16:uniqueId val="{0000000A-B619-4CC3-B8E5-B6E26D516070}"/>
                </c:ext>
              </c:extLst>
            </c:dLbl>
            <c:dLbl>
              <c:idx val="4"/>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r>
                      <a:rPr lang="en-US" baseline="0"/>
                      <a:t>Kingdom of Norway
</a:t>
                    </a:r>
                    <a:fld id="{B710AF94-D68A-41C3-9AC2-5258C1464B39}" type="PERCENTAGE">
                      <a:rPr lang="en-US" baseline="0"/>
                      <a:pPr>
                        <a:defRPr>
                          <a:solidFill>
                            <a:schemeClr val="accent1">
                              <a:lumMod val="50000"/>
                            </a:schemeClr>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endParaRPr lang="sr-Latn-RS"/>
                </a:p>
              </c:txPr>
              <c:dLblPos val="outEnd"/>
              <c:showLegendKey val="0"/>
              <c:showVal val="0"/>
              <c:showCatName val="1"/>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C-B619-4CC3-B8E5-B6E26D51607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50000"/>
                      </a:schemeClr>
                    </a:solidFill>
                    <a:latin typeface="+mn-lt"/>
                    <a:ea typeface="+mn-ea"/>
                    <a:cs typeface="+mn-cs"/>
                  </a:defRPr>
                </a:pPr>
                <a:endParaRPr lang="sr-Latn-R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izvršeno!$B$5:$B$9</c:f>
              <c:strCache>
                <c:ptCount val="5"/>
                <c:pt idx="1">
                  <c:v>Краљевина Шведска</c:v>
                </c:pt>
                <c:pt idx="2">
                  <c:v>Еуропска Унија (ИПА)</c:v>
                </c:pt>
                <c:pt idx="3">
                  <c:v>Швајцарска конфедерација</c:v>
                </c:pt>
                <c:pt idx="4">
                  <c:v>Краљевина Норвешка</c:v>
                </c:pt>
              </c:strCache>
            </c:strRef>
          </c:cat>
          <c:val>
            <c:numRef>
              <c:f>izvršeno!$F$5:$F$9</c:f>
              <c:numCache>
                <c:formatCode>0.00</c:formatCode>
                <c:ptCount val="5"/>
                <c:pt idx="1">
                  <c:v>319283</c:v>
                </c:pt>
                <c:pt idx="2">
                  <c:v>4413533</c:v>
                </c:pt>
                <c:pt idx="3">
                  <c:v>1084342</c:v>
                </c:pt>
                <c:pt idx="4">
                  <c:v>1642580</c:v>
                </c:pt>
              </c:numCache>
            </c:numRef>
          </c:val>
          <c:extLst>
            <c:ext xmlns:c16="http://schemas.microsoft.com/office/drawing/2014/chart" uri="{C3380CC4-5D6E-409C-BE32-E72D297353CC}">
              <c16:uniqueId val="{0000000D-B619-4CC3-B8E5-B6E26D516070}"/>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sr-Latn-RS"/>
    </a:p>
  </c:txPr>
  <c:externalData r:id="rId7">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mn-lt"/>
              </a:defRPr>
            </a:pPr>
            <a:r>
              <a:rPr lang="en-GB" sz="1200" b="1" i="0" baseline="0">
                <a:effectLst/>
              </a:rPr>
              <a:t>Disciplinary complaints and judicial office holders </a:t>
            </a:r>
            <a:endParaRPr lang="bs-Latn-BA" sz="1000">
              <a:effectLst/>
            </a:endParaRPr>
          </a:p>
          <a:p>
            <a:pPr>
              <a:defRPr sz="1200">
                <a:latin typeface="+mn-lt"/>
              </a:defRPr>
            </a:pPr>
            <a:r>
              <a:rPr lang="en-GB" sz="1200" b="1" i="0" baseline="0">
                <a:effectLst/>
              </a:rPr>
              <a:t>2021</a:t>
            </a:r>
            <a:endParaRPr lang="bs-Latn-BA" sz="1000">
              <a:effectLst/>
            </a:endParaRPr>
          </a:p>
        </c:rich>
      </c:tx>
      <c:overlay val="0"/>
    </c:title>
    <c:autoTitleDeleted val="0"/>
    <c:plotArea>
      <c:layout/>
      <c:pieChart>
        <c:varyColors val="1"/>
        <c:ser>
          <c:idx val="0"/>
          <c:order val="0"/>
          <c:dLbls>
            <c:dLbl>
              <c:idx val="0"/>
              <c:layout>
                <c:manualLayout>
                  <c:x val="2.2048611111111113E-2"/>
                  <c:y val="0"/>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6F1-410C-B170-0F697820F336}"/>
                </c:ext>
              </c:extLst>
            </c:dLbl>
            <c:dLbl>
              <c:idx val="1"/>
              <c:layout>
                <c:manualLayout>
                  <c:x val="1.7148919753086377E-2"/>
                  <c:y val="2.515723270440251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6F1-410C-B170-0F697820F336}"/>
                </c:ext>
              </c:extLst>
            </c:dLbl>
            <c:dLbl>
              <c:idx val="2"/>
              <c:layout>
                <c:manualLayout>
                  <c:x val="-9.7993827160494044E-3"/>
                  <c:y val="-3.3705145347397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6F1-410C-B170-0F697820F336}"/>
                </c:ext>
              </c:extLst>
            </c:dLbl>
            <c:dLbl>
              <c:idx val="3"/>
              <c:layout>
                <c:manualLayout>
                  <c:x val="-3.4297839506172836E-2"/>
                  <c:y val="7.790818600505125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6F1-410C-B170-0F697820F336}"/>
                </c:ext>
              </c:extLst>
            </c:dLbl>
            <c:dLbl>
              <c:idx val="4"/>
              <c:layout>
                <c:manualLayout>
                  <c:x val="-2.4498456790123458E-2"/>
                  <c:y val="-4.7789725209080045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6F1-410C-B170-0F697820F336}"/>
                </c:ext>
              </c:extLst>
            </c:dLbl>
            <c:spPr>
              <a:noFill/>
              <a:ln>
                <a:noFill/>
              </a:ln>
              <a:effectLst/>
            </c:spPr>
            <c:txPr>
              <a:bodyPr/>
              <a:lstStyle/>
              <a:p>
                <a:pPr>
                  <a:defRPr>
                    <a:latin typeface="+mn-lt"/>
                  </a:defRPr>
                </a:pPr>
                <a:endParaRPr lang="sr-Latn-RS"/>
              </a:p>
            </c:txPr>
            <c:dLblPos val="outEnd"/>
            <c:showLegendKey val="0"/>
            <c:showVal val="1"/>
            <c:showCatName val="0"/>
            <c:showSerName val="0"/>
            <c:showPercent val="0"/>
            <c:showBubbleSize val="0"/>
            <c:showLeaderLines val="1"/>
            <c:extLst>
              <c:ext xmlns:c15="http://schemas.microsoft.com/office/drawing/2012/chart" uri="{CE6537A1-D6FC-4f65-9D91-7224C49458BB}"/>
            </c:extLst>
          </c:dLbls>
          <c:cat>
            <c:strRef>
              <c:f>'Disciplinski postupci'!$A$7:$A$10</c:f>
              <c:strCache>
                <c:ptCount val="4"/>
                <c:pt idx="0">
                  <c:v>Judges</c:v>
                </c:pt>
                <c:pt idx="1">
                  <c:v>Prosecutors</c:v>
                </c:pt>
                <c:pt idx="2">
                  <c:v>Court Presidents</c:v>
                </c:pt>
                <c:pt idx="3">
                  <c:v>Chief Prosecutors</c:v>
                </c:pt>
              </c:strCache>
            </c:strRef>
          </c:cat>
          <c:val>
            <c:numRef>
              <c:f>'Disciplinski postupci'!$B$7:$B$10</c:f>
              <c:numCache>
                <c:formatCode>General</c:formatCode>
                <c:ptCount val="4"/>
                <c:pt idx="0">
                  <c:v>17</c:v>
                </c:pt>
                <c:pt idx="1">
                  <c:v>8</c:v>
                </c:pt>
                <c:pt idx="2">
                  <c:v>5</c:v>
                </c:pt>
                <c:pt idx="3">
                  <c:v>5</c:v>
                </c:pt>
              </c:numCache>
            </c:numRef>
          </c:val>
          <c:extLst>
            <c:ext xmlns:c16="http://schemas.microsoft.com/office/drawing/2014/chart" uri="{C3380CC4-5D6E-409C-BE32-E72D297353CC}">
              <c16:uniqueId val="{00000005-46F1-410C-B170-0F697820F336}"/>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a:latin typeface="+mn-lt"/>
            </a:defRPr>
          </a:pPr>
          <a:endParaRPr lang="sr-Latn-RS"/>
        </a:p>
      </c:txPr>
    </c:legend>
    <c:plotVisOnly val="1"/>
    <c:dispBlanksAs val="gap"/>
    <c:showDLblsOverMax val="0"/>
  </c:chart>
  <c:txPr>
    <a:bodyPr/>
    <a:lstStyle/>
    <a:p>
      <a:pPr>
        <a:defRPr sz="1100">
          <a:latin typeface="Arial" panose="020B0604020202020204" pitchFamily="34" charset="0"/>
          <a:cs typeface="Arial" panose="020B0604020202020204" pitchFamily="34" charset="0"/>
        </a:defRPr>
      </a:pPr>
      <a:endParaRPr lang="sr-Latn-R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GB" sz="1000" b="1" i="0" baseline="0">
                <a:effectLst/>
              </a:rPr>
              <a:t>Disciplinary offences committed by judges as cited in disciplinary complaints in 2021</a:t>
            </a:r>
            <a:endParaRPr lang="bs-Latn-BA" sz="400">
              <a:effectLst/>
            </a:endParaRPr>
          </a:p>
          <a:p>
            <a:pPr algn="ctr">
              <a:defRPr/>
            </a:pPr>
            <a:r>
              <a:rPr lang="en-GB" sz="1000" b="1" i="0" baseline="0">
                <a:effectLst/>
              </a:rPr>
              <a:t>Article 56</a:t>
            </a:r>
            <a:endParaRPr lang="bs-Latn-BA" sz="400">
              <a:effectLst/>
            </a:endParaRPr>
          </a:p>
        </c:rich>
      </c:tx>
      <c:layout>
        <c:manualLayout>
          <c:xMode val="edge"/>
          <c:yMode val="edge"/>
          <c:x val="0.17064956506718218"/>
          <c:y val="5.0305291823501408E-2"/>
        </c:manualLayout>
      </c:layout>
      <c:overlay val="0"/>
    </c:title>
    <c:autoTitleDeleted val="0"/>
    <c:plotArea>
      <c:layout>
        <c:manualLayout>
          <c:layoutTarget val="inner"/>
          <c:xMode val="edge"/>
          <c:yMode val="edge"/>
          <c:x val="0.5085048540291689"/>
          <c:y val="0.22117785815314028"/>
          <c:w val="0.43131596838070113"/>
          <c:h val="0.67992372377168475"/>
        </c:manualLayout>
      </c:layout>
      <c:barChart>
        <c:barDir val="bar"/>
        <c:grouping val="clustered"/>
        <c:varyColors val="0"/>
        <c:ser>
          <c:idx val="0"/>
          <c:order val="0"/>
          <c:tx>
            <c:strRef>
              <c:f>'Pravni osnov tužbi'!$C$5</c:f>
              <c:strCache>
                <c:ptCount val="1"/>
                <c:pt idx="0">
                  <c:v>No. of disc. complaints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'Pravni osnov tužbi'!$B$6:$B$13</c:f>
              <c:strCache>
                <c:ptCount val="8"/>
                <c:pt idx="0">
                  <c:v>item 10 (unjustified delays in issuing decisions or any other act…)</c:v>
                </c:pt>
                <c:pt idx="1">
                  <c:v>item 8 (neglect or careless exercise of official duties)</c:v>
                </c:pt>
                <c:pt idx="2">
                  <c:v>item 22 (behaviour inside or outside the court that demeans the dignity of judge)</c:v>
                </c:pt>
                <c:pt idx="3">
                  <c:v>item 9 (issuing decisions in patent violation of the law…)</c:v>
                </c:pt>
                <c:pt idx="4">
                  <c:v>item 6 (exploiting his or her position as a judge in order to obtain unjustified advantages for himself or herself or for other persons) </c:v>
                </c:pt>
                <c:pt idx="5">
                  <c:v>item 7 (not disqualifying himself or herself from hearing a case…)</c:v>
                </c:pt>
                <c:pt idx="6">
                  <c:v>item 19 (if he or she intentionally provides false, misleading or insufficient information…) </c:v>
                </c:pt>
                <c:pt idx="7">
                  <c:v>item 23 (any other behaviour that represents a serious breach of official duties or that compromises…) </c:v>
                </c:pt>
              </c:strCache>
            </c:strRef>
          </c:cat>
          <c:val>
            <c:numRef>
              <c:f>'Pravni osnov tužbi'!$C$6:$C$13</c:f>
              <c:numCache>
                <c:formatCode>General</c:formatCode>
                <c:ptCount val="8"/>
                <c:pt idx="0">
                  <c:v>8</c:v>
                </c:pt>
                <c:pt idx="1">
                  <c:v>7</c:v>
                </c:pt>
                <c:pt idx="2">
                  <c:v>5</c:v>
                </c:pt>
                <c:pt idx="3">
                  <c:v>4</c:v>
                </c:pt>
                <c:pt idx="4">
                  <c:v>1</c:v>
                </c:pt>
                <c:pt idx="5">
                  <c:v>1</c:v>
                </c:pt>
                <c:pt idx="6">
                  <c:v>1</c:v>
                </c:pt>
                <c:pt idx="7">
                  <c:v>1</c:v>
                </c:pt>
              </c:numCache>
            </c:numRef>
          </c:val>
          <c:extLst>
            <c:ext xmlns:c16="http://schemas.microsoft.com/office/drawing/2014/chart" uri="{C3380CC4-5D6E-409C-BE32-E72D297353CC}">
              <c16:uniqueId val="{00000000-744E-4E4A-BA5D-1C9052FF1981}"/>
            </c:ext>
          </c:extLst>
        </c:ser>
        <c:dLbls>
          <c:dLblPos val="outEnd"/>
          <c:showLegendKey val="0"/>
          <c:showVal val="1"/>
          <c:showCatName val="0"/>
          <c:showSerName val="0"/>
          <c:showPercent val="0"/>
          <c:showBubbleSize val="0"/>
        </c:dLbls>
        <c:gapWidth val="150"/>
        <c:axId val="38540032"/>
        <c:axId val="38542720"/>
      </c:barChart>
      <c:catAx>
        <c:axId val="38540032"/>
        <c:scaling>
          <c:orientation val="maxMin"/>
        </c:scaling>
        <c:delete val="0"/>
        <c:axPos val="l"/>
        <c:numFmt formatCode="General" sourceLinked="0"/>
        <c:majorTickMark val="out"/>
        <c:minorTickMark val="none"/>
        <c:tickLblPos val="nextTo"/>
        <c:txPr>
          <a:bodyPr/>
          <a:lstStyle/>
          <a:p>
            <a:pPr>
              <a:defRPr baseline="0"/>
            </a:pPr>
            <a:endParaRPr lang="sr-Latn-RS"/>
          </a:p>
        </c:txPr>
        <c:crossAx val="38542720"/>
        <c:crosses val="autoZero"/>
        <c:auto val="1"/>
        <c:lblAlgn val="ctr"/>
        <c:lblOffset val="100"/>
        <c:noMultiLvlLbl val="0"/>
      </c:catAx>
      <c:valAx>
        <c:axId val="38542720"/>
        <c:scaling>
          <c:orientation val="minMax"/>
        </c:scaling>
        <c:delete val="1"/>
        <c:axPos val="t"/>
        <c:numFmt formatCode="General" sourceLinked="1"/>
        <c:majorTickMark val="out"/>
        <c:minorTickMark val="none"/>
        <c:tickLblPos val="nextTo"/>
        <c:crossAx val="38540032"/>
        <c:crosses val="autoZero"/>
        <c:crossBetween val="between"/>
      </c:valAx>
    </c:plotArea>
    <c:legend>
      <c:legendPos val="b"/>
      <c:overlay val="0"/>
      <c:txPr>
        <a:bodyPr/>
        <a:lstStyle/>
        <a:p>
          <a:pPr>
            <a:defRPr sz="900"/>
          </a:pPr>
          <a:endParaRPr lang="sr-Latn-RS"/>
        </a:p>
      </c:txPr>
    </c:legend>
    <c:plotVisOnly val="1"/>
    <c:dispBlanksAs val="gap"/>
    <c:showDLblsOverMax val="0"/>
  </c:chart>
  <c:txPr>
    <a:bodyPr/>
    <a:lstStyle/>
    <a:p>
      <a:pPr>
        <a:defRPr sz="800" baseline="0">
          <a:latin typeface="Arial" panose="020B0604020202020204" pitchFamily="34" charset="0"/>
          <a:cs typeface="Arial" panose="020B0604020202020204" pitchFamily="34" charset="0"/>
        </a:defRPr>
      </a:pPr>
      <a:endParaRPr lang="sr-Latn-R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mn-lt"/>
              </a:defRPr>
            </a:pPr>
            <a:r>
              <a:rPr lang="en-GB" sz="1100" b="1" i="0" baseline="0">
                <a:effectLst/>
              </a:rPr>
              <a:t>Disciplinary offences committed by prosecutors as cited in disciplinary complaints 2021</a:t>
            </a:r>
            <a:endParaRPr lang="bs-Latn-BA" sz="900">
              <a:effectLst/>
            </a:endParaRPr>
          </a:p>
          <a:p>
            <a:pPr>
              <a:defRPr sz="1200">
                <a:latin typeface="+mn-lt"/>
              </a:defRPr>
            </a:pPr>
            <a:r>
              <a:rPr lang="en-GB" sz="1100" b="1" i="0" baseline="0">
                <a:effectLst/>
              </a:rPr>
              <a:t>Article 57</a:t>
            </a:r>
            <a:endParaRPr lang="bs-Latn-BA" sz="900">
              <a:effectLst/>
            </a:endParaRPr>
          </a:p>
        </c:rich>
      </c:tx>
      <c:overlay val="0"/>
    </c:title>
    <c:autoTitleDeleted val="0"/>
    <c:plotArea>
      <c:layout>
        <c:manualLayout>
          <c:layoutTarget val="inner"/>
          <c:xMode val="edge"/>
          <c:yMode val="edge"/>
          <c:x val="0.51044295480758606"/>
          <c:y val="0.25938954243813311"/>
          <c:w val="0.41972572081339571"/>
          <c:h val="0.57264920856496726"/>
        </c:manualLayout>
      </c:layout>
      <c:barChart>
        <c:barDir val="bar"/>
        <c:grouping val="clustered"/>
        <c:varyColors val="0"/>
        <c:ser>
          <c:idx val="0"/>
          <c:order val="0"/>
          <c:tx>
            <c:strRef>
              <c:f>'Pravni osnov tužbi'!$C$43</c:f>
              <c:strCache>
                <c:ptCount val="1"/>
                <c:pt idx="0">
                  <c:v>No. of disc. complaints</c:v>
                </c:pt>
              </c:strCache>
            </c:strRef>
          </c:tx>
          <c:invertIfNegative val="0"/>
          <c:dLbls>
            <c:spPr>
              <a:noFill/>
              <a:ln>
                <a:noFill/>
              </a:ln>
              <a:effectLst/>
            </c:spPr>
            <c:txPr>
              <a:bodyPr/>
              <a:lstStyle/>
              <a:p>
                <a:pPr>
                  <a:defRPr>
                    <a:latin typeface="+mn-lt"/>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'Pravni osnov tužbi'!$B$44:$B$49</c:f>
              <c:strCache>
                <c:ptCount val="6"/>
                <c:pt idx="0">
                  <c:v>item 8 (neglect or careless exercise of official duties)</c:v>
                </c:pt>
                <c:pt idx="1">
                  <c:v>item 22 (behaviour inside or outside the court or office that demeans the dignity of the prosecutor)</c:v>
                </c:pt>
                <c:pt idx="2">
                  <c:v>item 17 (failure, for an unjustified reason, to comply with the decisions, orders or requests…)</c:v>
                </c:pt>
                <c:pt idx="3">
                  <c:v>item 7 (not disqualifying himself or herself from prosecuting a case…)</c:v>
                </c:pt>
                <c:pt idx="4">
                  <c:v>item 9 (unjustified delays in performing any acts related to the exercise of prosecutorial functions…)</c:v>
                </c:pt>
                <c:pt idx="5">
                  <c:v>item 23 (any other behaviour that represents a serious breach of official duties or that compromises…)  </c:v>
                </c:pt>
              </c:strCache>
            </c:strRef>
          </c:cat>
          <c:val>
            <c:numRef>
              <c:f>'Pravni osnov tužbi'!$C$44:$C$49</c:f>
              <c:numCache>
                <c:formatCode>General</c:formatCode>
                <c:ptCount val="6"/>
                <c:pt idx="0">
                  <c:v>7</c:v>
                </c:pt>
                <c:pt idx="1">
                  <c:v>5</c:v>
                </c:pt>
                <c:pt idx="2">
                  <c:v>4</c:v>
                </c:pt>
                <c:pt idx="3">
                  <c:v>1</c:v>
                </c:pt>
                <c:pt idx="4">
                  <c:v>1</c:v>
                </c:pt>
                <c:pt idx="5">
                  <c:v>1</c:v>
                </c:pt>
              </c:numCache>
            </c:numRef>
          </c:val>
          <c:extLst>
            <c:ext xmlns:c16="http://schemas.microsoft.com/office/drawing/2014/chart" uri="{C3380CC4-5D6E-409C-BE32-E72D297353CC}">
              <c16:uniqueId val="{00000000-5721-4A72-958F-6C4BA6FBDEE8}"/>
            </c:ext>
          </c:extLst>
        </c:ser>
        <c:dLbls>
          <c:dLblPos val="outEnd"/>
          <c:showLegendKey val="0"/>
          <c:showVal val="1"/>
          <c:showCatName val="0"/>
          <c:showSerName val="0"/>
          <c:showPercent val="0"/>
          <c:showBubbleSize val="0"/>
        </c:dLbls>
        <c:gapWidth val="150"/>
        <c:axId val="38559744"/>
        <c:axId val="38562432"/>
      </c:barChart>
      <c:catAx>
        <c:axId val="38559744"/>
        <c:scaling>
          <c:orientation val="maxMin"/>
        </c:scaling>
        <c:delete val="0"/>
        <c:axPos val="l"/>
        <c:numFmt formatCode="General" sourceLinked="0"/>
        <c:majorTickMark val="out"/>
        <c:minorTickMark val="none"/>
        <c:tickLblPos val="nextTo"/>
        <c:txPr>
          <a:bodyPr/>
          <a:lstStyle/>
          <a:p>
            <a:pPr>
              <a:defRPr sz="800" baseline="0">
                <a:latin typeface="Arial" panose="020B0604020202020204" pitchFamily="34" charset="0"/>
              </a:defRPr>
            </a:pPr>
            <a:endParaRPr lang="sr-Latn-RS"/>
          </a:p>
        </c:txPr>
        <c:crossAx val="38562432"/>
        <c:crosses val="autoZero"/>
        <c:auto val="1"/>
        <c:lblAlgn val="ctr"/>
        <c:lblOffset val="100"/>
        <c:noMultiLvlLbl val="0"/>
      </c:catAx>
      <c:valAx>
        <c:axId val="38562432"/>
        <c:scaling>
          <c:orientation val="minMax"/>
        </c:scaling>
        <c:delete val="1"/>
        <c:axPos val="t"/>
        <c:numFmt formatCode="General" sourceLinked="1"/>
        <c:majorTickMark val="out"/>
        <c:minorTickMark val="none"/>
        <c:tickLblPos val="nextTo"/>
        <c:crossAx val="38559744"/>
        <c:crosses val="autoZero"/>
        <c:crossBetween val="between"/>
      </c:valAx>
    </c:plotArea>
    <c:legend>
      <c:legendPos val="b"/>
      <c:legendEntry>
        <c:idx val="0"/>
        <c:txPr>
          <a:bodyPr/>
          <a:lstStyle/>
          <a:p>
            <a:pPr>
              <a:defRPr sz="1000">
                <a:latin typeface="+mn-lt"/>
              </a:defRPr>
            </a:pPr>
            <a:endParaRPr lang="sr-Latn-RS"/>
          </a:p>
        </c:txPr>
      </c:legendEntry>
      <c:overlay val="0"/>
      <c:txPr>
        <a:bodyPr/>
        <a:lstStyle/>
        <a:p>
          <a:pPr>
            <a:defRPr>
              <a:latin typeface="+mn-lt"/>
            </a:defRPr>
          </a:pPr>
          <a:endParaRPr lang="sr-Latn-RS"/>
        </a:p>
      </c:txPr>
    </c:legend>
    <c:plotVisOnly val="1"/>
    <c:dispBlanksAs val="gap"/>
    <c:showDLblsOverMax val="0"/>
  </c:chart>
  <c:txPr>
    <a:bodyPr/>
    <a:lstStyle/>
    <a:p>
      <a:pPr>
        <a:defRPr sz="1100">
          <a:latin typeface="Arial" panose="020B0604020202020204" pitchFamily="34" charset="0"/>
          <a:cs typeface="Arial" panose="020B0604020202020204" pitchFamily="34" charset="0"/>
        </a:defRPr>
      </a:pPr>
      <a:endParaRPr lang="sr-Latn-R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200"/>
            </a:pPr>
            <a:r>
              <a:rPr lang="en-GB" sz="1100" b="1" i="0" baseline="0">
                <a:effectLst/>
              </a:rPr>
              <a:t>Disciplinary complaints by complainants</a:t>
            </a:r>
            <a:endParaRPr lang="bs-Latn-BA" sz="900">
              <a:effectLst/>
            </a:endParaRPr>
          </a:p>
          <a:p>
            <a:pPr>
              <a:defRPr sz="1200"/>
            </a:pPr>
            <a:r>
              <a:rPr lang="en-GB" sz="1100" b="1" i="0" baseline="0">
                <a:effectLst/>
              </a:rPr>
              <a:t>2021</a:t>
            </a:r>
            <a:endParaRPr lang="bs-Latn-BA" sz="900">
              <a:effectLst/>
            </a:endParaRPr>
          </a:p>
        </c:rich>
      </c:tx>
      <c:overlay val="0"/>
    </c:title>
    <c:autoTitleDeleted val="0"/>
    <c:plotArea>
      <c:layout/>
      <c:barChart>
        <c:barDir val="bar"/>
        <c:grouping val="clustered"/>
        <c:varyColors val="0"/>
        <c:ser>
          <c:idx val="0"/>
          <c:order val="0"/>
          <c:tx>
            <c:strRef>
              <c:f>'Disciplinski postupci'!$B$26</c:f>
              <c:strCache>
                <c:ptCount val="1"/>
                <c:pt idx="0">
                  <c:v>No. of disc. complaints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'Disciplinski postupci'!$A$27:$A$39</c:f>
              <c:strCache>
                <c:ptCount val="13"/>
                <c:pt idx="0">
                  <c:v>Prosecutor</c:v>
                </c:pt>
                <c:pt idx="1">
                  <c:v>Ex officio – statute of limitations</c:v>
                </c:pt>
                <c:pt idx="2">
                  <c:v>Chief Prosecutor</c:v>
                </c:pt>
                <c:pt idx="3">
                  <c:v>Judge</c:v>
                </c:pt>
                <c:pt idx="4">
                  <c:v>Ex officio – other sources</c:v>
                </c:pt>
                <c:pt idx="5">
                  <c:v>Participant to proceedings</c:v>
                </c:pt>
                <c:pt idx="6">
                  <c:v>Institution</c:v>
                </c:pt>
                <c:pt idx="7">
                  <c:v>Ex officio – media</c:v>
                </c:pt>
                <c:pt idx="8">
                  <c:v>Court President</c:v>
                </c:pt>
                <c:pt idx="9">
                  <c:v>Third party</c:v>
                </c:pt>
                <c:pt idx="10">
                  <c:v>Attorney</c:v>
                </c:pt>
                <c:pt idx="11">
                  <c:v>Anonymous</c:v>
                </c:pt>
                <c:pt idx="12">
                  <c:v>Party to proceedings</c:v>
                </c:pt>
              </c:strCache>
            </c:strRef>
          </c:cat>
          <c:val>
            <c:numRef>
              <c:f>'Disciplinski postupci'!$B$27:$B$39</c:f>
              <c:numCache>
                <c:formatCode>General</c:formatCode>
                <c:ptCount val="13"/>
                <c:pt idx="0">
                  <c:v>1</c:v>
                </c:pt>
                <c:pt idx="1">
                  <c:v>1</c:v>
                </c:pt>
                <c:pt idx="2">
                  <c:v>2</c:v>
                </c:pt>
                <c:pt idx="3">
                  <c:v>2</c:v>
                </c:pt>
                <c:pt idx="4">
                  <c:v>2</c:v>
                </c:pt>
                <c:pt idx="5">
                  <c:v>2</c:v>
                </c:pt>
                <c:pt idx="6">
                  <c:v>2</c:v>
                </c:pt>
                <c:pt idx="7">
                  <c:v>3</c:v>
                </c:pt>
                <c:pt idx="8">
                  <c:v>3</c:v>
                </c:pt>
                <c:pt idx="9">
                  <c:v>6</c:v>
                </c:pt>
                <c:pt idx="10">
                  <c:v>7</c:v>
                </c:pt>
                <c:pt idx="11">
                  <c:v>8</c:v>
                </c:pt>
                <c:pt idx="12">
                  <c:v>9</c:v>
                </c:pt>
              </c:numCache>
            </c:numRef>
          </c:val>
          <c:extLst>
            <c:ext xmlns:c16="http://schemas.microsoft.com/office/drawing/2014/chart" uri="{C3380CC4-5D6E-409C-BE32-E72D297353CC}">
              <c16:uniqueId val="{00000000-9651-4DA0-858C-E65F3D62C367}"/>
            </c:ext>
          </c:extLst>
        </c:ser>
        <c:dLbls>
          <c:showLegendKey val="0"/>
          <c:showVal val="1"/>
          <c:showCatName val="0"/>
          <c:showSerName val="0"/>
          <c:showPercent val="0"/>
          <c:showBubbleSize val="0"/>
        </c:dLbls>
        <c:gapWidth val="150"/>
        <c:axId val="80487168"/>
        <c:axId val="80488704"/>
      </c:barChart>
      <c:catAx>
        <c:axId val="80487168"/>
        <c:scaling>
          <c:orientation val="minMax"/>
        </c:scaling>
        <c:delete val="0"/>
        <c:axPos val="l"/>
        <c:numFmt formatCode="General" sourceLinked="0"/>
        <c:majorTickMark val="out"/>
        <c:minorTickMark val="none"/>
        <c:tickLblPos val="nextTo"/>
        <c:txPr>
          <a:bodyPr/>
          <a:lstStyle/>
          <a:p>
            <a:pPr>
              <a:defRPr sz="1050"/>
            </a:pPr>
            <a:endParaRPr lang="sr-Latn-RS"/>
          </a:p>
        </c:txPr>
        <c:crossAx val="80488704"/>
        <c:crosses val="autoZero"/>
        <c:auto val="1"/>
        <c:lblAlgn val="ctr"/>
        <c:lblOffset val="120"/>
        <c:noMultiLvlLbl val="0"/>
      </c:catAx>
      <c:valAx>
        <c:axId val="80488704"/>
        <c:scaling>
          <c:orientation val="minMax"/>
        </c:scaling>
        <c:delete val="1"/>
        <c:axPos val="b"/>
        <c:numFmt formatCode="General" sourceLinked="1"/>
        <c:majorTickMark val="out"/>
        <c:minorTickMark val="none"/>
        <c:tickLblPos val="nextTo"/>
        <c:crossAx val="80487168"/>
        <c:crosses val="autoZero"/>
        <c:crossBetween val="between"/>
      </c:valAx>
    </c:plotArea>
    <c:legend>
      <c:legendPos val="t"/>
      <c:overlay val="0"/>
    </c:legend>
    <c:plotVisOnly val="1"/>
    <c:dispBlanksAs val="gap"/>
    <c:showDLblsOverMax val="0"/>
  </c:chart>
  <c:txPr>
    <a:bodyPr/>
    <a:lstStyle/>
    <a:p>
      <a:pPr>
        <a:defRPr sz="1100">
          <a:latin typeface="Arial" panose="020B0604020202020204" pitchFamily="34" charset="0"/>
          <a:cs typeface="Arial" panose="020B0604020202020204" pitchFamily="34" charset="0"/>
        </a:defRPr>
      </a:pPr>
      <a:endParaRPr lang="sr-Latn-R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200" b="1" i="0" baseline="0">
                <a:effectLst/>
              </a:rPr>
              <a:t>Measures imposed and judicial office holders</a:t>
            </a:r>
            <a:br>
              <a:rPr lang="en-GB" sz="1200" b="1" i="0" baseline="0">
                <a:effectLst/>
              </a:rPr>
            </a:br>
            <a:r>
              <a:rPr lang="en-GB" sz="1200" b="1" i="0" baseline="0">
                <a:effectLst/>
              </a:rPr>
              <a:t>2021</a:t>
            </a:r>
            <a:endParaRPr lang="bs-Latn-BA" sz="1000">
              <a:effectLst/>
            </a:endParaRP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'Disciplinski postupci'!$B$41</c:f>
              <c:strCache>
                <c:ptCount val="1"/>
                <c:pt idx="0">
                  <c:v>Broj</c:v>
                </c:pt>
              </c:strCache>
            </c:strRef>
          </c:tx>
          <c:explosion val="25"/>
          <c:dLbls>
            <c:dLbl>
              <c:idx val="0"/>
              <c:layout>
                <c:manualLayout>
                  <c:x val="-5.2616319444444441E-2"/>
                  <c:y val="-0.29462537496019975"/>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99D-4289-BB3E-1FC55E679E4F}"/>
                </c:ext>
              </c:extLst>
            </c:dLbl>
            <c:dLbl>
              <c:idx val="1"/>
              <c:layout>
                <c:manualLayout>
                  <c:x val="3.1732253086419753E-3"/>
                  <c:y val="-0.1530065523771219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99D-4289-BB3E-1FC55E679E4F}"/>
                </c:ext>
              </c:extLst>
            </c:dLbl>
            <c:dLbl>
              <c:idx val="2"/>
              <c:layout>
                <c:manualLayout>
                  <c:x val="1.9348572530864173E-2"/>
                  <c:y val="-1.205637390444589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99D-4289-BB3E-1FC55E679E4F}"/>
                </c:ext>
              </c:extLst>
            </c:dLbl>
            <c:dLbl>
              <c:idx val="3"/>
              <c:layout>
                <c:manualLayout>
                  <c:x val="4.1969521604938269E-3"/>
                  <c:y val="-3.200442411140716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99D-4289-BB3E-1FC55E679E4F}"/>
                </c:ext>
              </c:extLst>
            </c:dLbl>
            <c:dLbl>
              <c:idx val="4"/>
              <c:layout>
                <c:manualLayout>
                  <c:x val="1.9368248456790124E-2"/>
                  <c:y val="-2.304224691233891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99D-4289-BB3E-1FC55E679E4F}"/>
                </c:ext>
              </c:extLst>
            </c:dLbl>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'Disciplinski postupci'!$A$42:$A$46</c:f>
              <c:strCache>
                <c:ptCount val="5"/>
                <c:pt idx="0">
                  <c:v>Judges</c:v>
                </c:pt>
                <c:pt idx="1">
                  <c:v>Prosecutors</c:v>
                </c:pt>
                <c:pt idx="2">
                  <c:v>Chief Prosecutors</c:v>
                </c:pt>
                <c:pt idx="3">
                  <c:v>Court Presidents</c:v>
                </c:pt>
                <c:pt idx="4">
                  <c:v>Legal Associates</c:v>
                </c:pt>
              </c:strCache>
            </c:strRef>
          </c:cat>
          <c:val>
            <c:numRef>
              <c:f>'Disciplinski postupci'!$B$42:$B$46</c:f>
              <c:numCache>
                <c:formatCode>General</c:formatCode>
                <c:ptCount val="5"/>
                <c:pt idx="0">
                  <c:v>15</c:v>
                </c:pt>
                <c:pt idx="1">
                  <c:v>6</c:v>
                </c:pt>
                <c:pt idx="2">
                  <c:v>2</c:v>
                </c:pt>
                <c:pt idx="3">
                  <c:v>1</c:v>
                </c:pt>
                <c:pt idx="4">
                  <c:v>1</c:v>
                </c:pt>
              </c:numCache>
            </c:numRef>
          </c:val>
          <c:extLst>
            <c:ext xmlns:c16="http://schemas.microsoft.com/office/drawing/2014/chart" uri="{C3380CC4-5D6E-409C-BE32-E72D297353CC}">
              <c16:uniqueId val="{00000005-C99D-4289-BB3E-1FC55E679E4F}"/>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i="0" baseline="0">
                <a:effectLst/>
              </a:rPr>
              <a:t>Final disciplinary measures pronounced</a:t>
            </a:r>
            <a:endParaRPr lang="bs-Latn-BA" sz="1000">
              <a:effectLst/>
            </a:endParaRPr>
          </a:p>
          <a:p>
            <a:pPr>
              <a:defRPr/>
            </a:pPr>
            <a:r>
              <a:rPr lang="en-GB" sz="1200" b="1" i="0" baseline="0">
                <a:effectLst/>
              </a:rPr>
              <a:t>2021</a:t>
            </a:r>
            <a:endParaRPr lang="bs-Latn-BA" sz="1000">
              <a:effectLst/>
            </a:endParaRPr>
          </a:p>
        </c:rich>
      </c:tx>
      <c:layout>
        <c:manualLayout>
          <c:xMode val="edge"/>
          <c:yMode val="edge"/>
          <c:x val="0.27470993558475487"/>
          <c:y val="1.777777777777777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view3D>
      <c:rotX val="30"/>
      <c:rotY val="40"/>
      <c:depthPercent val="10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253490467671794E-2"/>
          <c:y val="0.2621235571360031"/>
          <c:w val="0.80476314077936961"/>
          <c:h val="0.70474213303982158"/>
        </c:manualLayout>
      </c:layout>
      <c:pie3DChart>
        <c:varyColors val="1"/>
        <c:ser>
          <c:idx val="0"/>
          <c:order val="0"/>
          <c:spPr>
            <a:ln>
              <a:noFill/>
            </a:ln>
          </c:spPr>
          <c:dPt>
            <c:idx val="0"/>
            <c:bubble3D val="0"/>
            <c:spPr>
              <a:solidFill>
                <a:schemeClr val="accent1"/>
              </a:solidFill>
              <a:ln w="25400">
                <a:noFill/>
              </a:ln>
              <a:effectLst/>
              <a:sp3d/>
            </c:spPr>
            <c:extLst>
              <c:ext xmlns:c16="http://schemas.microsoft.com/office/drawing/2014/chart" uri="{C3380CC4-5D6E-409C-BE32-E72D297353CC}">
                <c16:uniqueId val="{00000001-D626-46EA-A7B3-B48A8352ADCA}"/>
              </c:ext>
            </c:extLst>
          </c:dPt>
          <c:dPt>
            <c:idx val="1"/>
            <c:bubble3D val="0"/>
            <c:spPr>
              <a:solidFill>
                <a:schemeClr val="accent2"/>
              </a:solidFill>
              <a:ln w="25400">
                <a:noFill/>
              </a:ln>
              <a:effectLst/>
              <a:sp3d/>
            </c:spPr>
            <c:extLst>
              <c:ext xmlns:c16="http://schemas.microsoft.com/office/drawing/2014/chart" uri="{C3380CC4-5D6E-409C-BE32-E72D297353CC}">
                <c16:uniqueId val="{00000003-D626-46EA-A7B3-B48A8352ADCA}"/>
              </c:ext>
            </c:extLst>
          </c:dPt>
          <c:dPt>
            <c:idx val="2"/>
            <c:bubble3D val="0"/>
            <c:spPr>
              <a:solidFill>
                <a:schemeClr val="accent3"/>
              </a:solidFill>
              <a:ln w="25400">
                <a:noFill/>
              </a:ln>
              <a:effectLst/>
              <a:sp3d/>
            </c:spPr>
            <c:extLst>
              <c:ext xmlns:c16="http://schemas.microsoft.com/office/drawing/2014/chart" uri="{C3380CC4-5D6E-409C-BE32-E72D297353CC}">
                <c16:uniqueId val="{00000005-D626-46EA-A7B3-B48A8352ADCA}"/>
              </c:ext>
            </c:extLst>
          </c:dPt>
          <c:dPt>
            <c:idx val="3"/>
            <c:bubble3D val="0"/>
            <c:spPr>
              <a:solidFill>
                <a:schemeClr val="accent4"/>
              </a:solidFill>
              <a:ln w="25400">
                <a:noFill/>
              </a:ln>
              <a:effectLst/>
              <a:sp3d/>
            </c:spPr>
            <c:extLst>
              <c:ext xmlns:c16="http://schemas.microsoft.com/office/drawing/2014/chart" uri="{C3380CC4-5D6E-409C-BE32-E72D297353CC}">
                <c16:uniqueId val="{00000007-D626-46EA-A7B3-B48A8352ADCA}"/>
              </c:ext>
            </c:extLst>
          </c:dPt>
          <c:dPt>
            <c:idx val="4"/>
            <c:bubble3D val="0"/>
            <c:spPr>
              <a:solidFill>
                <a:schemeClr val="accent5"/>
              </a:solidFill>
              <a:ln w="25400">
                <a:noFill/>
              </a:ln>
              <a:effectLst/>
              <a:sp3d/>
            </c:spPr>
            <c:extLst>
              <c:ext xmlns:c16="http://schemas.microsoft.com/office/drawing/2014/chart" uri="{C3380CC4-5D6E-409C-BE32-E72D297353CC}">
                <c16:uniqueId val="{00000009-D626-46EA-A7B3-B48A8352ADCA}"/>
              </c:ext>
            </c:extLst>
          </c:dPt>
          <c:dPt>
            <c:idx val="5"/>
            <c:bubble3D val="0"/>
            <c:spPr>
              <a:solidFill>
                <a:schemeClr val="accent6"/>
              </a:solidFill>
              <a:ln w="25400">
                <a:noFill/>
              </a:ln>
              <a:effectLst/>
              <a:sp3d/>
            </c:spPr>
            <c:extLst>
              <c:ext xmlns:c16="http://schemas.microsoft.com/office/drawing/2014/chart" uri="{C3380CC4-5D6E-409C-BE32-E72D297353CC}">
                <c16:uniqueId val="{0000000B-D626-46EA-A7B3-B48A8352ADCA}"/>
              </c:ext>
            </c:extLst>
          </c:dPt>
          <c:dPt>
            <c:idx val="6"/>
            <c:bubble3D val="0"/>
            <c:spPr>
              <a:solidFill>
                <a:schemeClr val="accent1">
                  <a:lumMod val="60000"/>
                </a:schemeClr>
              </a:solidFill>
              <a:ln w="25400">
                <a:noFill/>
              </a:ln>
              <a:effectLst/>
              <a:sp3d/>
            </c:spPr>
            <c:extLst>
              <c:ext xmlns:c16="http://schemas.microsoft.com/office/drawing/2014/chart" uri="{C3380CC4-5D6E-409C-BE32-E72D297353CC}">
                <c16:uniqueId val="{0000000D-D626-46EA-A7B3-B48A8352ADCA}"/>
              </c:ext>
            </c:extLst>
          </c:dPt>
          <c:dLbls>
            <c:dLbl>
              <c:idx val="2"/>
              <c:layout>
                <c:manualLayout>
                  <c:x val="0.17057066030932322"/>
                  <c:y val="-0.18675900996246436"/>
                </c:manualLayout>
              </c:layou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5-D626-46EA-A7B3-B48A8352ADCA}"/>
                </c:ext>
              </c:extLst>
            </c:dLbl>
            <c:dLbl>
              <c:idx val="3"/>
              <c:layout>
                <c:manualLayout>
                  <c:x val="-7.2177595378586881E-2"/>
                  <c:y val="-1.7600993424209069E-2"/>
                </c:manualLayout>
              </c:layou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D626-46EA-A7B3-B48A8352ADCA}"/>
                </c:ext>
              </c:extLst>
            </c:dLbl>
            <c:dLbl>
              <c:idx val="4"/>
              <c:layout>
                <c:manualLayout>
                  <c:x val="-3.0019699555054825E-2"/>
                  <c:y val="-3.3566675133350252E-2"/>
                </c:manualLayout>
              </c:layou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D626-46EA-A7B3-B48A8352ADCA}"/>
                </c:ext>
              </c:extLst>
            </c:dLbl>
            <c:dLbl>
              <c:idx val="5"/>
              <c:layout>
                <c:manualLayout>
                  <c:x val="4.5954567509412785E-2"/>
                  <c:y val="-2.7302683938701212E-2"/>
                </c:manualLayout>
              </c:layou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D626-46EA-A7B3-B48A8352ADCA}"/>
                </c:ext>
              </c:extLst>
            </c:dLbl>
            <c:dLbl>
              <c:idx val="6"/>
              <c:layout>
                <c:manualLayout>
                  <c:x val="9.361141549211649E-2"/>
                  <c:y val="-2.3300313267293201E-4"/>
                </c:manualLayout>
              </c:layou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D-D626-46EA-A7B3-B48A8352ADC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Calibri" panose="020F0502020204030204" pitchFamily="34" charset="0"/>
                    <a:ea typeface="+mn-ea"/>
                    <a:cs typeface="+mn-cs"/>
                  </a:defRPr>
                </a:pPr>
                <a:endParaRPr lang="sr-Latn-RS"/>
              </a:p>
            </c:txPr>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'Disciplinski postupci'!$A$24:$A$30</c:f>
              <c:strCache>
                <c:ptCount val="7"/>
                <c:pt idx="0">
                  <c:v>Written warning</c:v>
                </c:pt>
                <c:pt idx="1">
                  <c:v>Public reprimand</c:v>
                </c:pt>
                <c:pt idx="2">
                  <c:v>Salary reduction</c:v>
                </c:pt>
                <c:pt idx="3">
                  <c:v>Salary reduction + special measure</c:v>
                </c:pt>
                <c:pt idx="4">
                  <c:v>Demotion of a Chief Prosecutor to an ordinary prosecutor</c:v>
                </c:pt>
                <c:pt idx="5">
                  <c:v>Demotion of a Deputy Chief Prosecutor to an ordinary prosecuto</c:v>
                </c:pt>
                <c:pt idx="6">
                  <c:v>Removal from office</c:v>
                </c:pt>
              </c:strCache>
            </c:strRef>
          </c:cat>
          <c:val>
            <c:numRef>
              <c:f>'Disciplinski postupci'!$B$24:$B$30</c:f>
              <c:numCache>
                <c:formatCode>General</c:formatCode>
                <c:ptCount val="7"/>
                <c:pt idx="0">
                  <c:v>4</c:v>
                </c:pt>
                <c:pt idx="1">
                  <c:v>3</c:v>
                </c:pt>
                <c:pt idx="2">
                  <c:v>14</c:v>
                </c:pt>
                <c:pt idx="3">
                  <c:v>1</c:v>
                </c:pt>
                <c:pt idx="4">
                  <c:v>1</c:v>
                </c:pt>
                <c:pt idx="5">
                  <c:v>1</c:v>
                </c:pt>
                <c:pt idx="6">
                  <c:v>1</c:v>
                </c:pt>
              </c:numCache>
            </c:numRef>
          </c:val>
          <c:extLst>
            <c:ext xmlns:c16="http://schemas.microsoft.com/office/drawing/2014/chart" uri="{C3380CC4-5D6E-409C-BE32-E72D297353CC}">
              <c16:uniqueId val="{0000000E-D626-46EA-A7B3-B48A8352ADCA}"/>
            </c:ext>
          </c:extLst>
        </c:ser>
        <c:dLbls>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sr-Latn-R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165999640115911E-2"/>
          <c:y val="0.10668255674943773"/>
          <c:w val="0.86672710237461437"/>
          <c:h val="0.74570417360677466"/>
        </c:manualLayout>
      </c:layout>
      <c:barChart>
        <c:barDir val="col"/>
        <c:grouping val="clustered"/>
        <c:varyColors val="0"/>
        <c:ser>
          <c:idx val="0"/>
          <c:order val="0"/>
          <c:tx>
            <c:strRef>
              <c:f>'Sheet1 (2)'!$B$1</c:f>
              <c:strCache>
                <c:ptCount val="1"/>
                <c:pt idx="0">
                  <c:v>Planned</c:v>
                </c:pt>
              </c:strCache>
            </c:strRef>
          </c:tx>
          <c:spPr>
            <a:gradFill rotWithShape="1">
              <a:gsLst>
                <a:gs pos="90000">
                  <a:schemeClr val="bg1"/>
                </a:gs>
                <a:gs pos="0">
                  <a:schemeClr val="accent1">
                    <a:lumMod val="50000"/>
                  </a:schemeClr>
                </a:gs>
              </a:gsLst>
              <a:lin ang="5400000" scaled="1"/>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numRef>
              <c:f>'Sheet1 (2)'!$A$2:$A$12</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 (2)'!$B$2:$B$12</c:f>
              <c:numCache>
                <c:formatCode>#,##0</c:formatCode>
                <c:ptCount val="11"/>
                <c:pt idx="0">
                  <c:v>113638</c:v>
                </c:pt>
                <c:pt idx="1">
                  <c:v>112444</c:v>
                </c:pt>
                <c:pt idx="2">
                  <c:v>99727</c:v>
                </c:pt>
                <c:pt idx="3">
                  <c:v>108077</c:v>
                </c:pt>
                <c:pt idx="4">
                  <c:v>221514</c:v>
                </c:pt>
                <c:pt idx="5">
                  <c:v>198558</c:v>
                </c:pt>
                <c:pt idx="6">
                  <c:v>175358</c:v>
                </c:pt>
                <c:pt idx="7">
                  <c:v>175445</c:v>
                </c:pt>
                <c:pt idx="8">
                  <c:v>174389</c:v>
                </c:pt>
                <c:pt idx="9">
                  <c:v>176669</c:v>
                </c:pt>
                <c:pt idx="10">
                  <c:v>186384</c:v>
                </c:pt>
              </c:numCache>
            </c:numRef>
          </c:val>
          <c:extLst>
            <c:ext xmlns:c16="http://schemas.microsoft.com/office/drawing/2014/chart" uri="{C3380CC4-5D6E-409C-BE32-E72D297353CC}">
              <c16:uniqueId val="{00000000-0F83-4D65-9A5F-44C6AE3298C0}"/>
            </c:ext>
          </c:extLst>
        </c:ser>
        <c:ser>
          <c:idx val="1"/>
          <c:order val="1"/>
          <c:tx>
            <c:strRef>
              <c:f>'Sheet1 (2)'!$C$1</c:f>
              <c:strCache>
                <c:ptCount val="1"/>
                <c:pt idx="0">
                  <c:v>Disposed</c:v>
                </c:pt>
              </c:strCache>
            </c:strRef>
          </c:tx>
          <c:spPr>
            <a:gradFill rotWithShape="1">
              <a:gsLst>
                <a:gs pos="88000">
                  <a:srgbClr val="F9EABF"/>
                </a:gs>
                <a:gs pos="100000">
                  <a:schemeClr val="bg1">
                    <a:lumMod val="96000"/>
                  </a:schemeClr>
                </a:gs>
                <a:gs pos="0">
                  <a:schemeClr val="accent4">
                    <a:lumMod val="60000"/>
                    <a:lumOff val="40000"/>
                  </a:schemeClr>
                </a:gs>
              </a:gsLst>
              <a:lin ang="5400000" scaled="1"/>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numRef>
              <c:f>'Sheet1 (2)'!$A$2:$A$12</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 (2)'!$C$2:$C$12</c:f>
              <c:numCache>
                <c:formatCode>#,##0</c:formatCode>
                <c:ptCount val="11"/>
                <c:pt idx="0">
                  <c:v>70154</c:v>
                </c:pt>
                <c:pt idx="1">
                  <c:v>73992</c:v>
                </c:pt>
                <c:pt idx="2">
                  <c:v>72316</c:v>
                </c:pt>
                <c:pt idx="3">
                  <c:v>85941</c:v>
                </c:pt>
                <c:pt idx="4">
                  <c:v>187118</c:v>
                </c:pt>
                <c:pt idx="5">
                  <c:v>168369</c:v>
                </c:pt>
                <c:pt idx="6">
                  <c:v>149154</c:v>
                </c:pt>
                <c:pt idx="7">
                  <c:v>149619</c:v>
                </c:pt>
                <c:pt idx="8">
                  <c:v>157145</c:v>
                </c:pt>
                <c:pt idx="9">
                  <c:v>140452</c:v>
                </c:pt>
                <c:pt idx="10">
                  <c:v>163025</c:v>
                </c:pt>
              </c:numCache>
            </c:numRef>
          </c:val>
          <c:extLst>
            <c:ext xmlns:c16="http://schemas.microsoft.com/office/drawing/2014/chart" uri="{C3380CC4-5D6E-409C-BE32-E72D297353CC}">
              <c16:uniqueId val="{00000001-0F83-4D65-9A5F-44C6AE3298C0}"/>
            </c:ext>
          </c:extLst>
        </c:ser>
        <c:dLbls>
          <c:showLegendKey val="0"/>
          <c:showVal val="0"/>
          <c:showCatName val="0"/>
          <c:showSerName val="0"/>
          <c:showPercent val="0"/>
          <c:showBubbleSize val="0"/>
        </c:dLbls>
        <c:gapWidth val="269"/>
        <c:overlap val="-27"/>
        <c:axId val="589047304"/>
        <c:axId val="589047960"/>
      </c:barChart>
      <c:lineChart>
        <c:grouping val="standard"/>
        <c:varyColors val="0"/>
        <c:ser>
          <c:idx val="2"/>
          <c:order val="2"/>
          <c:tx>
            <c:strRef>
              <c:f>'Sheet1 (2)'!$D$1</c:f>
              <c:strCache>
                <c:ptCount val="1"/>
                <c:pt idx="0">
                  <c:v>Backlog reduction plan realisation rate</c:v>
                </c:pt>
              </c:strCache>
            </c:strRef>
          </c:tx>
          <c:spPr>
            <a:ln w="34925" cap="rnd">
              <a:solidFill>
                <a:schemeClr val="accent1"/>
              </a:solidFill>
              <a:round/>
            </a:ln>
            <a:effectLst>
              <a:outerShdw blurRad="57150" dist="19050" dir="5400000" algn="ctr" rotWithShape="0">
                <a:srgbClr val="000000">
                  <a:alpha val="63000"/>
                </a:srgbClr>
              </a:outerShdw>
            </a:effectLst>
          </c:spPr>
          <c:marker>
            <c:symbol val="diamond"/>
            <c:size val="10"/>
            <c:spPr>
              <a:solidFill>
                <a:schemeClr val="accent4">
                  <a:lumMod val="60000"/>
                  <a:lumOff val="40000"/>
                </a:schemeClr>
              </a:solidFill>
              <a:ln w="28575">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dLbl>
              <c:idx val="4"/>
              <c:layout>
                <c:manualLayout>
                  <c:x val="-2.0409771473601263E-2"/>
                  <c:y val="-5.94081523976887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F83-4D65-9A5F-44C6AE3298C0}"/>
                </c:ext>
              </c:extLst>
            </c:dLbl>
            <c:spPr>
              <a:noFill/>
              <a:ln>
                <a:noFill/>
              </a:ln>
              <a:effectLst/>
            </c:spPr>
            <c:txPr>
              <a:bodyPr rot="0" spcFirstLastPara="1" vertOverflow="ellipsis" vert="horz" wrap="square" anchor="ctr" anchorCtr="1"/>
              <a:lstStyle/>
              <a:p>
                <a:pPr>
                  <a:defRPr sz="1100" b="0" i="0" u="none" strike="noStrike" kern="1200" baseline="0">
                    <a:solidFill>
                      <a:schemeClr val="accent1">
                        <a:lumMod val="75000"/>
                      </a:schemeClr>
                    </a:solidFill>
                    <a:latin typeface="Arial" panose="020B0604020202020204" pitchFamily="34" charset="0"/>
                    <a:ea typeface="+mn-ea"/>
                    <a:cs typeface="Arial" panose="020B0604020202020204" pitchFamily="34" charset="0"/>
                  </a:defRPr>
                </a:pPr>
                <a:endParaRPr lang="sr-Latn-R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 (2)'!$A$2:$A$12</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 (2)'!$D$2:$D$12</c:f>
              <c:numCache>
                <c:formatCode>0%</c:formatCode>
                <c:ptCount val="11"/>
                <c:pt idx="0">
                  <c:v>0.61734631021313291</c:v>
                </c:pt>
                <c:pt idx="1">
                  <c:v>0.65803422147913626</c:v>
                </c:pt>
                <c:pt idx="2">
                  <c:v>0.72513963119315727</c:v>
                </c:pt>
                <c:pt idx="3">
                  <c:v>0.79518306392664484</c:v>
                </c:pt>
                <c:pt idx="4">
                  <c:v>0.8447231326236716</c:v>
                </c:pt>
                <c:pt idx="5">
                  <c:v>0.84795878282416226</c:v>
                </c:pt>
                <c:pt idx="6">
                  <c:v>0.85056855119241781</c:v>
                </c:pt>
                <c:pt idx="7">
                  <c:v>0.85279717290318902</c:v>
                </c:pt>
                <c:pt idx="8">
                  <c:v>0.90111761636341736</c:v>
                </c:pt>
                <c:pt idx="9">
                  <c:v>0.79500082074387701</c:v>
                </c:pt>
                <c:pt idx="10">
                  <c:v>0.87467271868829943</c:v>
                </c:pt>
              </c:numCache>
            </c:numRef>
          </c:val>
          <c:smooth val="0"/>
          <c:extLst>
            <c:ext xmlns:c16="http://schemas.microsoft.com/office/drawing/2014/chart" uri="{C3380CC4-5D6E-409C-BE32-E72D297353CC}">
              <c16:uniqueId val="{00000003-0F83-4D65-9A5F-44C6AE3298C0}"/>
            </c:ext>
          </c:extLst>
        </c:ser>
        <c:dLbls>
          <c:showLegendKey val="0"/>
          <c:showVal val="0"/>
          <c:showCatName val="0"/>
          <c:showSerName val="0"/>
          <c:showPercent val="0"/>
          <c:showBubbleSize val="0"/>
        </c:dLbls>
        <c:marker val="1"/>
        <c:smooth val="0"/>
        <c:axId val="589051896"/>
        <c:axId val="589049272"/>
      </c:lineChart>
      <c:catAx>
        <c:axId val="5890473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sr-Latn-RS"/>
          </a:p>
        </c:txPr>
        <c:crossAx val="589047960"/>
        <c:crosses val="autoZero"/>
        <c:auto val="1"/>
        <c:lblAlgn val="ctr"/>
        <c:lblOffset val="100"/>
        <c:noMultiLvlLbl val="0"/>
      </c:catAx>
      <c:valAx>
        <c:axId val="589047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sr-Latn-RS"/>
          </a:p>
        </c:txPr>
        <c:crossAx val="589047304"/>
        <c:crosses val="autoZero"/>
        <c:crossBetween val="between"/>
        <c:dispUnits>
          <c:builtInUnit val="thousands"/>
        </c:dispUnits>
      </c:valAx>
      <c:valAx>
        <c:axId val="589049272"/>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sr-Latn-RS"/>
          </a:p>
        </c:txPr>
        <c:crossAx val="589051896"/>
        <c:crosses val="max"/>
        <c:crossBetween val="between"/>
      </c:valAx>
      <c:catAx>
        <c:axId val="589051896"/>
        <c:scaling>
          <c:orientation val="minMax"/>
        </c:scaling>
        <c:delete val="1"/>
        <c:axPos val="b"/>
        <c:numFmt formatCode="General" sourceLinked="1"/>
        <c:majorTickMark val="none"/>
        <c:minorTickMark val="none"/>
        <c:tickLblPos val="nextTo"/>
        <c:crossAx val="5890492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Arial" panose="020B0604020202020204" pitchFamily="34" charset="0"/>
          <a:cs typeface="Arial" panose="020B0604020202020204" pitchFamily="34" charset="0"/>
        </a:defRPr>
      </a:pPr>
      <a:endParaRPr lang="sr-Latn-R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300" b="1" i="0">
                <a:solidFill>
                  <a:schemeClr val="tx1"/>
                </a:solidFill>
                <a:effectLst/>
              </a:rPr>
              <a:t>Backlog in prosecutor's offices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sr-Latn-R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 Nerijeseni predmeti'!$A$23:$I$23</c:f>
              <c:strCache>
                <c:ptCount val="9"/>
                <c:pt idx="0">
                  <c:v>31.12.2013.</c:v>
                </c:pt>
                <c:pt idx="1">
                  <c:v>31.12.2014.</c:v>
                </c:pt>
                <c:pt idx="2">
                  <c:v>31.12.2015.</c:v>
                </c:pt>
                <c:pt idx="3">
                  <c:v>31.12.2016.</c:v>
                </c:pt>
                <c:pt idx="4">
                  <c:v>31.12.2017.</c:v>
                </c:pt>
                <c:pt idx="5">
                  <c:v>31.12.2018.</c:v>
                </c:pt>
                <c:pt idx="6">
                  <c:v>31.12.2019.</c:v>
                </c:pt>
                <c:pt idx="7">
                  <c:v>31.12.2020.</c:v>
                </c:pt>
                <c:pt idx="8">
                  <c:v>31.12.2021.</c:v>
                </c:pt>
              </c:strCache>
            </c:strRef>
          </c:cat>
          <c:val>
            <c:numRef>
              <c:f>'1. Nerijeseni predmeti'!$A$24:$I$24</c:f>
              <c:numCache>
                <c:formatCode>_-* #,##0\ _K_M_-;\-* #,##0\ _K_M_-;_-* "-"??\ _K_M_-;_-@_-</c:formatCode>
                <c:ptCount val="9"/>
                <c:pt idx="0">
                  <c:v>24275</c:v>
                </c:pt>
                <c:pt idx="1">
                  <c:v>21820</c:v>
                </c:pt>
                <c:pt idx="2">
                  <c:v>15706</c:v>
                </c:pt>
                <c:pt idx="3">
                  <c:v>14350</c:v>
                </c:pt>
                <c:pt idx="4">
                  <c:v>13708</c:v>
                </c:pt>
                <c:pt idx="5">
                  <c:v>13191</c:v>
                </c:pt>
                <c:pt idx="6">
                  <c:v>13546</c:v>
                </c:pt>
                <c:pt idx="7">
                  <c:v>15608</c:v>
                </c:pt>
                <c:pt idx="8">
                  <c:v>15213</c:v>
                </c:pt>
              </c:numCache>
            </c:numRef>
          </c:val>
          <c:extLst>
            <c:ext xmlns:c16="http://schemas.microsoft.com/office/drawing/2014/chart" uri="{C3380CC4-5D6E-409C-BE32-E72D297353CC}">
              <c16:uniqueId val="{00000000-852C-4D58-89A4-7EF0053F6E27}"/>
            </c:ext>
          </c:extLst>
        </c:ser>
        <c:dLbls>
          <c:showLegendKey val="0"/>
          <c:showVal val="0"/>
          <c:showCatName val="0"/>
          <c:showSerName val="0"/>
          <c:showPercent val="0"/>
          <c:showBubbleSize val="0"/>
        </c:dLbls>
        <c:gapWidth val="150"/>
        <c:shape val="box"/>
        <c:axId val="435672224"/>
        <c:axId val="435670912"/>
        <c:axId val="0"/>
      </c:bar3DChart>
      <c:catAx>
        <c:axId val="435672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sr-Latn-RS"/>
          </a:p>
        </c:txPr>
        <c:crossAx val="435670912"/>
        <c:crosses val="autoZero"/>
        <c:auto val="1"/>
        <c:lblAlgn val="ctr"/>
        <c:lblOffset val="100"/>
        <c:noMultiLvlLbl val="0"/>
      </c:catAx>
      <c:valAx>
        <c:axId val="435670912"/>
        <c:scaling>
          <c:orientation val="minMax"/>
        </c:scaling>
        <c:delete val="1"/>
        <c:axPos val="l"/>
        <c:majorGridlines>
          <c:spPr>
            <a:ln w="9525" cap="flat" cmpd="sng" algn="ctr">
              <a:solidFill>
                <a:schemeClr val="tx1">
                  <a:lumMod val="15000"/>
                  <a:lumOff val="85000"/>
                </a:schemeClr>
              </a:solidFill>
              <a:round/>
            </a:ln>
            <a:effectLst/>
          </c:spPr>
        </c:majorGridlines>
        <c:numFmt formatCode="_-* #,##0\ _K_M_-;\-* #,##0\ _K_M_-;_-* &quot;-&quot;??\ _K_M_-;_-@_-" sourceLinked="1"/>
        <c:majorTickMark val="none"/>
        <c:minorTickMark val="none"/>
        <c:tickLblPos val="nextTo"/>
        <c:crossAx val="435672224"/>
        <c:crosses val="autoZero"/>
        <c:crossBetween val="between"/>
      </c:valAx>
      <c:spPr>
        <a:noFill/>
        <a:ln>
          <a:noFill/>
        </a:ln>
        <a:effectLst/>
      </c:spPr>
    </c:plotArea>
    <c:plotVisOnly val="1"/>
    <c:dispBlanksAs val="gap"/>
    <c:showDLblsOverMax val="0"/>
  </c:chart>
  <c:spPr>
    <a:solidFill>
      <a:schemeClr val="bg1"/>
    </a:solidFill>
    <a:ln w="12700" cap="flat" cmpd="sng" algn="ctr">
      <a:solidFill>
        <a:schemeClr val="tx1">
          <a:lumMod val="50000"/>
          <a:lumOff val="50000"/>
        </a:schemeClr>
      </a:solidFill>
      <a:round/>
    </a:ln>
    <a:effectLst/>
  </c:spPr>
  <c:txPr>
    <a:bodyPr/>
    <a:lstStyle/>
    <a:p>
      <a:pPr>
        <a:defRPr/>
      </a:pPr>
      <a:endParaRPr lang="sr-Latn-R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en-GB" sz="1300" b="1">
                <a:solidFill>
                  <a:schemeClr val="tx1"/>
                </a:solidFill>
              </a:rPr>
              <a:t>Backlog in prosecutor's offices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sr-Latn-R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'3.'!$R$18:$Y$18</c:f>
              <c:strCache>
                <c:ptCount val="8"/>
                <c:pt idx="0">
                  <c:v>31.12.2014.</c:v>
                </c:pt>
                <c:pt idx="1">
                  <c:v>31.12.2015.</c:v>
                </c:pt>
                <c:pt idx="2">
                  <c:v>31.12.2016.</c:v>
                </c:pt>
                <c:pt idx="3">
                  <c:v>31.12.2017.</c:v>
                </c:pt>
                <c:pt idx="4">
                  <c:v>31.12.2018.</c:v>
                </c:pt>
                <c:pt idx="5">
                  <c:v>31.12.2019.</c:v>
                </c:pt>
                <c:pt idx="6">
                  <c:v>31.12.2020.</c:v>
                </c:pt>
                <c:pt idx="7">
                  <c:v>31.12.2021.</c:v>
                </c:pt>
              </c:strCache>
            </c:strRef>
          </c:cat>
          <c:val>
            <c:numRef>
              <c:f>'3.'!$R$27:$Y$27</c:f>
              <c:numCache>
                <c:formatCode>#,##0</c:formatCode>
                <c:ptCount val="8"/>
                <c:pt idx="0">
                  <c:v>16611</c:v>
                </c:pt>
                <c:pt idx="1">
                  <c:v>8231</c:v>
                </c:pt>
                <c:pt idx="2">
                  <c:v>5427</c:v>
                </c:pt>
                <c:pt idx="3">
                  <c:v>4541</c:v>
                </c:pt>
                <c:pt idx="4">
                  <c:v>4169</c:v>
                </c:pt>
                <c:pt idx="5">
                  <c:v>4858</c:v>
                </c:pt>
                <c:pt idx="6">
                  <c:v>5464</c:v>
                </c:pt>
                <c:pt idx="7">
                  <c:v>5486</c:v>
                </c:pt>
              </c:numCache>
            </c:numRef>
          </c:val>
          <c:extLst>
            <c:ext xmlns:c16="http://schemas.microsoft.com/office/drawing/2014/chart" uri="{C3380CC4-5D6E-409C-BE32-E72D297353CC}">
              <c16:uniqueId val="{00000000-BD1E-4028-BD7B-B1E77CAE20FB}"/>
            </c:ext>
          </c:extLst>
        </c:ser>
        <c:dLbls>
          <c:showLegendKey val="0"/>
          <c:showVal val="0"/>
          <c:showCatName val="0"/>
          <c:showSerName val="0"/>
          <c:showPercent val="0"/>
          <c:showBubbleSize val="0"/>
        </c:dLbls>
        <c:gapWidth val="150"/>
        <c:shape val="box"/>
        <c:axId val="559559216"/>
        <c:axId val="559564464"/>
        <c:axId val="0"/>
      </c:bar3DChart>
      <c:catAx>
        <c:axId val="5595592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sr-Latn-RS"/>
          </a:p>
        </c:txPr>
        <c:crossAx val="559564464"/>
        <c:crosses val="autoZero"/>
        <c:auto val="1"/>
        <c:lblAlgn val="ctr"/>
        <c:lblOffset val="100"/>
        <c:noMultiLvlLbl val="0"/>
      </c:catAx>
      <c:valAx>
        <c:axId val="55956446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559559216"/>
        <c:crosses val="autoZero"/>
        <c:crossBetween val="between"/>
      </c:valAx>
      <c:spPr>
        <a:noFill/>
        <a:ln>
          <a:noFill/>
        </a:ln>
        <a:effectLst/>
      </c:spPr>
    </c:plotArea>
    <c:plotVisOnly val="1"/>
    <c:dispBlanksAs val="gap"/>
    <c:showDLblsOverMax val="0"/>
  </c:chart>
  <c:spPr>
    <a:solidFill>
      <a:schemeClr val="bg1"/>
    </a:solidFill>
    <a:ln w="12700" cap="flat" cmpd="sng" algn="ctr">
      <a:solidFill>
        <a:schemeClr val="tx1">
          <a:lumMod val="50000"/>
          <a:lumOff val="50000"/>
        </a:schemeClr>
      </a:solidFill>
      <a:round/>
    </a:ln>
    <a:effectLst/>
  </c:spPr>
  <c:txPr>
    <a:bodyPr/>
    <a:lstStyle/>
    <a:p>
      <a:pPr>
        <a:defRPr/>
      </a:pPr>
      <a:endParaRPr lang="sr-Latn-R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4B0D6-2AAF-4194-B763-64D8CD6DE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Osnova za GI2013.dot</Template>
  <TotalTime>0</TotalTime>
  <Pages>84</Pages>
  <Words>33477</Words>
  <Characters>190823</Characters>
  <Application>Microsoft Office Word</Application>
  <DocSecurity>4</DocSecurity>
  <Lines>1590</Lines>
  <Paragraphs>447</Paragraphs>
  <ScaleCrop>false</ScaleCrop>
  <HeadingPairs>
    <vt:vector size="2" baseType="variant">
      <vt:variant>
        <vt:lpstr>Title</vt:lpstr>
      </vt:variant>
      <vt:variant>
        <vt:i4>1</vt:i4>
      </vt:variant>
    </vt:vector>
  </HeadingPairs>
  <TitlesOfParts>
    <vt:vector size="1" baseType="lpstr">
      <vt:lpstr>Internet je marketinški medij koji nudi jedinstvene prodaje i izgrađuje brand za mala i srednja poduzeća</vt:lpstr>
    </vt:vector>
  </TitlesOfParts>
  <Company>ChiLLe</Company>
  <LinksUpToDate>false</LinksUpToDate>
  <CharactersWithSpaces>223853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je marketinški medij koji nudi jedinstvene prodaje i izgrađuje brand za mala i srednja poduzeća</dc:title>
  <dc:subject/>
  <dc:creator>Pravosudje</dc:creator>
  <cp:keywords/>
  <dc:description/>
  <cp:lastModifiedBy>Edisa Sikalo</cp:lastModifiedBy>
  <cp:revision>2</cp:revision>
  <cp:lastPrinted>2022-04-27T10:15:00Z</cp:lastPrinted>
  <dcterms:created xsi:type="dcterms:W3CDTF">2022-09-05T06:10:00Z</dcterms:created>
  <dcterms:modified xsi:type="dcterms:W3CDTF">2022-09-05T06:10:00Z</dcterms:modified>
</cp:coreProperties>
</file>