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lang w:val="hr-BA"/>
        </w:rPr>
      </w:pPr>
      <w:r>
        <w:rPr>
          <w:b/>
          <w:lang w:val="hr-BA"/>
        </w:rPr>
        <w:t>BOSNA I HERCEGOVINA</w:t>
      </w:r>
    </w:p>
    <w:p>
      <w:pPr>
        <w:pStyle w:val="Normal"/>
        <w:rPr>
          <w:b/>
          <w:b/>
          <w:lang w:val="hr-BA"/>
        </w:rPr>
      </w:pPr>
      <w:r>
        <w:rPr>
          <w:b/>
          <w:lang w:val="hr-BA"/>
        </w:rPr>
        <w:t>FEDERACIJA BOSNE I HERCEGOVINE</w:t>
      </w:r>
    </w:p>
    <w:p>
      <w:pPr>
        <w:pStyle w:val="Normal"/>
        <w:rPr>
          <w:b/>
          <w:b/>
          <w:lang w:val="hr-BA"/>
        </w:rPr>
      </w:pPr>
      <w:r>
        <w:rPr>
          <w:b/>
          <w:lang w:val="hr-BA"/>
        </w:rPr>
        <w:t>ŽUPANIJA ZAPADNOHERCEGOVAČKA</w:t>
      </w:r>
    </w:p>
    <w:p>
      <w:pPr>
        <w:pStyle w:val="Normal"/>
        <w:rPr>
          <w:b/>
          <w:b/>
          <w:lang w:val="hr-BA"/>
        </w:rPr>
      </w:pPr>
      <w:r>
        <w:rPr>
          <w:b/>
          <w:lang w:val="hr-BA"/>
        </w:rPr>
        <w:t>ŽUPANIJSKI SUD ŠIROKI BRIJEG</w:t>
      </w:r>
    </w:p>
    <w:p>
      <w:pPr>
        <w:pStyle w:val="Normal"/>
        <w:rPr>
          <w:b/>
          <w:b/>
          <w:lang w:val="hr-BA"/>
        </w:rPr>
      </w:pPr>
      <w:r>
        <w:rPr>
          <w:b/>
          <w:lang w:val="hr-BA"/>
        </w:rPr>
        <w:t>Broj:</w:t>
      </w:r>
      <w:bookmarkStart w:id="0" w:name="__DdeLink__601_2035270771"/>
      <w:r>
        <w:rPr>
          <w:b/>
          <w:lang w:val="hr-BA"/>
        </w:rPr>
        <w:t xml:space="preserve"> 64 0 Pr 051469 21 Pžp</w:t>
      </w:r>
      <w:bookmarkEnd w:id="0"/>
    </w:p>
    <w:p>
      <w:pPr>
        <w:pStyle w:val="Normal"/>
        <w:rPr>
          <w:b/>
          <w:b/>
          <w:lang w:val="hr-BA"/>
        </w:rPr>
      </w:pPr>
      <w:r>
        <w:rPr>
          <w:b/>
          <w:lang w:val="hr-BA"/>
        </w:rPr>
        <w:t>Široki Brijeg, 28.06.2022. godine</w:t>
      </w:r>
    </w:p>
    <w:p>
      <w:pPr>
        <w:pStyle w:val="Normal"/>
        <w:ind w:firstLine="720"/>
        <w:rPr>
          <w:lang w:val="hr-BA"/>
        </w:rPr>
      </w:pPr>
      <w:r>
        <w:rPr>
          <w:lang w:val="hr-BA"/>
        </w:rPr>
      </w:r>
    </w:p>
    <w:p>
      <w:pPr>
        <w:pStyle w:val="Normal"/>
        <w:ind w:firstLine="720"/>
        <w:jc w:val="both"/>
        <w:rPr>
          <w:lang w:val="hr-BA"/>
        </w:rPr>
      </w:pPr>
      <w:r>
        <w:rPr>
          <w:lang w:val="hr-BA"/>
        </w:rPr>
      </w:r>
    </w:p>
    <w:p>
      <w:pPr>
        <w:pStyle w:val="Standard"/>
        <w:ind w:firstLine="708"/>
        <w:jc w:val="both"/>
        <w:rPr/>
      </w:pPr>
      <w:r>
        <w:rPr/>
        <w:t>Županijski sud Široki Brijeg, postupajući po sutkinji Katici Artuković kao sucu pojedincu, uz sudjelovanje Slađane Cvitanović kao zapisničarke, u prekršajnom postupku protiv okrivljenog I. P., ..., G., zbog prekršaja iz članka 33 Zakona o fiskalnim sustavima</w:t>
      </w:r>
      <w:r>
        <w:rPr>
          <w:rStyle w:val="Sidrofusnote"/>
        </w:rPr>
        <w:footnoteReference w:id="2"/>
      </w:r>
      <w:r>
        <w:rPr/>
        <w:t xml:space="preserve">, odlučujući o žalbi mjerodavnog tijela Financijske uprave za inspekcijske poslove, Sarajevo, izjavljenoj na Rješenje Općinskog suda u Širokom Brijegu broj: 64 0 Pr 051469 19 Pr od 21.10.2020. godine, dana 28.06.2022. godine, donio je </w:t>
      </w:r>
    </w:p>
    <w:p>
      <w:pPr>
        <w:pStyle w:val="Standard"/>
        <w:ind w:firstLine="708"/>
        <w:jc w:val="both"/>
        <w:rPr/>
      </w:pPr>
      <w:r>
        <w:rPr/>
      </w:r>
    </w:p>
    <w:p>
      <w:pPr>
        <w:pStyle w:val="Normal"/>
        <w:ind w:firstLine="720"/>
        <w:rPr>
          <w:lang w:val="hr-BA"/>
        </w:rPr>
      </w:pPr>
      <w:r>
        <w:rPr>
          <w:lang w:val="hr-BA"/>
        </w:rPr>
      </w:r>
    </w:p>
    <w:p>
      <w:pPr>
        <w:pStyle w:val="Standard"/>
        <w:jc w:val="center"/>
        <w:rPr/>
      </w:pPr>
      <w:r>
        <w:rPr>
          <w:b/>
        </w:rPr>
        <w:t>R  J  E  Š  E  N  J  E</w:t>
      </w:r>
    </w:p>
    <w:p>
      <w:pPr>
        <w:pStyle w:val="Normal"/>
        <w:ind w:firstLine="720"/>
        <w:rPr>
          <w:lang w:val="hr-BA"/>
        </w:rPr>
      </w:pPr>
      <w:r>
        <w:rPr>
          <w:lang w:val="hr-BA"/>
        </w:rPr>
      </w:r>
    </w:p>
    <w:p>
      <w:pPr>
        <w:pStyle w:val="Normal"/>
        <w:ind w:firstLine="708"/>
        <w:jc w:val="both"/>
        <w:rPr/>
      </w:pPr>
      <w:r>
        <w:rPr>
          <w:lang w:val="hr-BA"/>
        </w:rPr>
        <w:t xml:space="preserve">Žalba mjerodavnog tijela Financijske </w:t>
      </w:r>
      <w:r>
        <w:rPr/>
        <w:t>uprave za inspekcijske poslove, Sarajevo</w:t>
      </w:r>
      <w:r>
        <w:rPr>
          <w:lang w:val="hr-BA"/>
        </w:rPr>
        <w:t xml:space="preserve"> SE UVAŽAVA te se Rješenje Općinskog suda u Širokom Brijegu broj: 64 0 Pr 51469 19 Pr od 21.10.2020. godine PREINAČAVA u dijelu odluke o prekršajnoj sankciji, </w:t>
      </w:r>
      <w:r>
        <w:rPr>
          <w:i/>
          <w:lang w:val="hr-BA"/>
        </w:rPr>
        <w:t xml:space="preserve">na način da se umjesto ranije izrečene novčane kazne u iznosu od 100,00 KM, </w:t>
      </w:r>
      <w:r>
        <w:rPr>
          <w:lang w:val="hr-BA"/>
        </w:rPr>
        <w:t xml:space="preserve">okrivljenom I. P. </w:t>
      </w:r>
      <w:r>
        <w:rPr>
          <w:b/>
          <w:i/>
          <w:lang w:val="hr-BA"/>
        </w:rPr>
        <w:t>izriče NOVČANA KAZNA u iznosu od 1.000,00 KM.</w:t>
      </w:r>
    </w:p>
    <w:p>
      <w:pPr>
        <w:pStyle w:val="Normal"/>
        <w:ind w:firstLine="708"/>
        <w:jc w:val="both"/>
        <w:rPr>
          <w:lang w:val="hr-BA"/>
        </w:rPr>
      </w:pPr>
      <w:r>
        <w:rPr>
          <w:lang w:val="hr-BA"/>
        </w:rPr>
      </w:r>
    </w:p>
    <w:p>
      <w:pPr>
        <w:pStyle w:val="Normal"/>
        <w:jc w:val="center"/>
        <w:rPr>
          <w:b/>
          <w:b/>
          <w:spacing w:val="162"/>
          <w:lang w:val="hr-BA"/>
        </w:rPr>
      </w:pPr>
      <w:r>
        <w:rPr>
          <w:b/>
          <w:spacing w:val="162"/>
          <w:lang w:val="hr-BA"/>
        </w:rPr>
        <w:t xml:space="preserve">  </w:t>
      </w:r>
      <w:r>
        <w:rPr>
          <w:b/>
          <w:spacing w:val="162"/>
          <w:lang w:val="hr-BA"/>
        </w:rPr>
        <w:t>Obrazloženje</w:t>
      </w:r>
    </w:p>
    <w:p>
      <w:pPr>
        <w:pStyle w:val="Normal"/>
        <w:jc w:val="center"/>
        <w:rPr>
          <w:b/>
          <w:b/>
          <w:spacing w:val="162"/>
          <w:lang w:val="hr-BA"/>
        </w:rPr>
      </w:pPr>
      <w:r>
        <w:rPr>
          <w:b/>
          <w:spacing w:val="162"/>
          <w:lang w:val="hr-BA"/>
        </w:rPr>
      </w:r>
    </w:p>
    <w:p>
      <w:pPr>
        <w:pStyle w:val="Normal"/>
        <w:jc w:val="center"/>
        <w:rPr>
          <w:b/>
          <w:b/>
          <w:spacing w:val="162"/>
          <w:lang w:val="hr-BA"/>
        </w:rPr>
      </w:pPr>
      <w:r>
        <w:rPr>
          <w:b/>
          <w:spacing w:val="162"/>
          <w:lang w:val="hr-BA"/>
        </w:rPr>
      </w:r>
    </w:p>
    <w:p>
      <w:pPr>
        <w:pStyle w:val="Normal"/>
        <w:jc w:val="both"/>
        <w:rPr/>
      </w:pPr>
      <w:r>
        <w:rPr>
          <w:lang w:val="hr-BA"/>
        </w:rPr>
        <w:tab/>
        <w:t xml:space="preserve">Rješenjem Općinskog suda u Širokom Brijegu broj: 64 0 Pr 051469 19 Pr od 21.10.2020. godine (u daljnjem tekstu: prvostupanjsko rješenje), oglašen je odgovornim okrivljeni I. P. (u daljnjem tekstu: okrivljenik), zbog prekršaja iz članka </w:t>
      </w:r>
      <w:r>
        <w:rPr/>
        <w:t>33 Zakona o fiskalnim sustavima, te mu je izrečena novčana kazna u iznosu od 100,00 KM</w:t>
      </w:r>
      <w:r>
        <w:rPr>
          <w:lang w:val="hr-BA"/>
        </w:rPr>
        <w:t>, uz obvezu plaćanja troškova prekršajnog postupka u paušalnom iznosu od 20,00 KM.</w:t>
      </w:r>
    </w:p>
    <w:p>
      <w:pPr>
        <w:pStyle w:val="Normal"/>
        <w:jc w:val="both"/>
        <w:rPr>
          <w:lang w:val="hr-BA"/>
        </w:rPr>
      </w:pPr>
      <w:r>
        <w:rPr>
          <w:lang w:val="hr-BA"/>
        </w:rPr>
      </w:r>
    </w:p>
    <w:p>
      <w:pPr>
        <w:pStyle w:val="Normal"/>
        <w:jc w:val="both"/>
        <w:rPr>
          <w:lang w:val="hr-BA"/>
        </w:rPr>
      </w:pPr>
      <w:r>
        <w:rPr>
          <w:lang w:val="hr-BA"/>
        </w:rPr>
        <w:tab/>
        <w:t xml:space="preserve">Na prvostupanjsko rješenje, žalbu je izjavilo mjerodavno tijelo Financijska </w:t>
      </w:r>
      <w:r>
        <w:rPr/>
        <w:t xml:space="preserve">uprava za inspekcijske poslove, Sarajevo </w:t>
      </w:r>
      <w:r>
        <w:rPr>
          <w:lang w:val="hr-BA"/>
        </w:rPr>
        <w:t xml:space="preserve">(u daljnjem tekstu: mjerodavno tijelo), zbog povrede odredbi Zakona o </w:t>
      </w:r>
      <w:r>
        <w:rPr>
          <w:lang w:val="hr-BA" w:eastAsia="hr-BA"/>
        </w:rPr>
        <w:t xml:space="preserve">prekršajima </w:t>
      </w:r>
      <w:r>
        <w:rPr>
          <w:lang w:val="hr-BA"/>
        </w:rPr>
        <w:t>Federacije Bosne i Hercegovine</w:t>
      </w:r>
      <w:r>
        <w:rPr>
          <w:rStyle w:val="Sidrofusnote"/>
          <w:lang w:val="hr-BA" w:eastAsia="hr-BA"/>
        </w:rPr>
        <w:footnoteReference w:id="3"/>
      </w:r>
      <w:r>
        <w:rPr>
          <w:rStyle w:val="FootnoteCharacters"/>
          <w:lang w:val="hr-BA" w:eastAsia="hr-BA"/>
        </w:rPr>
        <w:t xml:space="preserve"> </w:t>
      </w:r>
      <w:r>
        <w:rPr>
          <w:lang w:val="hr-BA" w:eastAsia="hr-BA"/>
        </w:rPr>
        <w:t xml:space="preserve">(u daljnjem tekstu: Zakon o prekršajima), konkretno zbog odluke o prekršajnoj sankciji, </w:t>
      </w:r>
      <w:r>
        <w:rPr>
          <w:lang w:val="hr-BA"/>
        </w:rPr>
        <w:t>predlažući da se okrivljeniku izrekne stroža novčana kazna, cijeneći da se izrečenom novčanom kaznom ne može ostvariti svrha kažnjavanja.</w:t>
      </w:r>
    </w:p>
    <w:p>
      <w:pPr>
        <w:pStyle w:val="Normal"/>
        <w:jc w:val="both"/>
        <w:rPr>
          <w:lang w:val="hr-BA"/>
        </w:rPr>
      </w:pPr>
      <w:r>
        <w:rPr>
          <w:lang w:val="hr-BA"/>
        </w:rPr>
      </w:r>
    </w:p>
    <w:p>
      <w:pPr>
        <w:pStyle w:val="Normal"/>
        <w:ind w:firstLine="708"/>
        <w:jc w:val="both"/>
        <w:rPr>
          <w:lang w:val="hr-BA"/>
        </w:rPr>
      </w:pPr>
      <w:r>
        <w:rPr>
          <w:lang w:val="hr-BA"/>
        </w:rPr>
        <w:t xml:space="preserve">Okrivljenik nije podnio odgovor na žalbu. </w:t>
      </w:r>
    </w:p>
    <w:p>
      <w:pPr>
        <w:pStyle w:val="Normal"/>
        <w:jc w:val="both"/>
        <w:rPr>
          <w:lang w:val="hr-BA"/>
        </w:rPr>
      </w:pPr>
      <w:r>
        <w:rPr>
          <w:lang w:val="hr-BA"/>
        </w:rPr>
      </w:r>
    </w:p>
    <w:p>
      <w:pPr>
        <w:pStyle w:val="Normal"/>
        <w:ind w:firstLine="708"/>
        <w:jc w:val="both"/>
        <w:rPr>
          <w:lang w:val="hr-BA"/>
        </w:rPr>
      </w:pPr>
      <w:r>
        <w:rPr>
          <w:lang w:val="hr-BA"/>
        </w:rPr>
        <w:t>Žalba je utemeljena.</w:t>
      </w:r>
    </w:p>
    <w:p>
      <w:pPr>
        <w:pStyle w:val="Normal"/>
        <w:jc w:val="both"/>
        <w:rPr>
          <w:lang w:val="hr-BA"/>
        </w:rPr>
      </w:pPr>
      <w:r>
        <w:rPr>
          <w:lang w:val="hr-BA"/>
        </w:rPr>
      </w:r>
    </w:p>
    <w:p>
      <w:pPr>
        <w:pStyle w:val="Normal"/>
        <w:jc w:val="both"/>
        <w:rPr>
          <w:iCs/>
          <w:lang w:val="hr-BA"/>
        </w:rPr>
      </w:pPr>
      <w:r>
        <w:rPr>
          <w:lang w:val="hr-BA"/>
        </w:rPr>
        <w:tab/>
        <w:t>Detaljnije stavove mjerodavnog tijela i okrivljenog, sud će iznijeti u nastavku obrazloženja, međutim, obzirom da je intencija članka 6 stavak 1 Europske konvencije o ljudskim pravima i temeljnim slobodama</w:t>
      </w:r>
      <w:r>
        <w:rPr>
          <w:rStyle w:val="Sidrofusnote"/>
          <w:lang w:val="hr-BA"/>
        </w:rPr>
        <w:footnoteReference w:id="4"/>
      </w:r>
      <w:r>
        <w:rPr>
          <w:lang w:val="hr-BA"/>
        </w:rPr>
        <w:t xml:space="preserve"> (između ostalog) i da se ispitaju samo oni izloženi argumenti koje sud smatra relevantnim, a ne svi argumenti koji su izloženi, to je ovaj sud uzeo u obzir sve argumente iz svih izvedenih dokaza, te ih cijenio, a razloge iznosio u odnosu na one argumente i činjenice koji su relevantni i od značaja za odluku u konkretnoj prekršajnoj stvari</w:t>
      </w:r>
      <w:r>
        <w:rPr>
          <w:rStyle w:val="Sidrofusnote"/>
          <w:lang w:val="hr-BA"/>
        </w:rPr>
        <w:footnoteReference w:id="5"/>
      </w:r>
      <w:r>
        <w:rPr>
          <w:iCs/>
          <w:lang w:val="hr-BA"/>
        </w:rPr>
        <w:t>.</w:t>
      </w:r>
    </w:p>
    <w:p>
      <w:pPr>
        <w:pStyle w:val="Normal"/>
        <w:rPr>
          <w:rFonts w:eastAsia="Calibri"/>
          <w:lang w:val="hr-BA"/>
        </w:rPr>
      </w:pPr>
      <w:r>
        <w:rPr>
          <w:rFonts w:eastAsia="Calibri"/>
          <w:lang w:val="hr-BA"/>
        </w:rPr>
      </w:r>
    </w:p>
    <w:p>
      <w:pPr>
        <w:pStyle w:val="Normal"/>
        <w:ind w:firstLine="708"/>
        <w:jc w:val="both"/>
        <w:rPr>
          <w:lang w:val="hr-BA"/>
        </w:rPr>
      </w:pPr>
      <w:r>
        <w:rPr>
          <w:lang w:val="hr-BA"/>
        </w:rPr>
        <w:t xml:space="preserve">S tim u vezi, nakon što je ovaj sud ispitao prvostupanjsko rješenje, u okviru žalbenih navoda, odlučio je kao u izreci iz slijedećih razloga. </w:t>
      </w:r>
    </w:p>
    <w:p>
      <w:pPr>
        <w:pStyle w:val="Normal"/>
        <w:rPr>
          <w:rFonts w:eastAsia="Calibri"/>
          <w:lang w:val="hr-BA"/>
        </w:rPr>
      </w:pPr>
      <w:r>
        <w:rPr>
          <w:rFonts w:eastAsia="Calibri"/>
          <w:lang w:val="hr-BA"/>
        </w:rPr>
      </w:r>
    </w:p>
    <w:p>
      <w:pPr>
        <w:pStyle w:val="Normal"/>
        <w:jc w:val="both"/>
        <w:rPr>
          <w:lang w:val="hr-BA"/>
        </w:rPr>
      </w:pPr>
      <w:r>
        <w:rPr>
          <w:lang w:val="hr-BA"/>
        </w:rPr>
        <w:tab/>
        <w:t xml:space="preserve">Utemeljeno se u žalbi navodi da je prvostupanjski sud dao neopravdano veliki značaj olakotnim okolnostima na strani okrivljenika, dok je istovremeno izgubio iz vida značaj počinjenog prekršaja i njegove moguće dalekosežne posljedice, kako u smislu generalne tako i u smislu specijalne prevencije. </w:t>
      </w:r>
    </w:p>
    <w:p>
      <w:pPr>
        <w:pStyle w:val="Normal"/>
        <w:jc w:val="both"/>
        <w:rPr>
          <w:bCs/>
          <w:lang w:val="hr-BA"/>
        </w:rPr>
      </w:pPr>
      <w:r>
        <w:rPr>
          <w:bCs/>
          <w:lang w:val="hr-BA"/>
        </w:rPr>
      </w:r>
    </w:p>
    <w:p>
      <w:pPr>
        <w:pStyle w:val="Normal"/>
        <w:ind w:firstLine="708"/>
        <w:jc w:val="both"/>
        <w:rPr>
          <w:bCs/>
          <w:lang w:val="hr-BA"/>
        </w:rPr>
      </w:pPr>
      <w:r>
        <w:rPr>
          <w:bCs/>
          <w:lang w:val="hr-BA"/>
        </w:rPr>
        <w:t>Naime, iskreno priznanje, u konkretnom slučaju, ne može imati takvu snagu, obzirom da o okrivljenikovoj prekršajnoj odgovornosti u spisu postoje snažni i nesporni materijalni dokazi.</w:t>
      </w:r>
    </w:p>
    <w:p>
      <w:pPr>
        <w:pStyle w:val="Normal"/>
        <w:ind w:firstLine="708"/>
        <w:jc w:val="both"/>
        <w:rPr>
          <w:bCs/>
          <w:lang w:val="hr-BA"/>
        </w:rPr>
      </w:pPr>
      <w:r>
        <w:rPr>
          <w:bCs/>
          <w:lang w:val="hr-BA"/>
        </w:rPr>
      </w:r>
    </w:p>
    <w:p>
      <w:pPr>
        <w:pStyle w:val="Normal"/>
        <w:ind w:firstLine="708"/>
        <w:jc w:val="both"/>
        <w:rPr>
          <w:bCs/>
          <w:lang w:val="hr-BA"/>
        </w:rPr>
      </w:pPr>
      <w:r>
        <w:rPr>
          <w:bCs/>
          <w:lang w:val="hr-BA"/>
        </w:rPr>
        <w:t xml:space="preserve">Nadalje, «ukupne imovinske i obiteljske prilike» u konkretnom slučaju, ne mogu imati prevelik značaj, obzirom da su iste postojale i u vrijeme počinjenja prekršaja, što nije imalo odvraćajući učinak na okrivljenika da ne počini predmetni prekršaj. </w:t>
      </w:r>
    </w:p>
    <w:p>
      <w:pPr>
        <w:pStyle w:val="Normal"/>
        <w:jc w:val="both"/>
        <w:rPr>
          <w:bCs/>
          <w:lang w:val="hr-BA"/>
        </w:rPr>
      </w:pPr>
      <w:r>
        <w:rPr>
          <w:bCs/>
          <w:lang w:val="hr-BA"/>
        </w:rPr>
      </w:r>
    </w:p>
    <w:p>
      <w:pPr>
        <w:pStyle w:val="Normal"/>
        <w:ind w:firstLine="708"/>
        <w:jc w:val="both"/>
        <w:rPr>
          <w:bCs/>
          <w:lang w:val="hr-BA"/>
        </w:rPr>
      </w:pPr>
      <w:r>
        <w:rPr>
          <w:bCs/>
          <w:lang w:val="hr-BA"/>
        </w:rPr>
        <w:t>Kada je riječ o okolnostima koje su prethodile počinjenju prekršaja, prvostupanjski sud ih nije precizirao, međutim, sagledavši obranu okrivljenika, ovaj sud ne nalazi da bi se moglo raditi o okolnostima tako velikog značaja da bi bilo svrsishodno izreći novčanu kaznu znatno ispod zakonom propisanog minimuma.</w:t>
      </w:r>
    </w:p>
    <w:p>
      <w:pPr>
        <w:pStyle w:val="Normal"/>
        <w:jc w:val="both"/>
        <w:rPr>
          <w:bCs/>
          <w:lang w:val="hr-BA"/>
        </w:rPr>
      </w:pPr>
      <w:r>
        <w:rPr>
          <w:bCs/>
          <w:lang w:val="hr-BA"/>
        </w:rPr>
      </w:r>
    </w:p>
    <w:p>
      <w:pPr>
        <w:pStyle w:val="Normal"/>
        <w:ind w:firstLine="708"/>
        <w:jc w:val="both"/>
        <w:rPr>
          <w:bCs/>
          <w:lang w:val="hr-BA"/>
        </w:rPr>
      </w:pPr>
      <w:r>
        <w:rPr>
          <w:bCs/>
          <w:lang w:val="hr-BA"/>
        </w:rPr>
        <w:t>Konačno, nekažnjivost okrivljenika za istovrsne prekršaje ne može ni u kom slučaju biti olakotna okolnost, nego se jedino može specijalni recidivitet (ranije kažnjavanje za slične prekršaje) cijeniti kao otegotna okolnost.</w:t>
      </w:r>
    </w:p>
    <w:p>
      <w:pPr>
        <w:pStyle w:val="Normal"/>
        <w:ind w:firstLine="708"/>
        <w:jc w:val="both"/>
        <w:rPr>
          <w:bCs/>
          <w:lang w:val="hr-BA"/>
        </w:rPr>
      </w:pPr>
      <w:r>
        <w:rPr>
          <w:bCs/>
          <w:lang w:val="hr-BA"/>
        </w:rPr>
      </w:r>
    </w:p>
    <w:p>
      <w:pPr>
        <w:pStyle w:val="Normal"/>
        <w:ind w:firstLine="708"/>
        <w:jc w:val="both"/>
        <w:rPr>
          <w:bCs/>
          <w:lang w:val="hr-BA"/>
        </w:rPr>
      </w:pPr>
      <w:r>
        <w:rPr>
          <w:bCs/>
          <w:lang w:val="hr-BA"/>
        </w:rPr>
        <w:t>Kod ovakvog stanja stvari okolnost da «učinjenim prekršajem nisu nastupile teže štetne posljedice», nije moguće cijenti kao olakotnu okolnost tako velikog značaja da bi bilo svrsishodno izreći novčanu kaznu znatno ispod zakonom propisanog minimuma, obzirom da je riječ o ozbiljnom prekršaju, kojim se podriva gospodarska moć društva u cjelini, što je samo po sebi teška štetna posljedica, jer podriva pravnu državu i njenu ekonomsku moć.</w:t>
      </w:r>
    </w:p>
    <w:p>
      <w:pPr>
        <w:pStyle w:val="Normal"/>
        <w:jc w:val="both"/>
        <w:rPr>
          <w:bCs/>
          <w:lang w:val="hr-BA"/>
        </w:rPr>
      </w:pPr>
      <w:r>
        <w:rPr>
          <w:bCs/>
          <w:lang w:val="hr-BA"/>
        </w:rPr>
      </w:r>
    </w:p>
    <w:p>
      <w:pPr>
        <w:pStyle w:val="Normal"/>
        <w:ind w:firstLine="708"/>
        <w:jc w:val="both"/>
        <w:rPr>
          <w:lang w:val="hr-BA"/>
        </w:rPr>
      </w:pPr>
      <w:r>
        <w:rPr>
          <w:bCs/>
          <w:lang w:val="hr-BA"/>
        </w:rPr>
        <w:t xml:space="preserve">Shodno prednjem, pravilnom ocjenom olakotnih okolnosti i izostankom otegotnih okolnosti na strani okrivljenih, sud je zaključio da je okrivljeniku primjereno izreći zakonom propisanu minimalnu novčanu kaznu, kako je to i opisano u izreci, pa je pozivom na odredbu članka </w:t>
      </w:r>
      <w:r>
        <w:rPr>
          <w:lang w:val="hr-BA"/>
        </w:rPr>
        <w:t>89 stavak 1 Zakona o prekršajima, valjalo odlučiti kao u izreci.</w:t>
      </w:r>
    </w:p>
    <w:p>
      <w:pPr>
        <w:pStyle w:val="Normal"/>
        <w:ind w:firstLine="708"/>
        <w:jc w:val="both"/>
        <w:rPr>
          <w:lang w:val="hr-BA"/>
        </w:rPr>
      </w:pPr>
      <w:r>
        <w:rPr>
          <w:lang w:val="hr-BA"/>
        </w:rPr>
      </w:r>
      <w:bookmarkStart w:id="1" w:name="_GoBack"/>
      <w:bookmarkStart w:id="2" w:name="_GoBack"/>
      <w:bookmarkEnd w:id="2"/>
    </w:p>
    <w:p>
      <w:pPr>
        <w:pStyle w:val="Normal"/>
        <w:ind w:firstLine="708"/>
        <w:jc w:val="both"/>
        <w:rPr>
          <w:lang w:val="hr-BA"/>
        </w:rPr>
      </w:pPr>
      <w:r>
        <w:rPr>
          <w:lang w:val="hr-BA"/>
        </w:rPr>
      </w:r>
    </w:p>
    <w:p>
      <w:pPr>
        <w:pStyle w:val="Normal"/>
        <w:jc w:val="both"/>
        <w:rPr>
          <w:lang w:val="hr-BA"/>
        </w:rPr>
      </w:pPr>
      <w:r>
        <w:rPr>
          <w:lang w:val="hr-BA"/>
        </w:rPr>
        <w:t xml:space="preserve"> </w:t>
      </w:r>
    </w:p>
    <w:p>
      <w:pPr>
        <w:pStyle w:val="Normal"/>
        <w:ind w:left="708" w:firstLine="708"/>
        <w:rPr>
          <w:b/>
          <w:b/>
          <w:lang w:val="hr-BA"/>
        </w:rPr>
      </w:pPr>
      <w:r>
        <w:rPr>
          <w:b/>
          <w:lang w:val="hr-BA"/>
        </w:rPr>
        <w:t xml:space="preserve">   </w:t>
      </w:r>
      <w:r>
        <w:rPr>
          <w:b/>
          <w:lang w:val="hr-BA"/>
        </w:rPr>
        <w:tab/>
        <w:tab/>
        <w:tab/>
        <w:tab/>
        <w:tab/>
        <w:tab/>
        <w:t xml:space="preserve">     </w:t>
        <w:tab/>
        <w:t xml:space="preserve">     SUTKINJA </w:t>
      </w:r>
    </w:p>
    <w:p>
      <w:pPr>
        <w:pStyle w:val="Normal"/>
        <w:rPr>
          <w:b/>
          <w:b/>
          <w:lang w:val="hr-BA"/>
        </w:rPr>
      </w:pPr>
      <w:r>
        <w:rPr>
          <w:b/>
          <w:lang w:val="hr-BA"/>
        </w:rPr>
      </w:r>
    </w:p>
    <w:p>
      <w:pPr>
        <w:pStyle w:val="Normal"/>
        <w:ind w:left="4956" w:firstLine="708"/>
        <w:rPr/>
      </w:pPr>
      <w:r>
        <w:rPr>
          <w:b/>
          <w:lang w:val="hr-BA"/>
        </w:rPr>
        <w:t xml:space="preserve">     </w:t>
      </w:r>
      <w:r>
        <w:rPr>
          <w:b/>
          <w:lang w:val="hr-BA"/>
        </w:rPr>
        <w:tab/>
        <w:t xml:space="preserve"> Katica Artuković</w:t>
      </w:r>
    </w:p>
    <w:sectPr>
      <w:footerReference w:type="default" r:id="rId2"/>
      <w:footnotePr>
        <w:numFmt w:val="decimal"/>
      </w:footnotePr>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Times New Roman">
    <w:charset w:val="01"/>
    <w:family w:val="roman"/>
    <w:pitch w:val="default"/>
  </w:font>
  <w:font w:name="Segoe U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odnoje"/>
      <w:rPr/>
    </w:pPr>
    <w:r>
      <w:rPr/>
      <mc:AlternateContent>
        <mc:Choice Requires="wps">
          <w:drawing>
            <wp:anchor behindDoc="1" distT="0" distB="0" distL="0" distR="0" simplePos="0" locked="0" layoutInCell="1" allowOverlap="1" relativeHeight="3" wp14:anchorId="4354CFB3">
              <wp:simplePos x="0" y="0"/>
              <wp:positionH relativeFrom="rightMargin">
                <wp:align>center</wp:align>
              </wp:positionH>
              <wp:positionV relativeFrom="paragraph">
                <wp:align>center</wp:align>
              </wp:positionV>
              <wp:extent cx="567055" cy="193040"/>
              <wp:effectExtent l="0" t="0" r="0" b="0"/>
              <wp:wrapNone/>
              <wp:docPr id="1" name="Pravokutnik 1"/>
              <a:graphic xmlns:a="http://schemas.openxmlformats.org/drawingml/2006/main">
                <a:graphicData uri="http://schemas.microsoft.com/office/word/2010/wordprocessingShape">
                  <wps:wsp>
                    <wps:cNvSpPr/>
                    <wps:spPr>
                      <a:xfrm flipH="1" rot="10800000">
                        <a:off x="0" y="0"/>
                        <a:ext cx="566280" cy="192240"/>
                      </a:xfrm>
                      <a:prstGeom prst="rect">
                        <a:avLst/>
                      </a:prstGeom>
                      <a:noFill/>
                      <a:ln>
                        <a:noFill/>
                      </a:ln>
                    </wps:spPr>
                    <wps:style>
                      <a:lnRef idx="0"/>
                      <a:fillRef idx="0"/>
                      <a:effectRef idx="0"/>
                      <a:fontRef idx="minor"/>
                    </wps:style>
                    <wps:txbx>
                      <w:txbxContent>
                        <w:sdt>
                          <w:sdtPr>
                            <w:docPartObj>
                              <w:docPartGallery w:val="Page Numbers (Bottom of Page)"/>
                              <w:docPartUnique w:val="true"/>
                            </w:docPartObj>
                            <w:id w:val="1933213543"/>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2</w:t>
                              </w:r>
                              <w:r>
                                <w:rPr/>
                                <w:fldChar w:fldCharType="end"/>
                              </w:r>
                            </w:p>
                          </w:sdtContent>
                        </w:sdt>
                      </w:txbxContent>
                    </wps:txbx>
                    <wps:bodyPr tIns="0" bIns="0">
                      <a:noAutofit/>
                    </wps:bodyPr>
                  </wps:wsp>
                </a:graphicData>
              </a:graphic>
            </wp:anchor>
          </w:drawing>
        </mc:Choice>
        <mc:Fallback>
          <w:pict>
            <v:rect id="shape_0" ID="Pravokutnik 1" stroked="f" style="position:absolute;margin-left:13.7pt;margin-top:-0.7pt;width:44.55pt;height:15.1pt;flip:x;rotation:180;mso-position-horizontal:center;mso-position-horizontal-relative:page;mso-position-vertical:center" wp14:anchorId="4354CFB3">
              <w10:wrap type="square"/>
              <v:fill o:detectmouseclick="t" on="false"/>
              <v:stroke color="#3465a4" joinstyle="round" endcap="flat"/>
              <v:textbox>
                <w:txbxContent>
                  <w:sdt>
                    <w:sdtPr>
                      <w:docPartObj>
                        <w:docPartGallery w:val="Page Numbers (Bottom of Page)"/>
                        <w:docPartUnique w:val="true"/>
                      </w:docPartObj>
                      <w:id w:val="2026681781"/>
                    </w:sdtPr>
                    <w:sdtContent>
                      <w:p>
                        <w:pPr>
                          <w:pStyle w:val="Sadrajokvira"/>
                          <w:pBdr>
                            <w:top w:val="single" w:sz="4" w:space="1" w:color="7F7F7F"/>
                          </w:pBdr>
                          <w:jc w:val="center"/>
                          <w:rPr>
                            <w:color w:val="000000"/>
                          </w:rPr>
                        </w:pPr>
                        <w:r>
                          <w:rPr>
                            <w:color w:val="000000"/>
                          </w:rPr>
                          <w:fldChar w:fldCharType="begin"/>
                        </w:r>
                        <w:r>
                          <w:rPr/>
                          <w:instrText> PAGE </w:instrText>
                        </w:r>
                        <w:r>
                          <w:rPr/>
                          <w:fldChar w:fldCharType="separate"/>
                        </w:r>
                        <w:r>
                          <w:rPr/>
                          <w:t>2</w:t>
                        </w:r>
                        <w:r>
                          <w:rPr/>
                          <w:fldChar w:fldCharType="end"/>
                        </w:r>
                      </w:p>
                    </w:sdtContent>
                  </w:sdt>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usnota"/>
        <w:rPr/>
      </w:pPr>
      <w:r>
        <w:rPr>
          <w:rStyle w:val="Znakovifusnota"/>
        </w:rPr>
        <w:footnoteRef/>
      </w:r>
      <w:r>
        <w:rPr/>
        <w:t xml:space="preserve"> </w:t>
      </w:r>
      <w:r>
        <w:rPr/>
        <w:t>Službene novine Federacije Bosne i Hercegovine broj: 81/09.</w:t>
      </w:r>
    </w:p>
  </w:footnote>
  <w:footnote w:id="3">
    <w:p>
      <w:pPr>
        <w:pStyle w:val="Fusnota"/>
        <w:rPr/>
      </w:pPr>
      <w:r>
        <w:rPr>
          <w:rStyle w:val="Znakovifusnota"/>
        </w:rPr>
        <w:footnoteRef/>
      </w:r>
      <w:r>
        <w:rPr>
          <w:lang w:val="hr-BA"/>
        </w:rPr>
        <w:t xml:space="preserve"> </w:t>
      </w:r>
      <w:r>
        <w:rPr>
          <w:lang w:val="hr-BA"/>
        </w:rPr>
        <w:t>Službene novine Federacije BiH broj: 63/14.</w:t>
      </w:r>
    </w:p>
  </w:footnote>
  <w:footnote w:id="4">
    <w:p>
      <w:pPr>
        <w:pStyle w:val="Fusnota"/>
        <w:rPr/>
      </w:pPr>
      <w:r>
        <w:rPr>
          <w:rStyle w:val="Znakovifusnota"/>
        </w:rPr>
        <w:footnoteRef/>
      </w:r>
      <w:r>
        <w:rPr>
          <w:lang w:val="hr-BA"/>
        </w:rPr>
        <w:t xml:space="preserve"> </w:t>
      </w:r>
      <w:r>
        <w:rPr>
          <w:lang w:val="hr-BA"/>
        </w:rPr>
        <w:t>Objavljena u Službenom glasniku BiH broj: 6/99.</w:t>
      </w:r>
    </w:p>
  </w:footnote>
  <w:footnote w:id="5">
    <w:p>
      <w:pPr>
        <w:pStyle w:val="Fusnota"/>
        <w:rPr/>
      </w:pPr>
      <w:r>
        <w:rPr>
          <w:rStyle w:val="Znakovifusnota"/>
        </w:rPr>
        <w:footnoteRef/>
      </w:r>
      <w:r>
        <w:rPr>
          <w:lang w:val="hr-BA"/>
        </w:rPr>
        <w:t xml:space="preserve"> </w:t>
      </w:r>
      <w:r>
        <w:rPr>
          <w:lang w:val="hr-BA"/>
        </w:rPr>
        <w:t>Vidjeti više u Odluci o dopustivosti i meritumu Ustavnog suda Bosne i Hercegovine broj AP 2752/16 od 17.01.2018. godine i Presudi Vrhovnog suda Federacije Bosne i Hercegovine b</w:t>
      </w:r>
      <w:r>
        <w:rPr>
          <w:bCs/>
          <w:iCs/>
          <w:lang w:val="hr-BA"/>
        </w:rPr>
        <w:t xml:space="preserve">roj: </w:t>
      </w:r>
      <w:r>
        <w:rPr>
          <w:lang w:val="hr-BA"/>
        </w:rPr>
        <w:t>02 0 K 000403 12 Kžk</w:t>
      </w:r>
      <w:r>
        <w:rPr>
          <w:bCs/>
          <w:iCs/>
          <w:lang w:val="hr-BA"/>
        </w:rPr>
        <w:t xml:space="preserve"> od </w:t>
      </w:r>
      <w:r>
        <w:rPr>
          <w:iCs/>
          <w:lang w:val="hr-BA"/>
        </w:rPr>
        <w:t>08.03.2012. godine.</w:t>
      </w:r>
    </w:p>
  </w:footnote>
</w:footnotes>
</file>

<file path=word/settings.xml><?xml version="1.0" encoding="utf-8"?>
<w:settings xmlns:w="http://schemas.openxmlformats.org/wordprocessingml/2006/main">
  <w:zoom w:percent="14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hr-BA"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hr-B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f1bc4"/>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TekstfusnoteChar" w:customStyle="1">
    <w:name w:val="Tekst fusnote Char"/>
    <w:basedOn w:val="DefaultParagraphFont"/>
    <w:link w:val="Tekstfusnote"/>
    <w:uiPriority w:val="99"/>
    <w:qFormat/>
    <w:rsid w:val="005f1bc4"/>
    <w:rPr>
      <w:rFonts w:ascii="Times New Roman" w:hAnsi="Times New Roman" w:eastAsia="Calibri" w:cs="Times New Roman"/>
      <w:sz w:val="20"/>
      <w:szCs w:val="20"/>
      <w:lang w:val="en-US"/>
    </w:rPr>
  </w:style>
  <w:style w:type="character" w:styleId="Sidrofusnote">
    <w:name w:val="Sidro fusnote"/>
    <w:rPr>
      <w:vertAlign w:val="superscript"/>
    </w:rPr>
  </w:style>
  <w:style w:type="character" w:styleId="FootnoteCharacters">
    <w:name w:val="Footnote Characters"/>
    <w:basedOn w:val="DefaultParagraphFont"/>
    <w:uiPriority w:val="99"/>
    <w:unhideWhenUsed/>
    <w:qFormat/>
    <w:rsid w:val="005f1bc4"/>
    <w:rPr>
      <w:vertAlign w:val="superscript"/>
    </w:rPr>
  </w:style>
  <w:style w:type="character" w:styleId="ZaglavljeChar" w:customStyle="1">
    <w:name w:val="Zaglavlje Char"/>
    <w:basedOn w:val="DefaultParagraphFont"/>
    <w:link w:val="Zaglavlje"/>
    <w:uiPriority w:val="99"/>
    <w:qFormat/>
    <w:rsid w:val="00032eb5"/>
    <w:rPr>
      <w:rFonts w:ascii="Times New Roman" w:hAnsi="Times New Roman" w:eastAsia="Times New Roman" w:cs="Times New Roman"/>
      <w:sz w:val="24"/>
      <w:szCs w:val="24"/>
      <w:lang w:val="en-US"/>
    </w:rPr>
  </w:style>
  <w:style w:type="character" w:styleId="PodnojeChar" w:customStyle="1">
    <w:name w:val="Podnožje Char"/>
    <w:basedOn w:val="DefaultParagraphFont"/>
    <w:link w:val="Podnoje"/>
    <w:uiPriority w:val="99"/>
    <w:qFormat/>
    <w:rsid w:val="00032eb5"/>
    <w:rPr>
      <w:rFonts w:ascii="Times New Roman" w:hAnsi="Times New Roman" w:eastAsia="Times New Roman" w:cs="Times New Roman"/>
      <w:sz w:val="24"/>
      <w:szCs w:val="24"/>
      <w:lang w:val="en-US"/>
    </w:rPr>
  </w:style>
  <w:style w:type="character" w:styleId="TekstbaloniaChar" w:customStyle="1">
    <w:name w:val="Tekst balončića Char"/>
    <w:basedOn w:val="DefaultParagraphFont"/>
    <w:link w:val="Tekstbalonia"/>
    <w:uiPriority w:val="99"/>
    <w:semiHidden/>
    <w:qFormat/>
    <w:rsid w:val="00f11645"/>
    <w:rPr>
      <w:rFonts w:ascii="Segoe UI" w:hAnsi="Segoe UI" w:eastAsia="Times New Roman" w:cs="Segoe UI"/>
      <w:sz w:val="18"/>
      <w:szCs w:val="18"/>
      <w:lang w:val="en-US"/>
    </w:rPr>
  </w:style>
  <w:style w:type="character" w:styleId="Znakovifusnota">
    <w:name w:val="Znakovi fusnota"/>
    <w:qFormat/>
    <w:rPr/>
  </w:style>
  <w:style w:type="character" w:styleId="Sidrozavrnebiljeke">
    <w:name w:val="Sidro završne bilješke"/>
    <w:rPr>
      <w:vertAlign w:val="superscript"/>
    </w:rPr>
  </w:style>
  <w:style w:type="character" w:styleId="Znakovizavrnihbiljeki">
    <w:name w:val="Znakovi završnih bilješki"/>
    <w:qFormat/>
    <w:rPr/>
  </w:style>
  <w:style w:type="paragraph" w:styleId="Stilnaslova">
    <w:name w:val="Stil naslova"/>
    <w:basedOn w:val="Normal"/>
    <w:next w:val="Tijeloteksta"/>
    <w:qFormat/>
    <w:pPr>
      <w:keepNext w:val="true"/>
      <w:spacing w:before="240" w:after="120"/>
    </w:pPr>
    <w:rPr>
      <w:rFonts w:ascii="Times New Roman" w:hAnsi="Times New Roman" w:eastAsia="Microsoft YaHei" w:cs="Arial"/>
      <w:sz w:val="28"/>
      <w:szCs w:val="28"/>
    </w:rPr>
  </w:style>
  <w:style w:type="paragraph" w:styleId="Tijeloteksta">
    <w:name w:val="Body Text"/>
    <w:basedOn w:val="Normal"/>
    <w:pPr>
      <w:spacing w:lineRule="auto" w:line="276" w:before="0" w:after="140"/>
    </w:pPr>
    <w:rPr/>
  </w:style>
  <w:style w:type="paragraph" w:styleId="Popis">
    <w:name w:val="List"/>
    <w:basedOn w:val="Tijeloteksta"/>
    <w:pPr/>
    <w:rPr>
      <w:rFonts w:ascii="Times New Roman" w:hAnsi="Times New Roman" w:cs="Arial"/>
    </w:rPr>
  </w:style>
  <w:style w:type="paragraph" w:styleId="Opiselementa">
    <w:name w:val="Caption"/>
    <w:basedOn w:val="Normal"/>
    <w:qFormat/>
    <w:pPr>
      <w:suppressLineNumbers/>
      <w:spacing w:before="120" w:after="120"/>
    </w:pPr>
    <w:rPr>
      <w:rFonts w:ascii="Times New Roman" w:hAnsi="Times New Roman" w:cs="Arial"/>
      <w:i/>
      <w:iCs/>
      <w:sz w:val="24"/>
      <w:szCs w:val="24"/>
    </w:rPr>
  </w:style>
  <w:style w:type="paragraph" w:styleId="Indeks">
    <w:name w:val="Indeks"/>
    <w:basedOn w:val="Normal"/>
    <w:qFormat/>
    <w:pPr>
      <w:suppressLineNumbers/>
    </w:pPr>
    <w:rPr>
      <w:rFonts w:ascii="Times New Roman" w:hAnsi="Times New Roman" w:cs="Arial"/>
    </w:rPr>
  </w:style>
  <w:style w:type="paragraph" w:styleId="Fusnota">
    <w:name w:val="Footnote Text"/>
    <w:basedOn w:val="Normal"/>
    <w:link w:val="TekstfusnoteChar"/>
    <w:uiPriority w:val="99"/>
    <w:unhideWhenUsed/>
    <w:rsid w:val="005f1bc4"/>
    <w:pPr>
      <w:jc w:val="both"/>
    </w:pPr>
    <w:rPr>
      <w:rFonts w:eastAsia="Calibri"/>
      <w:sz w:val="20"/>
      <w:szCs w:val="20"/>
    </w:rPr>
  </w:style>
  <w:style w:type="paragraph" w:styleId="ListParagraph">
    <w:name w:val="List Paragraph"/>
    <w:basedOn w:val="Normal"/>
    <w:uiPriority w:val="34"/>
    <w:qFormat/>
    <w:rsid w:val="005f1bc4"/>
    <w:pPr>
      <w:spacing w:before="0" w:after="0"/>
      <w:ind w:left="720" w:hanging="0"/>
      <w:contextualSpacing/>
      <w:jc w:val="both"/>
    </w:pPr>
    <w:rPr>
      <w:rFonts w:eastAsia="Calibri"/>
      <w:szCs w:val="22"/>
    </w:rPr>
  </w:style>
  <w:style w:type="paragraph" w:styleId="Standard" w:customStyle="1">
    <w:name w:val="Standard"/>
    <w:uiPriority w:val="99"/>
    <w:qFormat/>
    <w:rsid w:val="005f1bc4"/>
    <w:pPr>
      <w:widowControl/>
      <w:suppressAutoHyphens w:val="true"/>
      <w:bidi w:val="0"/>
      <w:spacing w:lineRule="auto" w:line="240" w:before="0" w:after="0"/>
      <w:jc w:val="left"/>
    </w:pPr>
    <w:rPr>
      <w:rFonts w:ascii="Times New Roman" w:hAnsi="Times New Roman" w:eastAsia="游明朝" w:cs="Times New Roman" w:eastAsiaTheme="minorEastAsia"/>
      <w:color w:val="auto"/>
      <w:kern w:val="2"/>
      <w:sz w:val="24"/>
      <w:szCs w:val="24"/>
      <w:lang w:val="hr-BA" w:eastAsia="zh-CN" w:bidi="hi-IN"/>
    </w:rPr>
  </w:style>
  <w:style w:type="paragraph" w:styleId="Zaglavljeipodnoje">
    <w:name w:val="Zaglavlje i podnožje"/>
    <w:basedOn w:val="Normal"/>
    <w:qFormat/>
    <w:pPr/>
    <w:rPr/>
  </w:style>
  <w:style w:type="paragraph" w:styleId="Zaglavlje">
    <w:name w:val="Header"/>
    <w:basedOn w:val="Normal"/>
    <w:link w:val="ZaglavljeChar"/>
    <w:uiPriority w:val="99"/>
    <w:unhideWhenUsed/>
    <w:rsid w:val="00032eb5"/>
    <w:pPr>
      <w:tabs>
        <w:tab w:val="clear" w:pos="708"/>
        <w:tab w:val="center" w:pos="4513" w:leader="none"/>
        <w:tab w:val="right" w:pos="9026" w:leader="none"/>
      </w:tabs>
    </w:pPr>
    <w:rPr/>
  </w:style>
  <w:style w:type="paragraph" w:styleId="Podnoje">
    <w:name w:val="Footer"/>
    <w:basedOn w:val="Normal"/>
    <w:link w:val="PodnojeChar"/>
    <w:uiPriority w:val="99"/>
    <w:unhideWhenUsed/>
    <w:rsid w:val="00032eb5"/>
    <w:pPr>
      <w:tabs>
        <w:tab w:val="clear" w:pos="708"/>
        <w:tab w:val="center" w:pos="4513" w:leader="none"/>
        <w:tab w:val="right" w:pos="9026" w:leader="none"/>
      </w:tabs>
    </w:pPr>
    <w:rPr/>
  </w:style>
  <w:style w:type="paragraph" w:styleId="BalloonText">
    <w:name w:val="Balloon Text"/>
    <w:basedOn w:val="Normal"/>
    <w:link w:val="TekstbaloniaChar"/>
    <w:uiPriority w:val="99"/>
    <w:semiHidden/>
    <w:unhideWhenUsed/>
    <w:qFormat/>
    <w:rsid w:val="00f11645"/>
    <w:pPr/>
    <w:rPr>
      <w:rFonts w:ascii="Segoe UI" w:hAnsi="Segoe UI" w:cs="Segoe UI"/>
      <w:sz w:val="18"/>
      <w:szCs w:val="18"/>
    </w:rPr>
  </w:style>
  <w:style w:type="paragraph" w:styleId="Default" w:customStyle="1">
    <w:name w:val="Default"/>
    <w:qFormat/>
    <w:rsid w:val="007e7888"/>
    <w:pPr>
      <w:widowControl/>
      <w:bidi w:val="0"/>
      <w:spacing w:lineRule="auto" w:line="240" w:before="0" w:after="0"/>
      <w:jc w:val="left"/>
    </w:pPr>
    <w:rPr>
      <w:rFonts w:ascii="Times New Roman" w:hAnsi="Times New Roman" w:eastAsia="Calibri" w:cs="Times New Roman"/>
      <w:color w:val="000000"/>
      <w:kern w:val="0"/>
      <w:sz w:val="24"/>
      <w:szCs w:val="24"/>
      <w:lang w:val="hr-HR" w:eastAsia="hr-HR" w:bidi="ar-SA"/>
    </w:rPr>
  </w:style>
  <w:style w:type="paragraph" w:styleId="Sadrajokvira">
    <w:name w:val="Sadržaj okvira"/>
    <w:basedOn w:val="Normal"/>
    <w:qFormat/>
    <w:pPr/>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FA2F5-A0D0-45E7-A470-8DF1CF0F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Application>LibreOffice/6.3.4.2$Windows_X86_64 LibreOffice_project/60da17e045e08f1793c57c00ba83cdfce946d0aa</Application>
  <Pages>2</Pages>
  <Words>763</Words>
  <Characters>4365</Characters>
  <CharactersWithSpaces>5149</CharactersWithSpaces>
  <Paragraphs>31</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2022-06-27T16:02:00Z</dcterms:created>
  <dc:creator>Katica Artukovic</dc:creator>
  <dc:description/>
  <dc:language>bs-BA</dc:language>
  <cp:lastModifiedBy/>
  <cp:lastPrinted>2022-06-28T07:42:00Z</cp:lastPrinted>
  <dcterms:modified xsi:type="dcterms:W3CDTF">2022-07-13T13:05:52Z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