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lang w:val="hr-BA"/>
        </w:rPr>
      </w:pPr>
      <w:r>
        <w:rPr>
          <w:b/>
          <w:lang w:val="hr-BA"/>
        </w:rPr>
        <w:t>BOSNA I HERCEGOVINA</w:t>
      </w:r>
    </w:p>
    <w:p>
      <w:pPr>
        <w:pStyle w:val="Normal"/>
        <w:rPr>
          <w:b/>
          <w:b/>
          <w:lang w:val="hr-BA"/>
        </w:rPr>
      </w:pPr>
      <w:r>
        <w:rPr>
          <w:b/>
          <w:lang w:val="hr-BA"/>
        </w:rPr>
        <w:t>FEDERACIJA BOSNE I HERCEGOVINE</w:t>
      </w:r>
    </w:p>
    <w:p>
      <w:pPr>
        <w:pStyle w:val="Normal"/>
        <w:rPr>
          <w:b/>
          <w:b/>
          <w:lang w:val="hr-BA"/>
        </w:rPr>
      </w:pPr>
      <w:r>
        <w:rPr>
          <w:b/>
          <w:lang w:val="hr-BA"/>
        </w:rPr>
        <w:t>ŽUPANIJA ZAPADNOHERCEGOVAČKA</w:t>
      </w:r>
    </w:p>
    <w:p>
      <w:pPr>
        <w:pStyle w:val="Normal"/>
        <w:rPr>
          <w:b/>
          <w:b/>
          <w:lang w:val="hr-BA"/>
        </w:rPr>
      </w:pPr>
      <w:r>
        <w:rPr>
          <w:b/>
          <w:lang w:val="hr-BA"/>
        </w:rPr>
        <w:t>ŽUPANIJSKI SUD ŠIROKI BRIJEG</w:t>
      </w:r>
    </w:p>
    <w:p>
      <w:pPr>
        <w:pStyle w:val="Normal"/>
        <w:rPr>
          <w:b/>
          <w:b/>
          <w:lang w:val="hr-BA"/>
        </w:rPr>
      </w:pPr>
      <w:r>
        <w:rPr>
          <w:b/>
          <w:lang w:val="hr-BA"/>
        </w:rPr>
        <w:t xml:space="preserve">Broj: </w:t>
      </w:r>
      <w:bookmarkStart w:id="0" w:name="__DdeLink__289_4278216370"/>
      <w:r>
        <w:rPr>
          <w:b/>
          <w:lang w:val="hr-BA"/>
        </w:rPr>
        <w:t>64 0 Pr 051845 20 Pžp</w:t>
      </w:r>
      <w:bookmarkEnd w:id="0"/>
    </w:p>
    <w:p>
      <w:pPr>
        <w:pStyle w:val="Normal"/>
        <w:rPr>
          <w:b/>
          <w:b/>
          <w:lang w:val="hr-BA"/>
        </w:rPr>
      </w:pPr>
      <w:r>
        <w:rPr>
          <w:b/>
          <w:lang w:val="hr-BA"/>
        </w:rPr>
        <w:t>Široki Brijeg, 23.06.2022. godine</w:t>
      </w:r>
    </w:p>
    <w:p>
      <w:pPr>
        <w:pStyle w:val="Normal"/>
        <w:ind w:firstLine="720"/>
        <w:rPr>
          <w:lang w:val="hr-BA"/>
        </w:rPr>
      </w:pPr>
      <w:r>
        <w:rPr>
          <w:lang w:val="hr-BA"/>
        </w:rPr>
      </w:r>
    </w:p>
    <w:p>
      <w:pPr>
        <w:pStyle w:val="Normal"/>
        <w:ind w:firstLine="720"/>
        <w:jc w:val="both"/>
        <w:rPr>
          <w:lang w:val="hr-BA"/>
        </w:rPr>
      </w:pPr>
      <w:r>
        <w:rPr>
          <w:lang w:val="hr-BA"/>
        </w:rPr>
      </w:r>
    </w:p>
    <w:p>
      <w:pPr>
        <w:pStyle w:val="Standard"/>
        <w:ind w:firstLine="708"/>
        <w:jc w:val="both"/>
        <w:rPr/>
      </w:pPr>
      <w:r>
        <w:rPr/>
        <w:t>Županijski sud Široki Brijeg, postupajući po sutkinji Katici Artuković, kao sucu pojedincu, uz sudjelovanje Slađane Cvitanović kao zapisničarke, u prekršajnom postupku protiv okrivljenog M. Ć., ..., općina P., zastupan po branitelju Mariu Buntiću, odvjetniku iz Posušja, zbog prekršaja iz članka 50 Zakona o sigurnosti prometa na cestama u Županiji Zapadnohercegovačkoj</w:t>
      </w:r>
      <w:r>
        <w:rPr>
          <w:rStyle w:val="Sidrofusnote"/>
        </w:rPr>
        <w:footnoteReference w:id="2"/>
      </w:r>
      <w:r>
        <w:rPr/>
        <w:t xml:space="preserve">, odlučujući o žalbi branitelja okrivljenika, izjavljenoj na Rješenje Općinskog suda u Širokom Brijegu broj: 64 0 Pr 051845 19 Pr od 21.07.2020. godine, donio je dana 23.06.2022. godine </w:t>
      </w:r>
    </w:p>
    <w:p>
      <w:pPr>
        <w:pStyle w:val="Standard"/>
        <w:ind w:firstLine="708"/>
        <w:jc w:val="both"/>
        <w:rPr/>
      </w:pPr>
      <w:r>
        <w:rPr/>
      </w:r>
    </w:p>
    <w:p>
      <w:pPr>
        <w:pStyle w:val="Standard"/>
        <w:ind w:firstLine="708"/>
        <w:jc w:val="both"/>
        <w:rPr/>
      </w:pPr>
      <w:r>
        <w:rPr/>
      </w:r>
    </w:p>
    <w:p>
      <w:pPr>
        <w:pStyle w:val="Standard"/>
        <w:jc w:val="center"/>
        <w:rPr/>
      </w:pPr>
      <w:r>
        <w:rPr>
          <w:b/>
        </w:rPr>
        <w:t>R  J  E  Š  E  N  J  E</w:t>
      </w:r>
    </w:p>
    <w:p>
      <w:pPr>
        <w:pStyle w:val="Normal"/>
        <w:ind w:firstLine="720"/>
        <w:rPr>
          <w:lang w:val="hr-BA"/>
        </w:rPr>
      </w:pPr>
      <w:r>
        <w:rPr>
          <w:lang w:val="hr-BA"/>
        </w:rPr>
      </w:r>
    </w:p>
    <w:p>
      <w:pPr>
        <w:pStyle w:val="Normal"/>
        <w:ind w:firstLine="708"/>
        <w:jc w:val="both"/>
        <w:rPr>
          <w:lang w:val="hr-BA"/>
        </w:rPr>
      </w:pPr>
      <w:r>
        <w:rPr>
          <w:lang w:val="hr-BA"/>
        </w:rPr>
        <w:t>Žalba branitelja okrivljenog Miroslava Ćuka SE ODBIJA a Rješenje Općinskog suda u u Širokom Brijegu broj: 6</w:t>
      </w:r>
      <w:bookmarkStart w:id="1" w:name="__DdeLink__330_3312734519"/>
      <w:r>
        <w:rPr>
          <w:lang w:val="hr-BA"/>
        </w:rPr>
        <w:t>4 0 Pr 051845 19 Pr od 21.07.2020. godine</w:t>
      </w:r>
      <w:bookmarkEnd w:id="1"/>
      <w:r>
        <w:rPr>
          <w:lang w:val="hr-BA"/>
        </w:rPr>
        <w:t xml:space="preserve"> SE POTVRĐUJE.</w:t>
      </w:r>
    </w:p>
    <w:p>
      <w:pPr>
        <w:pStyle w:val="Normal"/>
        <w:ind w:firstLine="708"/>
        <w:jc w:val="both"/>
        <w:rPr>
          <w:lang w:val="hr-BA"/>
        </w:rPr>
      </w:pPr>
      <w:r>
        <w:rPr>
          <w:lang w:val="hr-BA"/>
        </w:rPr>
      </w:r>
    </w:p>
    <w:p>
      <w:pPr>
        <w:pStyle w:val="Normal"/>
        <w:jc w:val="center"/>
        <w:rPr>
          <w:b/>
          <w:b/>
          <w:spacing w:val="162"/>
          <w:lang w:val="hr-BA"/>
        </w:rPr>
      </w:pPr>
      <w:r>
        <w:rPr>
          <w:b/>
          <w:spacing w:val="162"/>
          <w:lang w:val="hr-BA"/>
        </w:rPr>
        <w:t xml:space="preserve"> </w:t>
      </w:r>
      <w:r>
        <w:rPr>
          <w:b/>
          <w:spacing w:val="162"/>
          <w:lang w:val="hr-BA"/>
        </w:rPr>
        <w:t>Obrazloženje</w:t>
      </w:r>
    </w:p>
    <w:p>
      <w:pPr>
        <w:pStyle w:val="Normal"/>
        <w:jc w:val="center"/>
        <w:rPr>
          <w:b/>
          <w:b/>
          <w:spacing w:val="162"/>
          <w:lang w:val="hr-BA"/>
        </w:rPr>
      </w:pPr>
      <w:r>
        <w:rPr>
          <w:b/>
          <w:spacing w:val="162"/>
          <w:lang w:val="hr-BA"/>
        </w:rPr>
      </w:r>
    </w:p>
    <w:p>
      <w:pPr>
        <w:pStyle w:val="Normal"/>
        <w:jc w:val="center"/>
        <w:rPr>
          <w:b/>
          <w:b/>
          <w:spacing w:val="162"/>
          <w:lang w:val="hr-BA"/>
        </w:rPr>
      </w:pPr>
      <w:r>
        <w:rPr>
          <w:b/>
          <w:spacing w:val="162"/>
          <w:lang w:val="hr-BA"/>
        </w:rPr>
      </w:r>
    </w:p>
    <w:p>
      <w:pPr>
        <w:pStyle w:val="Normal"/>
        <w:jc w:val="both"/>
        <w:rPr/>
      </w:pPr>
      <w:r>
        <w:rPr>
          <w:lang w:val="hr-BA"/>
        </w:rPr>
        <w:tab/>
        <w:t>Rješenjem Općinskog suda u Širokom Brijegu broj: 64 0 Pr 051845 19 Pr od 21.07.2020. godine (u daljnjem tekstu: prvostupanjsko rješenje) oglašen je odgovornim okrivljeni M. Ć. (u daljnjem tekstu: okrivljeni), zbog prekršaja iz članka 50 Zakona o sigurnosti prometa na cestama u Županiji Zapadnohercegovačkoj (u daljnjem tekstu: Zakon), kažnjivo na članku 233 stavak 1 točka d) u vezi sa stavkom 3 Zakona, jer je oduzeo prednost prolaza vozila i tako izazvao prometnu nezgodu.</w:t>
      </w:r>
    </w:p>
    <w:p>
      <w:pPr>
        <w:pStyle w:val="Normal"/>
        <w:jc w:val="both"/>
        <w:rPr>
          <w:lang w:val="hr-BA"/>
        </w:rPr>
      </w:pPr>
      <w:r>
        <w:rPr>
          <w:lang w:val="hr-BA"/>
        </w:rPr>
      </w:r>
    </w:p>
    <w:p>
      <w:pPr>
        <w:pStyle w:val="Normal"/>
        <w:ind w:firstLine="708"/>
        <w:jc w:val="both"/>
        <w:rPr>
          <w:lang w:val="hr-BA"/>
        </w:rPr>
      </w:pPr>
      <w:r>
        <w:rPr>
          <w:lang w:val="hr-BA"/>
        </w:rPr>
        <w:t>Prvostupanjskim rješenjem okrivljeni je kažnjen novčanom kaznom u iznosu od 300,00 KM, izrečena mu je zaštitna mjera zabrane upravljanja motornim vozilom „B“ kategorije u trajanju od 1 mjeseca, određen mu je 1 kazneni bod te je obvezan naknaditi troškove prekršajnog postupka u paušalnom iznosu od 20,00 KM.</w:t>
      </w:r>
    </w:p>
    <w:p>
      <w:pPr>
        <w:pStyle w:val="Normal"/>
        <w:ind w:firstLine="708"/>
        <w:rPr>
          <w:lang w:val="hr-BA"/>
        </w:rPr>
      </w:pPr>
      <w:r>
        <w:rPr>
          <w:lang w:val="hr-BA"/>
        </w:rPr>
      </w:r>
    </w:p>
    <w:p>
      <w:pPr>
        <w:pStyle w:val="Normal"/>
        <w:jc w:val="both"/>
        <w:rPr>
          <w:lang w:val="hr-BA"/>
        </w:rPr>
      </w:pPr>
      <w:r>
        <w:rPr>
          <w:lang w:val="hr-BA"/>
        </w:rPr>
        <w:tab/>
        <w:t xml:space="preserve">Na prvostupanjsko rješenje, žalbu je izjavio okrivljeni (putem branitelja Marija Buntića, odvjetnika iz Posušja) zbog povrede odredbi postupka, pogrešno ili nepotpuno utvrđenog činjeničnog stanja i pogrešne primjene materijalnog prava, predlažući ovom sudu ukine prvostupanjsko rješenje te da obustavi prekršajni postupak ili da predmet vrati prvostupanjskom sudu na ponovni postupak i odluku. </w:t>
      </w:r>
    </w:p>
    <w:p>
      <w:pPr>
        <w:pStyle w:val="Normal"/>
        <w:jc w:val="both"/>
        <w:rPr>
          <w:lang w:val="hr-BA"/>
        </w:rPr>
      </w:pPr>
      <w:r>
        <w:rPr>
          <w:lang w:val="hr-BA"/>
        </w:rPr>
      </w:r>
    </w:p>
    <w:p>
      <w:pPr>
        <w:pStyle w:val="Normal"/>
        <w:ind w:firstLine="708"/>
        <w:jc w:val="both"/>
        <w:rPr>
          <w:lang w:val="hr-BA"/>
        </w:rPr>
      </w:pPr>
      <w:r>
        <w:rPr>
          <w:lang w:val="hr-BA"/>
        </w:rPr>
        <w:t>Policijska uprava Posušje (u daljnjem tekstu: mjerodavno tijelo) podnijela je odgovor na žalbu, predlažući da se žalba odbije a prvostupanjsko rješenje potvrdi u cijelosti.</w:t>
      </w:r>
    </w:p>
    <w:p>
      <w:pPr>
        <w:pStyle w:val="Normal"/>
        <w:ind w:firstLine="708"/>
        <w:jc w:val="both"/>
        <w:rPr>
          <w:lang w:val="hr-BA"/>
        </w:rPr>
      </w:pPr>
      <w:r>
        <w:rPr>
          <w:lang w:val="hr-BA"/>
        </w:rPr>
      </w:r>
    </w:p>
    <w:p>
      <w:pPr>
        <w:pStyle w:val="Normal"/>
        <w:ind w:firstLine="708"/>
        <w:jc w:val="both"/>
        <w:rPr>
          <w:lang w:val="hr-BA"/>
        </w:rPr>
      </w:pPr>
      <w:r>
        <w:rPr>
          <w:lang w:val="hr-BA"/>
        </w:rPr>
        <w:t>Žalba nije utemeljena.</w:t>
      </w:r>
    </w:p>
    <w:p>
      <w:pPr>
        <w:pStyle w:val="Normal"/>
        <w:jc w:val="both"/>
        <w:rPr>
          <w:lang w:val="hr-BA"/>
        </w:rPr>
      </w:pPr>
      <w:r>
        <w:rPr>
          <w:lang w:val="hr-BA"/>
        </w:rPr>
      </w:r>
    </w:p>
    <w:p>
      <w:pPr>
        <w:pStyle w:val="Normal"/>
        <w:jc w:val="both"/>
        <w:rPr>
          <w:iCs/>
          <w:lang w:val="hr-BA"/>
        </w:rPr>
      </w:pPr>
      <w:r>
        <w:rPr>
          <w:lang w:val="hr-BA"/>
        </w:rPr>
        <w:tab/>
        <w:t>Detaljnije stavove mjerodavnog tijela i okrivljenog, sud će iznijeti u nastavku obrazloženja, a obzirom da je intencija članka 6 stavak 1 Europske konvencije o ljudskim pravima i temeljnim slobodama</w:t>
      </w:r>
      <w:r>
        <w:rPr>
          <w:rStyle w:val="Sidrofusnote"/>
          <w:lang w:val="hr-BA"/>
        </w:rPr>
        <w:footnoteReference w:id="3"/>
      </w:r>
      <w:r>
        <w:rPr>
          <w:lang w:val="hr-BA"/>
        </w:rPr>
        <w:t xml:space="preserve"> (između ostalog) i da se ispitaju samo oni izloženi argumenti koje sud smatra relevantnim, a ne svi argumenti koji su izloženi, to je ovaj sud uzeo u obzir sve argumente iz svih izvedenih dokaza, te ih cijenio, a razloge iznosio u odnosu na one argumente i činjenice koji su relevantni i od značaja za odluku u konkretnoj prekršajnoj stvari</w:t>
      </w:r>
      <w:r>
        <w:rPr>
          <w:rStyle w:val="Sidrofusnote"/>
          <w:lang w:val="hr-BA"/>
        </w:rPr>
        <w:footnoteReference w:id="4"/>
      </w:r>
      <w:r>
        <w:rPr>
          <w:iCs/>
          <w:lang w:val="hr-BA"/>
        </w:rPr>
        <w:t>.</w:t>
      </w:r>
    </w:p>
    <w:p>
      <w:pPr>
        <w:pStyle w:val="Normal"/>
        <w:rPr>
          <w:rFonts w:eastAsia="Calibri"/>
          <w:lang w:val="hr-BA"/>
        </w:rPr>
      </w:pPr>
      <w:r>
        <w:rPr>
          <w:rFonts w:eastAsia="Calibri"/>
          <w:lang w:val="hr-BA"/>
        </w:rPr>
      </w:r>
    </w:p>
    <w:p>
      <w:pPr>
        <w:pStyle w:val="Normal"/>
        <w:ind w:firstLine="708"/>
        <w:jc w:val="both"/>
        <w:rPr>
          <w:lang w:val="hr-BA"/>
        </w:rPr>
      </w:pPr>
      <w:r>
        <w:rPr>
          <w:lang w:val="hr-BA"/>
        </w:rPr>
        <w:t xml:space="preserve">S tim u vezi, nakon što je ovaj sud ispitao prvostupanjsko rješenje, u okviru žalbenih prigovora, odlučio je kao u izreci iz slijedećih razloga. </w:t>
      </w:r>
    </w:p>
    <w:p>
      <w:pPr>
        <w:pStyle w:val="Normal"/>
        <w:rPr>
          <w:rFonts w:eastAsia="Calibri"/>
          <w:lang w:val="hr-BA"/>
        </w:rPr>
      </w:pPr>
      <w:r>
        <w:rPr>
          <w:rFonts w:eastAsia="Calibri"/>
          <w:lang w:val="hr-BA"/>
        </w:rPr>
      </w:r>
    </w:p>
    <w:p>
      <w:pPr>
        <w:pStyle w:val="Normal"/>
        <w:jc w:val="both"/>
        <w:rPr>
          <w:lang w:val="hr-BA"/>
        </w:rPr>
      </w:pPr>
      <w:r>
        <w:rPr>
          <w:lang w:val="hr-BA"/>
        </w:rPr>
        <w:tab/>
        <w:t xml:space="preserve">Iz stanja spisa, konkretno dokaza obrane Nalaza i mišljenja vještaka prometne struke Halila Čolića te njegovog iskaza pred sudom, od bitnog proizlazi da je </w:t>
      </w:r>
      <w:r>
        <w:rPr>
          <w:b/>
          <w:i/>
          <w:u w:val="single"/>
          <w:lang w:val="hr-BA"/>
        </w:rPr>
        <w:t>okrivljeni u vrijeme uključivanja na kolovoz sa sporednog puta, imao mogućnost da na vrijeme uoči nadolazeći autobus koji se kretao na putu sa prvenstvom prolaza</w:t>
      </w:r>
      <w:r>
        <w:rPr>
          <w:lang w:val="hr-BA"/>
        </w:rPr>
        <w:t xml:space="preserve">. </w:t>
      </w:r>
    </w:p>
    <w:p>
      <w:pPr>
        <w:pStyle w:val="Normal"/>
        <w:jc w:val="both"/>
        <w:rPr>
          <w:lang w:val="hr-BA"/>
        </w:rPr>
      </w:pPr>
      <w:r>
        <w:rPr>
          <w:lang w:val="hr-BA"/>
        </w:rPr>
      </w:r>
    </w:p>
    <w:p>
      <w:pPr>
        <w:pStyle w:val="Normal"/>
        <w:ind w:firstLine="708"/>
        <w:jc w:val="both"/>
        <w:rPr/>
      </w:pPr>
      <w:r>
        <w:rPr>
          <w:lang w:val="hr-BA"/>
        </w:rPr>
        <w:t>Tvrdnja obrane da ga okrivljeni navodno nije vidio (iskaz okrivljenog i suvozača – svjedoka M. B.) uopće nije od značaja za odluku u konkretnoj prekršajnoj stvari, obzirom da uzrok tome može biti slabovidnost vozača i/ili suvozača, umor, nedovoljna koncentracija i dr., dakle sve subjektivne okolnosti na strani vozača, koje ne isključuju njegovu prekršajnu odgovornost.</w:t>
      </w:r>
    </w:p>
    <w:p>
      <w:pPr>
        <w:pStyle w:val="Normal"/>
        <w:jc w:val="both"/>
        <w:rPr>
          <w:lang w:val="hr-BA"/>
        </w:rPr>
      </w:pPr>
      <w:r>
        <w:rPr>
          <w:lang w:val="hr-BA"/>
        </w:rPr>
      </w:r>
    </w:p>
    <w:p>
      <w:pPr>
        <w:pStyle w:val="Normal"/>
        <w:jc w:val="both"/>
        <w:rPr>
          <w:lang w:val="hr-BA"/>
        </w:rPr>
      </w:pPr>
      <w:r>
        <w:rPr>
          <w:lang w:val="hr-BA"/>
        </w:rPr>
        <w:tab/>
        <w:t xml:space="preserve">Dakle, bez obzira o kojoj situaciji se doista radilo, tj. da okrivljenik i suvozač ne govore istinu o tome da li su vidjeli autobus u vrijeme uključivanja na glavnu cestu, ili da ga doista nisu vidjeli iz već navedenih subjektivnih razloga, prekršajna odgovornosti okrivljenika je neupitna, jer je vještak prometne struke nedvojbeno utvrdio (a tome obrana nije prigovorila) da je </w:t>
      </w:r>
      <w:r>
        <w:rPr>
          <w:b/>
          <w:i/>
          <w:u w:val="single"/>
          <w:lang w:val="hr-BA"/>
        </w:rPr>
        <w:t>okrivljeni u vrijeme uključivanja na kolovoz sa sporednog puta, imao mogućnost da na vrijeme uoči nadolazeći autobus koji se kretao na putu sa prvenstvom prolaza</w:t>
      </w:r>
      <w:r>
        <w:rPr>
          <w:lang w:val="hr-BA"/>
        </w:rPr>
        <w:t>, čime je odgovoran za nastanak opisane prometne nezgode, jer započetu radnju uključivanja na glavnu cestu a odmah potom radnju skretanja u lijevo, nije izvršio bez opasnosti za sebe i druge sudionike u prometu (konkretno za suvozača u njegovom vozilu i vozača autobusa), zbog čega se njegove radnje cijene kao prekršaj i to oduzimanje prednosti prolaza vozila i s tim u vezi izazivanje prometne nezgode, kako je to i opisano odredbom članka 50 Zakona u vezi sa člankom 233 stavak 1 točka d) u vezi sa stavkom 3 Zakona.</w:t>
      </w:r>
    </w:p>
    <w:p>
      <w:pPr>
        <w:pStyle w:val="Normal"/>
        <w:jc w:val="both"/>
        <w:rPr>
          <w:lang w:val="hr-BA"/>
        </w:rPr>
      </w:pPr>
      <w:r>
        <w:rPr>
          <w:lang w:val="hr-BA"/>
        </w:rPr>
      </w:r>
    </w:p>
    <w:p>
      <w:pPr>
        <w:pStyle w:val="Normal"/>
        <w:jc w:val="both"/>
        <w:rPr>
          <w:lang w:val="hr-BA"/>
        </w:rPr>
      </w:pPr>
      <w:r>
        <w:rPr>
          <w:lang w:val="hr-BA"/>
        </w:rPr>
        <w:tab/>
        <w:t>Za istaći je i to da je prvostupanjski sud dao iscrpno obrazloženje i ocjenu vjerodostojnosti za svaki dokaz ponaosob a potom cijenio vjerodostojnost dokaza jednih u vezi sa drugima, koje obrazloženje u potpunosti prihvaća i ovaj sud drugog stupnja, shodno čemu je na temelju naprijed navedenog, sukladno odredbama članka 90 Zakona o prekršajima, valjalo odlučiti kao u izreci, tj. odbiti žalbu branitelja okrivljenog i potvrditi prvostupanjsko rješenje, obzirom da, po ocjeni ovog suda, prvostupanjski sud nije počinio povrede na koje ukazuje žalba.</w:t>
      </w:r>
    </w:p>
    <w:p>
      <w:pPr>
        <w:pStyle w:val="Normal"/>
        <w:ind w:firstLine="708"/>
        <w:jc w:val="both"/>
        <w:rPr>
          <w:lang w:val="hr-BA"/>
        </w:rPr>
      </w:pPr>
      <w:r>
        <w:rPr>
          <w:lang w:val="hr-BA"/>
        </w:rPr>
      </w:r>
    </w:p>
    <w:p>
      <w:pPr>
        <w:pStyle w:val="Normal"/>
        <w:jc w:val="both"/>
        <w:rPr>
          <w:lang w:val="hr-BA"/>
        </w:rPr>
      </w:pPr>
      <w:bookmarkStart w:id="2" w:name="_GoBack"/>
      <w:bookmarkEnd w:id="2"/>
      <w:r>
        <w:rPr>
          <w:lang w:val="hr-BA"/>
        </w:rPr>
        <w:t xml:space="preserve"> </w:t>
      </w:r>
    </w:p>
    <w:p>
      <w:pPr>
        <w:pStyle w:val="Normal"/>
        <w:rPr>
          <w:b/>
          <w:b/>
          <w:lang w:val="hr-BA"/>
        </w:rPr>
      </w:pPr>
      <w:r>
        <w:rPr>
          <w:b/>
          <w:lang w:val="hr-BA"/>
        </w:rPr>
        <w:t xml:space="preserve">   </w:t>
      </w:r>
      <w:r>
        <w:rPr>
          <w:b/>
          <w:lang w:val="hr-BA"/>
        </w:rPr>
        <w:tab/>
        <w:tab/>
        <w:tab/>
        <w:tab/>
        <w:tab/>
        <w:tab/>
        <w:tab/>
        <w:t xml:space="preserve">                             SUTKINJA</w:t>
      </w:r>
    </w:p>
    <w:p>
      <w:pPr>
        <w:pStyle w:val="Normal"/>
        <w:rPr>
          <w:b/>
          <w:b/>
          <w:lang w:val="hr-BA"/>
        </w:rPr>
      </w:pPr>
      <w:r>
        <w:rPr>
          <w:b/>
          <w:lang w:val="hr-BA"/>
        </w:rPr>
      </w:r>
    </w:p>
    <w:p>
      <w:pPr>
        <w:pStyle w:val="Normal"/>
        <w:ind w:left="4956" w:firstLine="708"/>
        <w:rPr/>
      </w:pPr>
      <w:r>
        <w:rPr>
          <w:b/>
          <w:lang w:val="hr-BA"/>
        </w:rPr>
        <w:t xml:space="preserve">     </w:t>
      </w:r>
      <w:r>
        <w:rPr>
          <w:b/>
          <w:lang w:val="hr-BA"/>
        </w:rPr>
        <w:tab/>
        <w:t xml:space="preserve">  Katica Artuković</w:t>
      </w:r>
    </w:p>
    <w:sectPr>
      <w:footerReference w:type="default" r:id="rId2"/>
      <w:footnotePr>
        <w:numFmt w:val="decimal"/>
      </w:footnotePr>
      <w:type w:val="nextPage"/>
      <w:pgSz w:w="11906" w:h="16838"/>
      <w:pgMar w:left="1440" w:right="1440" w:header="0" w:top="1440" w:footer="708"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roman"/>
    <w:pitch w:val="default"/>
  </w:font>
  <w:font w:name="Times New Roman">
    <w:charset w:val="01"/>
    <w:family w:val="roman"/>
    <w:pitch w:val="default"/>
  </w:font>
  <w:font w:name="Segoe UI">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odnoje"/>
      <w:rPr/>
    </w:pPr>
    <w:r>
      <w:rPr/>
      <mc:AlternateContent>
        <mc:Choice Requires="wps">
          <w:drawing>
            <wp:anchor behindDoc="1" distT="0" distB="0" distL="0" distR="0" simplePos="0" locked="0" layoutInCell="1" allowOverlap="1" relativeHeight="4">
              <wp:simplePos x="0" y="0"/>
              <wp:positionH relativeFrom="rightMargin">
                <wp:align>center</wp:align>
              </wp:positionH>
              <wp:positionV relativeFrom="paragraph">
                <wp:align>center</wp:align>
              </wp:positionV>
              <wp:extent cx="567055" cy="193040"/>
              <wp:effectExtent l="0" t="0" r="0" b="0"/>
              <wp:wrapNone/>
              <wp:docPr id="1" name="Pravokutnik 1"/>
              <a:graphic xmlns:a="http://schemas.openxmlformats.org/drawingml/2006/main">
                <a:graphicData uri="http://schemas.microsoft.com/office/word/2010/wordprocessingShape">
                  <wps:wsp>
                    <wps:cNvSpPr/>
                    <wps:spPr>
                      <a:xfrm flipH="1" rot="10800000">
                        <a:off x="0" y="0"/>
                        <a:ext cx="566280" cy="192240"/>
                      </a:xfrm>
                      <a:prstGeom prst="rect">
                        <a:avLst/>
                      </a:prstGeom>
                      <a:noFill/>
                      <a:ln>
                        <a:noFill/>
                      </a:ln>
                    </wps:spPr>
                    <wps:style>
                      <a:lnRef idx="0"/>
                      <a:fillRef idx="0"/>
                      <a:effectRef idx="0"/>
                      <a:fontRef idx="minor"/>
                    </wps:style>
                    <wps:txbx>
                      <w:txbxContent>
                        <w:sdt>
                          <w:sdtPr>
                            <w:docPartObj>
                              <w:docPartGallery w:val="Page Numbers (Bottom of Page)"/>
                              <w:docPartUnique w:val="true"/>
                            </w:docPartObj>
                            <w:id w:val="1753184119"/>
                          </w:sdtPr>
                          <w:sdtContent>
                            <w:p>
                              <w:pPr>
                                <w:pStyle w:val="Sadrajokvira"/>
                                <w:pBdr>
                                  <w:top w:val="single" w:sz="4" w:space="1" w:color="7F7F7F"/>
                                </w:pBdr>
                                <w:jc w:val="center"/>
                                <w:rPr>
                                  <w:color w:val="000000"/>
                                </w:rPr>
                              </w:pPr>
                              <w:r>
                                <w:rPr>
                                  <w:color w:val="000000"/>
                                </w:rPr>
                                <w:fldChar w:fldCharType="begin"/>
                              </w:r>
                              <w:r>
                                <w:rPr/>
                                <w:instrText> PAGE </w:instrText>
                              </w:r>
                              <w:r>
                                <w:rPr/>
                                <w:fldChar w:fldCharType="separate"/>
                              </w:r>
                              <w:r>
                                <w:rPr/>
                                <w:t>3</w:t>
                              </w:r>
                              <w:r>
                                <w:rPr/>
                                <w:fldChar w:fldCharType="end"/>
                              </w:r>
                            </w:p>
                          </w:sdtContent>
                        </w:sdt>
                      </w:txbxContent>
                    </wps:txbx>
                    <wps:bodyPr tIns="0" bIns="0">
                      <a:noAutofit/>
                    </wps:bodyPr>
                  </wps:wsp>
                </a:graphicData>
              </a:graphic>
            </wp:anchor>
          </w:drawing>
        </mc:Choice>
        <mc:Fallback>
          <w:pict>
            <v:rect id="shape_0" ID="Pravokutnik 1" stroked="f" style="position:absolute;margin-left:13.7pt;margin-top:-0.7pt;width:44.55pt;height:15.1pt;flip:x;rotation:180;mso-position-horizontal:center;mso-position-horizontal-relative:page;mso-position-vertical:center">
              <w10:wrap type="square"/>
              <v:fill o:detectmouseclick="t" on="false"/>
              <v:stroke color="#3465a4" joinstyle="round" endcap="flat"/>
              <v:textbox>
                <w:txbxContent>
                  <w:sdt>
                    <w:sdtPr>
                      <w:docPartObj>
                        <w:docPartGallery w:val="Page Numbers (Bottom of Page)"/>
                        <w:docPartUnique w:val="true"/>
                      </w:docPartObj>
                      <w:id w:val="1251156347"/>
                    </w:sdtPr>
                    <w:sdtContent>
                      <w:p>
                        <w:pPr>
                          <w:pStyle w:val="Sadrajokvira"/>
                          <w:pBdr>
                            <w:top w:val="single" w:sz="4" w:space="1" w:color="7F7F7F"/>
                          </w:pBdr>
                          <w:jc w:val="center"/>
                          <w:rPr>
                            <w:color w:val="000000"/>
                          </w:rPr>
                        </w:pPr>
                        <w:r>
                          <w:rPr>
                            <w:color w:val="000000"/>
                          </w:rPr>
                          <w:fldChar w:fldCharType="begin"/>
                        </w:r>
                        <w:r>
                          <w:rPr/>
                          <w:instrText> PAGE </w:instrText>
                        </w:r>
                        <w:r>
                          <w:rPr/>
                          <w:fldChar w:fldCharType="separate"/>
                        </w:r>
                        <w:r>
                          <w:rPr/>
                          <w:t>3</w:t>
                        </w:r>
                        <w:r>
                          <w:rPr/>
                          <w:fldChar w:fldCharType="end"/>
                        </w:r>
                      </w:p>
                    </w:sdtContent>
                  </w:sdt>
                </w:txbxContent>
              </v:textbox>
            </v:rect>
          </w:pict>
        </mc:Fallback>
      </mc:AlternateContent>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usnota"/>
        <w:rPr/>
      </w:pPr>
      <w:r>
        <w:rPr>
          <w:rStyle w:val="Znakovifusnota"/>
        </w:rPr>
        <w:footnoteRef/>
      </w:r>
      <w:r>
        <w:rPr/>
        <w:t xml:space="preserve"> </w:t>
      </w:r>
      <w:r>
        <w:rPr/>
        <w:t>Narodne novine Županije Zapadnohercegovačke broj: 17/14, 17/15 i 10/17.</w:t>
      </w:r>
    </w:p>
  </w:footnote>
  <w:footnote w:id="3">
    <w:p>
      <w:pPr>
        <w:pStyle w:val="Fusnota"/>
        <w:rPr/>
      </w:pPr>
      <w:r>
        <w:rPr>
          <w:rStyle w:val="Znakovifusnota"/>
        </w:rPr>
        <w:footnoteRef/>
      </w:r>
      <w:r>
        <w:rPr>
          <w:lang w:val="hr-BA"/>
        </w:rPr>
        <w:t xml:space="preserve"> </w:t>
      </w:r>
      <w:r>
        <w:rPr>
          <w:lang w:val="hr-BA"/>
        </w:rPr>
        <w:t>Objavljena u Službenom glasniku BiH broj: 6/99.</w:t>
      </w:r>
    </w:p>
  </w:footnote>
  <w:footnote w:id="4">
    <w:p>
      <w:pPr>
        <w:pStyle w:val="Fusnota"/>
        <w:rPr/>
      </w:pPr>
      <w:r>
        <w:rPr>
          <w:rStyle w:val="Znakovifusnota"/>
        </w:rPr>
        <w:footnoteRef/>
      </w:r>
      <w:r>
        <w:rPr>
          <w:lang w:val="hr-BA"/>
        </w:rPr>
        <w:t xml:space="preserve"> </w:t>
      </w:r>
      <w:r>
        <w:rPr>
          <w:lang w:val="hr-BA"/>
        </w:rPr>
        <w:t>Vidjeti više u Odluci o dopustivosti i meritumu Ustavnog suda Bosne i Hercegovine broj AP 2752/16 od 17.01.2018. godine i Presudi Vrhovnog suda Federacije Bosne i Hercegovine b</w:t>
      </w:r>
      <w:r>
        <w:rPr>
          <w:bCs/>
          <w:iCs/>
          <w:lang w:val="hr-BA"/>
        </w:rPr>
        <w:t xml:space="preserve">roj: </w:t>
      </w:r>
      <w:r>
        <w:rPr>
          <w:lang w:val="hr-BA"/>
        </w:rPr>
        <w:t>02 0 K 000403 12 Kžk</w:t>
      </w:r>
      <w:r>
        <w:rPr>
          <w:bCs/>
          <w:iCs/>
          <w:lang w:val="hr-BA"/>
        </w:rPr>
        <w:t xml:space="preserve"> od </w:t>
      </w:r>
      <w:r>
        <w:rPr>
          <w:iCs/>
          <w:lang w:val="hr-BA"/>
        </w:rPr>
        <w:t>08.03.2012. godine.</w:t>
      </w:r>
    </w:p>
  </w:footnote>
</w:footnotes>
</file>

<file path=word/settings.xml><?xml version="1.0" encoding="utf-8"?>
<w:settings xmlns:w="http://schemas.openxmlformats.org/wordprocessingml/2006/main">
  <w:zoom w:percent="130"/>
  <w:defaultTabStop w:val="708"/>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hr-B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hr-BA"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a4b14"/>
    <w:pPr>
      <w:widowControl/>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character" w:styleId="DefaultParagraphFont" w:default="1">
    <w:name w:val="Default Paragraph Font"/>
    <w:uiPriority w:val="1"/>
    <w:semiHidden/>
    <w:unhideWhenUsed/>
    <w:qFormat/>
    <w:rPr/>
  </w:style>
  <w:style w:type="character" w:styleId="TekstfusnoteChar" w:customStyle="1">
    <w:name w:val="Tekst fusnote Char"/>
    <w:basedOn w:val="DefaultParagraphFont"/>
    <w:link w:val="Tekstfusnote"/>
    <w:uiPriority w:val="99"/>
    <w:qFormat/>
    <w:rsid w:val="00aa4b14"/>
    <w:rPr>
      <w:rFonts w:ascii="Times New Roman" w:hAnsi="Times New Roman" w:eastAsia="Calibri" w:cs="Times New Roman"/>
      <w:sz w:val="20"/>
      <w:szCs w:val="20"/>
      <w:lang w:val="en-US"/>
    </w:rPr>
  </w:style>
  <w:style w:type="character" w:styleId="Sidrofusnote">
    <w:name w:val="Sidro fusnote"/>
    <w:rPr>
      <w:vertAlign w:val="superscript"/>
    </w:rPr>
  </w:style>
  <w:style w:type="character" w:styleId="FootnoteCharacters">
    <w:name w:val="Footnote Characters"/>
    <w:basedOn w:val="DefaultParagraphFont"/>
    <w:uiPriority w:val="99"/>
    <w:unhideWhenUsed/>
    <w:qFormat/>
    <w:rsid w:val="00aa4b14"/>
    <w:rPr>
      <w:vertAlign w:val="superscript"/>
    </w:rPr>
  </w:style>
  <w:style w:type="character" w:styleId="TekstbaloniaChar" w:customStyle="1">
    <w:name w:val="Tekst balončića Char"/>
    <w:basedOn w:val="DefaultParagraphFont"/>
    <w:link w:val="Tekstbalonia"/>
    <w:uiPriority w:val="99"/>
    <w:semiHidden/>
    <w:qFormat/>
    <w:rsid w:val="0037159e"/>
    <w:rPr>
      <w:rFonts w:ascii="Segoe UI" w:hAnsi="Segoe UI" w:eastAsia="Times New Roman" w:cs="Segoe UI"/>
      <w:sz w:val="18"/>
      <w:szCs w:val="18"/>
      <w:lang w:val="en-US"/>
    </w:rPr>
  </w:style>
  <w:style w:type="character" w:styleId="ZaglavljeChar" w:customStyle="1">
    <w:name w:val="Zaglavlje Char"/>
    <w:basedOn w:val="DefaultParagraphFont"/>
    <w:link w:val="Zaglavlje"/>
    <w:uiPriority w:val="99"/>
    <w:qFormat/>
    <w:rsid w:val="004e0e5e"/>
    <w:rPr>
      <w:rFonts w:ascii="Times New Roman" w:hAnsi="Times New Roman" w:eastAsia="Times New Roman" w:cs="Times New Roman"/>
      <w:sz w:val="24"/>
      <w:szCs w:val="24"/>
      <w:lang w:val="en-US"/>
    </w:rPr>
  </w:style>
  <w:style w:type="character" w:styleId="PodnojeChar" w:customStyle="1">
    <w:name w:val="Podnožje Char"/>
    <w:basedOn w:val="DefaultParagraphFont"/>
    <w:link w:val="Podnoje"/>
    <w:uiPriority w:val="99"/>
    <w:qFormat/>
    <w:rsid w:val="004e0e5e"/>
    <w:rPr>
      <w:rFonts w:ascii="Times New Roman" w:hAnsi="Times New Roman" w:eastAsia="Times New Roman" w:cs="Times New Roman"/>
      <w:sz w:val="24"/>
      <w:szCs w:val="24"/>
      <w:lang w:val="en-US"/>
    </w:rPr>
  </w:style>
  <w:style w:type="character" w:styleId="Znakovifusnota">
    <w:name w:val="Znakovi fusnota"/>
    <w:qFormat/>
    <w:rPr/>
  </w:style>
  <w:style w:type="character" w:styleId="Sidrozavrnebiljeke">
    <w:name w:val="Sidro završne bilješke"/>
    <w:rPr>
      <w:vertAlign w:val="superscript"/>
    </w:rPr>
  </w:style>
  <w:style w:type="character" w:styleId="Znakovizavrnihbiljeki">
    <w:name w:val="Znakovi završnih bilješki"/>
    <w:qFormat/>
    <w:rPr/>
  </w:style>
  <w:style w:type="paragraph" w:styleId="Stilnaslova">
    <w:name w:val="Stil naslova"/>
    <w:basedOn w:val="Normal"/>
    <w:next w:val="Tijeloteksta"/>
    <w:qFormat/>
    <w:pPr>
      <w:keepNext w:val="true"/>
      <w:spacing w:before="240" w:after="120"/>
    </w:pPr>
    <w:rPr>
      <w:rFonts w:ascii="Times New Roman" w:hAnsi="Times New Roman" w:eastAsia="Microsoft YaHei" w:cs="Arial"/>
      <w:sz w:val="28"/>
      <w:szCs w:val="28"/>
    </w:rPr>
  </w:style>
  <w:style w:type="paragraph" w:styleId="Tijeloteksta">
    <w:name w:val="Body Text"/>
    <w:basedOn w:val="Normal"/>
    <w:pPr>
      <w:spacing w:lineRule="auto" w:line="276" w:before="0" w:after="140"/>
    </w:pPr>
    <w:rPr/>
  </w:style>
  <w:style w:type="paragraph" w:styleId="Popis">
    <w:name w:val="List"/>
    <w:basedOn w:val="Tijeloteksta"/>
    <w:pPr/>
    <w:rPr>
      <w:rFonts w:ascii="Times New Roman" w:hAnsi="Times New Roman" w:cs="Arial"/>
    </w:rPr>
  </w:style>
  <w:style w:type="paragraph" w:styleId="Opiselementa">
    <w:name w:val="Caption"/>
    <w:basedOn w:val="Normal"/>
    <w:qFormat/>
    <w:pPr>
      <w:suppressLineNumbers/>
      <w:spacing w:before="120" w:after="120"/>
    </w:pPr>
    <w:rPr>
      <w:rFonts w:ascii="Times New Roman" w:hAnsi="Times New Roman" w:cs="Arial"/>
      <w:i/>
      <w:iCs/>
      <w:sz w:val="24"/>
      <w:szCs w:val="24"/>
    </w:rPr>
  </w:style>
  <w:style w:type="paragraph" w:styleId="Indeks">
    <w:name w:val="Indeks"/>
    <w:basedOn w:val="Normal"/>
    <w:qFormat/>
    <w:pPr>
      <w:suppressLineNumbers/>
    </w:pPr>
    <w:rPr>
      <w:rFonts w:ascii="Times New Roman" w:hAnsi="Times New Roman" w:cs="Arial"/>
    </w:rPr>
  </w:style>
  <w:style w:type="paragraph" w:styleId="Fusnota">
    <w:name w:val="Footnote Text"/>
    <w:basedOn w:val="Normal"/>
    <w:link w:val="TekstfusnoteChar"/>
    <w:uiPriority w:val="99"/>
    <w:unhideWhenUsed/>
    <w:rsid w:val="00aa4b14"/>
    <w:pPr>
      <w:jc w:val="both"/>
    </w:pPr>
    <w:rPr>
      <w:rFonts w:eastAsia="Calibri"/>
      <w:sz w:val="20"/>
      <w:szCs w:val="20"/>
    </w:rPr>
  </w:style>
  <w:style w:type="paragraph" w:styleId="ListParagraph">
    <w:name w:val="List Paragraph"/>
    <w:basedOn w:val="Normal"/>
    <w:uiPriority w:val="34"/>
    <w:qFormat/>
    <w:rsid w:val="00aa4b14"/>
    <w:pPr>
      <w:spacing w:before="0" w:after="0"/>
      <w:ind w:left="720" w:hanging="0"/>
      <w:contextualSpacing/>
      <w:jc w:val="both"/>
    </w:pPr>
    <w:rPr>
      <w:rFonts w:eastAsia="Calibri"/>
      <w:szCs w:val="22"/>
    </w:rPr>
  </w:style>
  <w:style w:type="paragraph" w:styleId="Standard" w:customStyle="1">
    <w:name w:val="Standard"/>
    <w:uiPriority w:val="99"/>
    <w:qFormat/>
    <w:rsid w:val="00aa4b14"/>
    <w:pPr>
      <w:widowControl/>
      <w:suppressAutoHyphens w:val="true"/>
      <w:bidi w:val="0"/>
      <w:spacing w:lineRule="auto" w:line="240" w:before="0" w:after="0"/>
      <w:jc w:val="left"/>
    </w:pPr>
    <w:rPr>
      <w:rFonts w:ascii="Times New Roman" w:hAnsi="Times New Roman" w:eastAsia="" w:cs="Times New Roman" w:eastAsiaTheme="minorEastAsia"/>
      <w:color w:val="auto"/>
      <w:kern w:val="2"/>
      <w:sz w:val="24"/>
      <w:szCs w:val="24"/>
      <w:lang w:val="hr-BA" w:eastAsia="zh-CN" w:bidi="hi-IN"/>
    </w:rPr>
  </w:style>
  <w:style w:type="paragraph" w:styleId="BalloonText">
    <w:name w:val="Balloon Text"/>
    <w:basedOn w:val="Normal"/>
    <w:link w:val="TekstbaloniaChar"/>
    <w:uiPriority w:val="99"/>
    <w:semiHidden/>
    <w:unhideWhenUsed/>
    <w:qFormat/>
    <w:rsid w:val="0037159e"/>
    <w:pPr/>
    <w:rPr>
      <w:rFonts w:ascii="Segoe UI" w:hAnsi="Segoe UI" w:cs="Segoe UI"/>
      <w:sz w:val="18"/>
      <w:szCs w:val="18"/>
    </w:rPr>
  </w:style>
  <w:style w:type="paragraph" w:styleId="Zaglavljeipodnoje">
    <w:name w:val="Zaglavlje i podnožje"/>
    <w:basedOn w:val="Normal"/>
    <w:qFormat/>
    <w:pPr/>
    <w:rPr/>
  </w:style>
  <w:style w:type="paragraph" w:styleId="Zaglavlje">
    <w:name w:val="Header"/>
    <w:basedOn w:val="Normal"/>
    <w:link w:val="ZaglavljeChar"/>
    <w:uiPriority w:val="99"/>
    <w:unhideWhenUsed/>
    <w:rsid w:val="004e0e5e"/>
    <w:pPr>
      <w:tabs>
        <w:tab w:val="clear" w:pos="708"/>
        <w:tab w:val="center" w:pos="4513" w:leader="none"/>
        <w:tab w:val="right" w:pos="9026" w:leader="none"/>
      </w:tabs>
    </w:pPr>
    <w:rPr/>
  </w:style>
  <w:style w:type="paragraph" w:styleId="Podnoje">
    <w:name w:val="Footer"/>
    <w:basedOn w:val="Normal"/>
    <w:link w:val="PodnojeChar"/>
    <w:uiPriority w:val="99"/>
    <w:unhideWhenUsed/>
    <w:rsid w:val="004e0e5e"/>
    <w:pPr>
      <w:tabs>
        <w:tab w:val="clear" w:pos="708"/>
        <w:tab w:val="center" w:pos="4513" w:leader="none"/>
        <w:tab w:val="right" w:pos="9026" w:leader="none"/>
      </w:tabs>
    </w:pPr>
    <w:rPr/>
  </w:style>
  <w:style w:type="paragraph" w:styleId="Sadrajokvira">
    <w:name w:val="Sadržaj okvira"/>
    <w:basedOn w:val="Normal"/>
    <w:qFormat/>
    <w:pPr/>
    <w:rPr/>
  </w:style>
  <w:style w:type="numbering" w:styleId="NoList" w:default="1">
    <w:name w:val="No List"/>
    <w:uiPriority w:val="99"/>
    <w:semiHidden/>
    <w:unhideWhenUsed/>
    <w:qFormat/>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notes" Target="footnot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173</TotalTime>
  <Application>LibreOffice/6.3.4.2$Windows_X86_64 LibreOffice_project/60da17e045e08f1793c57c00ba83cdfce946d0aa</Application>
  <Pages>3</Pages>
  <Words>863</Words>
  <Characters>4792</Characters>
  <CharactersWithSpaces>5698</CharactersWithSpaces>
  <Paragraphs>28</Paragraphs>
  <Company>Pravosudje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2022-05-03T05:31:00Z</dcterms:created>
  <dc:creator>Katica Artukovic</dc:creator>
  <dc:description/>
  <dc:language>bs-BA</dc:language>
  <cp:lastModifiedBy/>
  <cp:lastPrinted>2022-06-23T09:14:00Z</cp:lastPrinted>
  <dcterms:modified xsi:type="dcterms:W3CDTF">2022-07-18T10:13:38Z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Pravosudje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