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BOSNA I HERCEGOVINA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FEDERACIJA BOSNE I HERCEGOVINE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ŽUPANIJA ZAPADNOHERCEGOVAČKA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ŽUPANIJSKI SUD ŠIROKI BRIJEG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 xml:space="preserve">Broj: </w:t>
      </w:r>
      <w:bookmarkStart w:id="0" w:name="__DdeLink__355_687015408"/>
      <w:r>
        <w:rPr>
          <w:b/>
          <w:lang w:val="hr-BA"/>
        </w:rPr>
        <w:t>64 0 Pr 052339 20 Pžp</w:t>
      </w:r>
      <w:bookmarkEnd w:id="0"/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Široki Brijeg, 24.06.2022. godine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jc w:val="both"/>
        <w:rPr>
          <w:lang w:val="hr-BA"/>
        </w:rPr>
      </w:pPr>
      <w:r>
        <w:rPr>
          <w:lang w:val="hr-BA"/>
        </w:rPr>
      </w:r>
    </w:p>
    <w:p>
      <w:pPr>
        <w:pStyle w:val="Standard"/>
        <w:ind w:firstLine="708"/>
        <w:jc w:val="both"/>
        <w:rPr/>
      </w:pPr>
      <w:r>
        <w:rPr/>
        <w:t>Županijski sud Široki Brijeg, u vijeću sastavljenom od sutkinje Katice Artuković kao predsjednice vijeća te sudaca Bosiljke Rudeš i Mile Zeljke kao članova vijeća, uz sudjelovanje Slađane Cvitanović kao zapisničarke, u prekršajnom postupku protiv okrivljene pravne osobe</w:t>
      </w:r>
      <w:r>
        <w:rPr>
          <w:i/>
        </w:rPr>
        <w:t xml:space="preserve"> </w:t>
      </w:r>
      <w:r>
        <w:rPr/>
        <w:t>Autokuća Jelić d.o.o. Široki Brijeg, zastupane po izvršnoj direktorici M. J., te protiv odgovorne osobe u pravnoj osobi Ž. J., zbog prekršaja iz članka 37 Zakona o sprječavanju pranja novca i financiranja terorističkih aktivnosti</w:t>
      </w:r>
      <w:r>
        <w:rPr>
          <w:rStyle w:val="Sidrofusnote"/>
        </w:rPr>
        <w:footnoteReference w:id="2"/>
      </w:r>
      <w:r>
        <w:rPr/>
        <w:t xml:space="preserve"> i prekršaja iz članka 3 stavak 3 Uredbe o uvjetima i načinu plaćanja gotovim novcem</w:t>
      </w:r>
      <w:r>
        <w:rPr>
          <w:rStyle w:val="Sidrofusnote"/>
        </w:rPr>
        <w:footnoteReference w:id="3"/>
      </w:r>
      <w:r>
        <w:rPr/>
        <w:t xml:space="preserve">, odlučujući o žalbi mjerodavnog tijela Financijske policije pri Federalnom Ministarstvu financija, Sarajevo, izjavljenoj na Rješenje Općinskog suda u Širokom Brijegu broj: 64 0 Pr 052339 19 Pr od 27.01.2020. godine, na sjednici vijeća održanoj dana 24.06.2022. godine, donio je </w:t>
      </w:r>
    </w:p>
    <w:p>
      <w:pPr>
        <w:pStyle w:val="Standard"/>
        <w:ind w:firstLine="708"/>
        <w:jc w:val="both"/>
        <w:rPr/>
      </w:pPr>
      <w:r>
        <w:rPr/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Standard"/>
        <w:jc w:val="center"/>
        <w:rPr/>
      </w:pPr>
      <w:r>
        <w:rPr>
          <w:b/>
        </w:rPr>
        <w:t>R  J  E  Š  E  N  J  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b/>
          <w:b/>
          <w:i/>
          <w:i/>
          <w:u w:val="single"/>
          <w:lang w:val="hr-BA"/>
        </w:rPr>
      </w:pPr>
      <w:r>
        <w:rPr>
          <w:lang w:val="hr-BA"/>
        </w:rPr>
        <w:t xml:space="preserve">Žalba mjerodavnog tijela Financijske policije pri Federalnom Ministarstvu financija, Sarajevo, SE UVAŽAVA te se Rješenje Općinskog suda u Širokom Brijegu broj: 64 0 Pr 052339 19 Pr od 27.01.2020. godine PREINAČAVA u dijelu odluke o prekršajnoj sankciji, </w:t>
      </w:r>
      <w:r>
        <w:rPr>
          <w:b/>
          <w:i/>
          <w:u w:val="single"/>
          <w:lang w:val="hr-BA"/>
        </w:rPr>
        <w:t>na način da se umjesto ranije izrečenih uvjetnih osuda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b/>
          <w:b/>
          <w:i/>
          <w:i/>
          <w:lang w:val="hr-BA"/>
        </w:rPr>
      </w:pPr>
      <w:r>
        <w:rPr>
          <w:lang w:val="hr-BA"/>
        </w:rPr>
        <w:t>- okrivljenoj pravnoj osobi Autokuća Jelić d.o.o. Široki Brijeg za prekršaj iz točke 1. Rješenja Općinskog suda u Širokom Brijegu broj: 64 0 Pr 052339 19 Pr od 27.01.2020. godine, utvrđuje novčana kazna u iznosu od 20.000,00 KM, za prekršaj iz točke 2. Rješenja Općinskog suda u Širokom Brijegu broj: 64 0 Pr 052339 19 Pr od 27.01.2020. godine, utvrđuje se novčana kazna u iznosu od 5.000,00 KM, pa se primjenom člana 24 Zakona o prekršajima Federacije Bosne i Hercegovine</w:t>
      </w:r>
      <w:r>
        <w:rPr>
          <w:b/>
          <w:i/>
          <w:lang w:val="hr-BA"/>
        </w:rPr>
        <w:t xml:space="preserve">, </w:t>
      </w:r>
      <w:bookmarkStart w:id="1" w:name="__DdeLink__131_2595461812"/>
      <w:r>
        <w:rPr>
          <w:b/>
          <w:i/>
          <w:lang w:val="hr-BA"/>
        </w:rPr>
        <w:t xml:space="preserve">okrivljenoj pravnoj osobi Autokuća Jelić d.o.o. Široki Brijeg </w:t>
      </w:r>
      <w:bookmarkEnd w:id="1"/>
      <w:r>
        <w:rPr>
          <w:b/>
          <w:i/>
          <w:lang w:val="hr-BA"/>
        </w:rPr>
        <w:t>utvrđuje i izriče JEDINSTVENA NOVČANA KAZNA u iznosu od 25.000,00 KM</w:t>
      </w:r>
    </w:p>
    <w:p>
      <w:pPr>
        <w:pStyle w:val="Normal"/>
        <w:ind w:firstLine="708"/>
        <w:jc w:val="both"/>
        <w:rPr>
          <w:b/>
          <w:b/>
          <w:i/>
          <w:i/>
          <w:lang w:val="hr-BA"/>
        </w:rPr>
      </w:pPr>
      <w:r>
        <w:rPr>
          <w:b/>
          <w:i/>
          <w:lang w:val="hr-BA"/>
        </w:rPr>
      </w:r>
    </w:p>
    <w:p>
      <w:pPr>
        <w:pStyle w:val="Normal"/>
        <w:ind w:firstLine="708"/>
        <w:jc w:val="both"/>
        <w:rPr/>
      </w:pPr>
      <w:r>
        <w:rPr>
          <w:lang w:val="hr-BA"/>
        </w:rPr>
        <w:t xml:space="preserve">- Ž. J. kao okrivljenoj odgovornoj osobi u pravnoj osobi Autokuća Jelić d.o.o. Široki Brijeg, za prekršaj iz točke 1. Rješenja Općinskog suda u Širokom Brijegu broj: 64 0 Pr 052339 19 Pr od 27.01.2020. godine, utvrđuje novčana kazna u iznosu od 5.000,00 KM, za prekršaj iz točke 2. Rješenja Općinskog suda u Širokom Brijegu broj: 64 0 Pr 052339 19 Pr od 27.01.2020. godine, utvrđuje se novčana kazna u iznosu od 1.000,00 KM, pa se primjenom člana 24 Zakona o prekršajima Federacije Bosne i Hercegovine, </w:t>
      </w:r>
      <w:r>
        <w:rPr>
          <w:b/>
          <w:i/>
          <w:lang w:val="hr-BA"/>
        </w:rPr>
        <w:t>Ž. J. kao okrivljenoj odgovornoj osobi u pravnoj osobi Autokuća Jelić d.o.o. Široki Brijeg, utvrđuje i izriče JEDINSTVENA NOVČANA KAZNA u iznosu od 6.000,00 KM.</w:t>
      </w:r>
    </w:p>
    <w:p>
      <w:pPr>
        <w:pStyle w:val="ListParagrap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Novčane kazne se imaju platiti u roku od 8 (osam) dana od dana pravomoćnosti rješenja, u protivnom iste će se izvršiti sukladno odredbama članka 102 do 106 Zakona o prekršajima Federacije Bosne i Hercegovine.</w:t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  <w:t>Obrazloženje</w:t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both"/>
        <w:rPr/>
      </w:pPr>
      <w:r>
        <w:rPr>
          <w:lang w:val="hr-BA"/>
        </w:rPr>
        <w:tab/>
        <w:t>Rješenjem Općinskog suda u Širokom Brijegu broj: 64 0 Pr 052339 19 Pr od 27.01.2020. godine (u daljnjem tekstu: prvostupanjsko rješenje), oglašeni su odgovornima okrivljena pravna osoba Autokuća Jelić d.o.o. Široki Brijeg (u daljnjem tekstu: okrivljena pravna osoba) i Ž. J. kao okrivljena odgovorna osoba u okrivljenoj pravnoj osobi (u daljnjem tekstu: okrivljena odgovorna osoba), zbog prekršaja iz članka 37 Zakona o sprječavanju pranja novca i financiranja terorističkih aktivnosti (u daljnjem tekstu: Zakon) i prekršaja iz članka 3 stavak 3 Uredbe o uvjetima i načinu plaćanja gotovim novcem (u daljnjem tekstu: Uredba), tj. jer su pojedinačnim i povezanim transakcijama od kupaca na blagajni primljene uplate gotovine u iznosu većem od 30.000,00 KM, što je kažnjivo na osnovu članka 83 stav 2 i 3 Zakona, te jer je pojedinačnim i povezanim transakcijama kupcu na blagajni isplaćena gotovina u iznosu većem od 30.000,00 KM, što je kažnjivo na osnovu članka 10 stavak 1 točka c) i stavka 2 Uredbe, za što je okrivljenoj pravnoj osobi utvrđena jedinstvena novčana kazna u iznosu od 25.000,00 KM, te okrivljenoj odgovornoj osobi utvrđena jedinstvena novčana kazna u iznosu od 6.000,00 KM, te je istovremeno određeno da se kazne neće izvršiti ukoliko okrivljena pravna osoba i okrivljena odgovorna osoba u roku od 1 (jedne) godine od pravomoćnosti rješenja ne počine novi prekršaj, uz obvezu plaćanja troškova prekršajnog postupka u paušalnom iznosu od po 20,00 KM.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 xml:space="preserve">Na prvostupanjsko rješenje, žalbu je izjavilo mjerodavno tijelo Financijska policija pri Federalnom Ministarstvu financija, Sarajevo (u daljnjem tekstu: mjerodavno tijelo), zbog povrede odredbi Zakona o </w:t>
      </w:r>
      <w:r>
        <w:rPr>
          <w:lang w:val="hr-BA" w:eastAsia="hr-BA"/>
        </w:rPr>
        <w:t xml:space="preserve">prekršajima </w:t>
      </w:r>
      <w:r>
        <w:rPr>
          <w:lang w:val="hr-BA"/>
        </w:rPr>
        <w:t>Federacije Bosne i Hercegovine</w:t>
      </w:r>
      <w:r>
        <w:rPr>
          <w:rStyle w:val="FootnoteCharacters"/>
          <w:lang w:val="hr-BA" w:eastAsia="hr-BA"/>
        </w:rPr>
        <w:t xml:space="preserve"> </w:t>
      </w:r>
      <w:r>
        <w:rPr>
          <w:rStyle w:val="Sidrofusnote"/>
          <w:lang w:val="hr-BA" w:eastAsia="hr-BA"/>
        </w:rPr>
        <w:footnoteReference w:id="4"/>
      </w:r>
      <w:r>
        <w:rPr>
          <w:rStyle w:val="FootnoteCharacters"/>
          <w:lang w:val="hr-BA" w:eastAsia="hr-BA"/>
        </w:rPr>
        <w:t xml:space="preserve"> </w:t>
      </w:r>
      <w:r>
        <w:rPr>
          <w:lang w:val="hr-BA" w:eastAsia="hr-BA"/>
        </w:rPr>
        <w:t xml:space="preserve">(u daljnjem tekstu: Zakon o prekršajima), konkretno zbog odluke o prekršajnoj sankciji, </w:t>
      </w:r>
      <w:r>
        <w:rPr>
          <w:lang w:val="hr-BA"/>
        </w:rPr>
        <w:t>predlažući da se okrivljenima izreknu primjerene novčane kazne, cijeneći da se izrečenim uvjetnim osudama ne može ostvariti svrha kažnjavanja.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Okrivljenici su podnijeli odgovor na žalbu, predlažući da se žalba odbije kao neosnovana a prvostupanjsko rješenje potvrdi u cijelosti.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Žalba je osnovana.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iCs/>
          <w:lang w:val="hr-BA"/>
        </w:rPr>
      </w:pPr>
      <w:r>
        <w:rPr>
          <w:lang w:val="hr-BA"/>
        </w:rPr>
        <w:tab/>
        <w:t>Detaljnije stavove mjerodavnog tijela i okrivljenih, sud će iznijeti u nastavku obrazloženja, međutim, obzirom da je intencija članka 6 stavak 1 Europske konvencije o ljudskim pravima i temeljnim slobodama</w:t>
      </w:r>
      <w:r>
        <w:rPr>
          <w:rStyle w:val="Sidrofusnote"/>
          <w:lang w:val="hr-BA"/>
        </w:rPr>
        <w:footnoteReference w:id="5"/>
      </w:r>
      <w:r>
        <w:rPr>
          <w:lang w:val="hr-BA"/>
        </w:rPr>
        <w:t xml:space="preserve"> (između ostalog) i da se ispitaju samo oni izloženi argumenti koje sud smatra relevantnim, a ne svi argumenti koji su izloženi, to je ovaj sud uzeo u obzir sve argumen</w:t>
      </w:r>
      <w:bookmarkStart w:id="2" w:name="_GoBack"/>
      <w:bookmarkEnd w:id="2"/>
      <w:r>
        <w:rPr>
          <w:lang w:val="hr-BA"/>
        </w:rPr>
        <w:t>te iz svih izvedenih dokaza, te ih cijenio, a razloge iznosio u odnosu na one argumente i činjenice koji su relevantni i od značaja za odluku u konkretnoj prekršajnoj stvari</w:t>
      </w:r>
      <w:r>
        <w:rPr>
          <w:rStyle w:val="Sidrofusnote"/>
          <w:lang w:val="hr-BA"/>
        </w:rPr>
        <w:footnoteReference w:id="6"/>
      </w:r>
      <w:r>
        <w:rPr>
          <w:iCs/>
          <w:lang w:val="hr-BA"/>
        </w:rPr>
        <w:t>.</w:t>
      </w:r>
    </w:p>
    <w:p>
      <w:pPr>
        <w:pStyle w:val="Normal"/>
        <w:rPr>
          <w:rFonts w:eastAsia="Calibri"/>
          <w:lang w:val="hr-BA"/>
        </w:rPr>
      </w:pPr>
      <w:r>
        <w:rPr>
          <w:rFonts w:eastAsia="Calibri"/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S tim u vezi, nakon što je ovaj sud ispitao prvostupanjsko rješenje, u okviru žalbenih navoda, odlučio je kao u izreci iz slijedećih razloga. </w:t>
      </w:r>
    </w:p>
    <w:p>
      <w:pPr>
        <w:pStyle w:val="Normal"/>
        <w:rPr>
          <w:rFonts w:eastAsia="Calibri"/>
          <w:lang w:val="hr-BA"/>
        </w:rPr>
      </w:pPr>
      <w:r>
        <w:rPr>
          <w:rFonts w:eastAsia="Calibri"/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Utemeljeno se u žalbi navodi da je prvostupanjski sud dao neopravdano veliki značaj olakotnim okolnostima na strani okrivljenih.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Naime, iz stanja spisa proizlazi da je prvostupanjski sud kao olakotnu okolnost na strani okrivljenih cijenio činjenicu da učinjenim prekršajem nisu nastupile teže štetne posljedice, što je i po mišljenu ovog suda precijenjeno, obzirom da je riječ o 2 zasebna pravna posla ukupne vrijednosti 112.000,00 KM, što se, za bosansko – hercegovačko društvo nikako ne može podvesti pod pojam „nisu prouzročene teže posljedice“, u smislu članka 19 Zakona o prekršajima.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 xml:space="preserve">Nadalje, prvostupanjski sud kao olakotnu okolnost na strani okrivljenih nalazi „okolnosti koje su prethodile počinjenju prekršaja“ prihvaćajući obranu okrivljenih da </w:t>
      </w:r>
      <w:r>
        <w:rPr>
          <w:i/>
          <w:lang w:val="hr-BA"/>
        </w:rPr>
        <w:t>„nisu imali namjeru počiniti nikakve prekršaje svjesno, a kamoli nekoga oštetiti ili doprinijeti financiranju ikakvih spornih djelatnosti a kamoli pranje novca i sl.“</w:t>
      </w:r>
      <w:r>
        <w:rPr>
          <w:lang w:val="hr-BA"/>
        </w:rPr>
        <w:t xml:space="preserve">, što je i za ovaj sud neprihvatljivo, obzirom da je riječ o uobičajenom „pravdanju“ okrivljenih što je potpuno suprotno stvarnom nespornom činjeničnom stanju i dokazima u spisu.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bCs/>
          <w:lang w:val="hr-BA"/>
        </w:rPr>
      </w:pPr>
      <w:r>
        <w:rPr>
          <w:lang w:val="hr-BA"/>
        </w:rPr>
        <w:t>Naime, prvostupanjski sud gubi iz vida značaj počinjenih prekršaja i njegove moguće dalekosežne posljedice kako u smislu generalne ali i specijalne prevencije. Tako je nužno imati na umu da je riječ o propisima donesenima s ciljem jačanja učinkovitosti zaštite financijskog sustava od korištenja za pranje novca i financiranja terorizma, globalne pojave koja potkopava međunarodne napore u stvaranju slobodnog i konkurentskog tržišta, te pojave koja sprječava gospodarski razvoj ekonomije Bosne i Hercegovine, koja je u tom pogledu vrlo ranjiva. Upravo ovakve aktivnosti ugrožavaju financijski sektor i stabilnost financijskih institucija te imaju značajne ekonomske i socijalne posljedice, pa zdravi gospodarski razvoj postaje teško ostvariv cilj, jer je jedini interes okrivljenih zaštita vlastite imovine i imovine njima interesnih osoba, shodno čemu obrana okrivljenih ni u kom slučaju ne može predstavljati olakšavajuću okolnost.</w:t>
      </w:r>
    </w:p>
    <w:p>
      <w:pPr>
        <w:pStyle w:val="Normal"/>
        <w:ind w:firstLine="708"/>
        <w:jc w:val="both"/>
        <w:rPr>
          <w:bCs/>
          <w:lang w:val="hr-BA"/>
        </w:rPr>
      </w:pPr>
      <w:r>
        <w:rPr>
          <w:bCs/>
          <w:lang w:val="hr-BA"/>
        </w:rPr>
      </w:r>
    </w:p>
    <w:p>
      <w:pPr>
        <w:pStyle w:val="Normal"/>
        <w:ind w:firstLine="708"/>
        <w:jc w:val="both"/>
        <w:rPr>
          <w:bCs/>
          <w:lang w:val="hr-BA"/>
        </w:rPr>
      </w:pPr>
      <w:r>
        <w:rPr>
          <w:bCs/>
          <w:lang w:val="hr-BA"/>
        </w:rPr>
        <w:t>Nadalje, iskreno kajanje i priznanje, u konkretnom slučaju, ne može imati takvu snagu da se okrivljenicima izreknu uvjetne osude, obzirom da o njihovoj prekršajnoj odgovornosti u spisu postoje snažni nesporni materijalni dokazi.</w:t>
      </w:r>
    </w:p>
    <w:p>
      <w:pPr>
        <w:pStyle w:val="Normal"/>
        <w:ind w:firstLine="708"/>
        <w:jc w:val="both"/>
        <w:rPr>
          <w:bCs/>
          <w:lang w:val="hr-BA"/>
        </w:rPr>
      </w:pPr>
      <w:r>
        <w:rPr>
          <w:bCs/>
          <w:lang w:val="hr-BA"/>
        </w:rPr>
      </w:r>
    </w:p>
    <w:p>
      <w:pPr>
        <w:pStyle w:val="Normal"/>
        <w:ind w:firstLine="708"/>
        <w:jc w:val="both"/>
        <w:rPr>
          <w:bCs/>
          <w:lang w:val="hr-BA"/>
        </w:rPr>
      </w:pPr>
      <w:r>
        <w:rPr>
          <w:bCs/>
          <w:lang w:val="hr-BA"/>
        </w:rPr>
        <w:t>Konačno, nekažnjivost okrivljenih osoba je redovno stanje koje ne zaslužuje posebno priznanje, jer se poštivanje pravnog poretka Bosne i Hercegovine podrazumijeva i svako protivno ponašanje mora biti adekvatno kažnjeno.</w:t>
      </w:r>
    </w:p>
    <w:p>
      <w:pPr>
        <w:pStyle w:val="Normal"/>
        <w:ind w:firstLine="708"/>
        <w:jc w:val="both"/>
        <w:rPr>
          <w:bCs/>
          <w:lang w:val="hr-BA"/>
        </w:rPr>
      </w:pPr>
      <w:r>
        <w:rPr>
          <w:bCs/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bCs/>
          <w:lang w:val="hr-BA"/>
        </w:rPr>
        <w:t xml:space="preserve">Shodno prednjem, pravilnom ocjenom olakotnih okolnosti i izostankom otegotnih okolnosti na strani okrivljenih, sud je zaključio da je okrivljenicima primjereno izreći minimalne novčane kazne, kako je to i opisano u izreci, pa je pozivom na odredbu članka </w:t>
      </w:r>
      <w:r>
        <w:rPr>
          <w:lang w:val="hr-BA"/>
        </w:rPr>
        <w:t>89 stavak 1 Zakona o prekršajima, valjalo odlučiti kao u izreci.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left="708" w:firstLine="708"/>
        <w:rPr>
          <w:b/>
          <w:b/>
          <w:lang w:val="hr-BA"/>
        </w:rPr>
      </w:pPr>
      <w:r>
        <w:rPr>
          <w:b/>
          <w:lang w:val="hr-BA"/>
        </w:rPr>
        <w:t xml:space="preserve">   </w:t>
      </w:r>
      <w:r>
        <w:rPr>
          <w:b/>
          <w:lang w:val="hr-BA"/>
        </w:rPr>
        <w:tab/>
        <w:tab/>
        <w:tab/>
        <w:tab/>
        <w:tab/>
        <w:tab/>
        <w:t xml:space="preserve">     PREDSJEDNICA VIJEĆA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</w:r>
    </w:p>
    <w:p>
      <w:pPr>
        <w:pStyle w:val="Normal"/>
        <w:ind w:left="4956" w:firstLine="708"/>
        <w:rPr/>
      </w:pPr>
      <w:r>
        <w:rPr>
          <w:b/>
          <w:lang w:val="hr-BA"/>
        </w:rPr>
        <w:t xml:space="preserve">     </w:t>
      </w:r>
      <w:r>
        <w:rPr>
          <w:b/>
          <w:lang w:val="hr-BA"/>
        </w:rPr>
        <w:tab/>
        <w:t xml:space="preserve"> Katica Artuković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7690" cy="193675"/>
              <wp:effectExtent l="0" t="0" r="0" b="0"/>
              <wp:wrapNone/>
              <wp:docPr id="1" name="Pravokutnik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rot="10800000">
                        <a:off x="0" y="0"/>
                        <a:ext cx="567000" cy="192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945215674"/>
                          </w:sdtPr>
                          <w:sdtContent>
                            <w:p>
                              <w:pPr>
                                <w:pStyle w:val="Sadrajokvira"/>
                                <w:pBdr>
                                  <w:top w:val="single" w:sz="4" w:space="1" w:color="7F7F7F"/>
                                </w:pBdr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/>
                                <w:instrText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3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avokutnik 1" stroked="f" style="position:absolute;margin-left:13.65pt;margin-top:-0.7pt;width:44.6pt;height:15.15pt;flip:x;rotation:180;mso-position-horizontal:center;mso-position-horizontal-relative:page;mso-position-vertical:center">
              <w10:wrap type="square"/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515787291"/>
                    </w:sdtPr>
                    <w:sdtContent>
                      <w:p>
                        <w:pPr>
                          <w:pStyle w:val="Sadrajokvira"/>
                          <w:pBdr>
                            <w:top w:val="single" w:sz="4" w:space="1" w:color="7F7F7F"/>
                          </w:pBd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fldChar w:fldCharType="begin"/>
                        </w:r>
                        <w:r>
                          <w:rPr/>
                          <w:instrText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3</w:t>
                        </w:r>
                        <w:r>
                          <w:rPr/>
                          <w:fldChar w:fldCharType="end"/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snota"/>
        <w:rPr/>
      </w:pPr>
      <w:r>
        <w:rPr>
          <w:rStyle w:val="Znakovifusnota"/>
        </w:rPr>
        <w:footnoteRef/>
      </w:r>
      <w:r>
        <w:rPr/>
        <w:t xml:space="preserve"> </w:t>
      </w:r>
      <w:r>
        <w:rPr/>
        <w:t>Službeni glasnik Bosne i Hercegovine broj: 47/14 i 46/16.</w:t>
      </w:r>
    </w:p>
  </w:footnote>
  <w:footnote w:id="3">
    <w:p>
      <w:pPr>
        <w:pStyle w:val="Fusnota"/>
        <w:rPr/>
      </w:pPr>
      <w:r>
        <w:rPr>
          <w:rStyle w:val="Znakovifusnota"/>
        </w:rPr>
        <w:footnoteRef/>
      </w:r>
      <w:r>
        <w:rPr/>
        <w:t xml:space="preserve"> </w:t>
      </w:r>
      <w:r>
        <w:rPr/>
        <w:t>Službene novine Federacije Bosne i Hercegovine broj: 72/15 i 82/15.</w:t>
      </w:r>
    </w:p>
  </w:footnote>
  <w:footnote w:id="4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Službene novine Federacije BiH broj: 63/14.</w:t>
      </w:r>
    </w:p>
  </w:footnote>
  <w:footnote w:id="5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Objavljena u Službenom glasniku BiH broj: 6/99.</w:t>
      </w:r>
    </w:p>
  </w:footnote>
  <w:footnote w:id="6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Vidjeti više u Odluci o dopustivosti i meritumu Ustavnog suda Bosne i Hercegovine broj AP 2752/16 od 17.01.2018. godine i Presudi Vrhovnog suda Federacije Bosne i Hercegovine b</w:t>
      </w:r>
      <w:r>
        <w:rPr>
          <w:bCs/>
          <w:iCs/>
          <w:lang w:val="hr-BA"/>
        </w:rPr>
        <w:t xml:space="preserve">roj: </w:t>
      </w:r>
      <w:r>
        <w:rPr>
          <w:lang w:val="hr-BA"/>
        </w:rPr>
        <w:t>02 0 K 000403 12 Kžk</w:t>
      </w:r>
      <w:r>
        <w:rPr>
          <w:bCs/>
          <w:iCs/>
          <w:lang w:val="hr-BA"/>
        </w:rPr>
        <w:t xml:space="preserve"> od </w:t>
      </w:r>
      <w:r>
        <w:rPr>
          <w:iCs/>
          <w:lang w:val="hr-BA"/>
        </w:rPr>
        <w:t>08.03.2012. godine.</w:t>
      </w:r>
    </w:p>
  </w:footnote>
</w:footnotes>
</file>

<file path=word/settings.xml><?xml version="1.0" encoding="utf-8"?>
<w:settings xmlns:w="http://schemas.openxmlformats.org/wordprocessingml/2006/main">
  <w:zoom w:percent="13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B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B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1bc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fusnoteChar" w:customStyle="1">
    <w:name w:val="Tekst fusnote Char"/>
    <w:basedOn w:val="DefaultParagraphFont"/>
    <w:link w:val="Tekstfusnote"/>
    <w:uiPriority w:val="99"/>
    <w:qFormat/>
    <w:rsid w:val="005f1bc4"/>
    <w:rPr>
      <w:rFonts w:ascii="Times New Roman" w:hAnsi="Times New Roman" w:eastAsia="Calibri" w:cs="Times New Roman"/>
      <w:sz w:val="20"/>
      <w:szCs w:val="20"/>
      <w:lang w:val="en-US"/>
    </w:rPr>
  </w:style>
  <w:style w:type="character" w:styleId="Sidrofusnote">
    <w:name w:val="Sidro fusnot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f1bc4"/>
    <w:rPr>
      <w:vertAlign w:val="superscript"/>
    </w:rPr>
  </w:style>
  <w:style w:type="character" w:styleId="ZaglavljeChar" w:customStyle="1">
    <w:name w:val="Zaglavlje Char"/>
    <w:basedOn w:val="DefaultParagraphFont"/>
    <w:link w:val="Zaglavl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f11645"/>
    <w:rPr>
      <w:rFonts w:ascii="Segoe UI" w:hAnsi="Segoe UI" w:eastAsia="Times New Roman" w:cs="Segoe UI"/>
      <w:sz w:val="18"/>
      <w:szCs w:val="18"/>
      <w:lang w:val="en-US"/>
    </w:rPr>
  </w:style>
  <w:style w:type="character" w:styleId="Znakovifusnota">
    <w:name w:val="Znakovi fusnota"/>
    <w:qFormat/>
    <w:rPr/>
  </w:style>
  <w:style w:type="character" w:styleId="Sidrozavrnebiljeke">
    <w:name w:val="Sidro završne bilješke"/>
    <w:rPr>
      <w:vertAlign w:val="superscript"/>
    </w:rPr>
  </w:style>
  <w:style w:type="character" w:styleId="Znakovizavrnihbiljeki">
    <w:name w:val="Znakovi završnih bilješki"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ascii="Times New Roman" w:hAnsi="Times New Roman"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Fusnota">
    <w:name w:val="Footnote Text"/>
    <w:basedOn w:val="Normal"/>
    <w:link w:val="TekstfusnoteChar"/>
    <w:uiPriority w:val="99"/>
    <w:unhideWhenUsed/>
    <w:rsid w:val="005f1bc4"/>
    <w:pPr>
      <w:jc w:val="both"/>
    </w:pPr>
    <w:rPr>
      <w:rFonts w:eastAsia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5f1bc4"/>
    <w:pPr>
      <w:spacing w:before="0" w:after="0"/>
      <w:ind w:left="720" w:hanging="0"/>
      <w:contextualSpacing/>
      <w:jc w:val="both"/>
    </w:pPr>
    <w:rPr>
      <w:rFonts w:eastAsia="Calibri"/>
      <w:szCs w:val="22"/>
    </w:rPr>
  </w:style>
  <w:style w:type="paragraph" w:styleId="Standard" w:customStyle="1">
    <w:name w:val="Standard"/>
    <w:uiPriority w:val="99"/>
    <w:qFormat/>
    <w:rsid w:val="005f1bc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2"/>
      <w:sz w:val="24"/>
      <w:szCs w:val="24"/>
      <w:lang w:val="hr-BA" w:eastAsia="zh-CN" w:bidi="hi-IN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link w:val="Zaglavl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Podnoje">
    <w:name w:val="Footer"/>
    <w:basedOn w:val="Normal"/>
    <w:link w:val="Podno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f11645"/>
    <w:pPr/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7e7888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hr-HR" w:eastAsia="hr-HR" w:bidi="ar-SA"/>
    </w:rPr>
  </w:style>
  <w:style w:type="paragraph" w:styleId="Sadrajokvira">
    <w:name w:val="Sadržaj okvir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B69CE-CFB9-46CE-BA31-092899771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Application>LibreOffice/6.3.4.2$Windows_X86_64 LibreOffice_project/60da17e045e08f1793c57c00ba83cdfce946d0aa</Application>
  <Pages>3</Pages>
  <Words>1341</Words>
  <Characters>7590</Characters>
  <CharactersWithSpaces>8942</CharactersWithSpaces>
  <Paragraphs>35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2022-05-04T08:31:00Z</dcterms:created>
  <dc:creator>Katica Artukovic</dc:creator>
  <dc:description/>
  <dc:language>bs-BA</dc:language>
  <cp:lastModifiedBy/>
  <cp:lastPrinted>2022-06-24T10:25:00Z</cp:lastPrinted>
  <dcterms:modified xsi:type="dcterms:W3CDTF">2022-07-18T12:22:40Z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