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word/theme/theme1.xml" ContentType="application/vnd.openxmlformats-officedocument.theme+xml"/>
</Types>
</file>

<file path=_rels/.rels>&#65279;<?xml version="1.0" encoding="utf-8"?><Relationships xmlns="http://schemas.openxmlformats.org/package/2006/relationships"><Relationship Id="RC8E5910" Type="http://schemas.openxmlformats.org/officeDocument/2006/relationships/officeDocument" Target="/word/document.xml" /><Relationship Id="coreRC8E5910" Type="http://schemas.openxmlformats.org/package/2006/relationships/metadata/core-properties" Target="/docProps/core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xmlns:wpg="http://schemas.microsoft.com/office/word/2010/wordprocessingGroup" xmlns:wpc="http://schemas.microsoft.com/office/word/2010/wordprocessingCanvas" mc:Ignorable="wp14">
  <w:body>
    <w:p>
      <w:pPr>
        <w:jc w:val="center"/>
        <w:rPr>
          <w:b w:val="1"/>
          <w:lang w:val="hr-BA" w:eastAsia="hr-BA"/>
        </w:rPr>
      </w:pPr>
      <w:r>
        <w:rPr>
          <w:b w:val="1"/>
          <w:lang w:val="hr-BA" w:eastAsia="hr-BA"/>
        </w:rPr>
        <w:t>Popis povjerljivih podataka iz članka 11. Zakona o javnim nabavama</w:t>
      </w:r>
    </w:p>
    <w:p>
      <w:pPr>
        <w:jc w:val="center"/>
        <w:rPr>
          <w:b w:val="1"/>
          <w:lang w:val="hr-BA" w:eastAsia="hr-BA"/>
        </w:rPr>
      </w:pPr>
      <w:r>
        <w:rPr>
          <w:b w:val="1"/>
          <w:lang w:val="hr-BA" w:eastAsia="hr-BA"/>
        </w:rPr>
        <w:t>(„Službeni glasnik BiH“ broj 39/14)</w:t>
      </w:r>
    </w:p>
    <w:p>
      <w:pPr>
        <w:rPr>
          <w:lang w:val="hr-BA" w:eastAsia="hr-BA"/>
        </w:rPr>
      </w:pPr>
    </w:p>
    <w:tbl>
      <w:tblPr>
        <w:tblW w:w="9300" w:type="dxa"/>
        <w:tblInd w:w="191" w:type="dxa"/>
        <w:tblBorders>
          <w:top w:val="single" w:sz="4" w:space="0" w:shadow="0" w:frame="0" w:color="000000"/>
          <w:left w:val="single" w:sz="4" w:space="0" w:shadow="0" w:frame="0" w:color="000000"/>
          <w:bottom w:val="single" w:sz="4" w:space="0" w:shadow="0" w:frame="0" w:color="000000"/>
          <w:right w:val="single" w:sz="4" w:space="0" w:shadow="0" w:frame="0" w:color="000000"/>
          <w:insideH w:val="single" w:sz="4" w:space="0" w:shadow="0" w:frame="0" w:color="000000"/>
          <w:insideV w:val="single" w:sz="4" w:space="0" w:shadow="0" w:frame="0" w:color="000000"/>
        </w:tblBorders>
        <w:tblLook w:val="01E0"/>
      </w:tblPr>
      <w:tblGrid/>
      <w:tr>
        <w:trPr>
          <w:trHeight w:hRule="atLeast" w:val="1008"/>
        </w:trPr>
        <w:tc>
          <w:tcPr>
            <w:tcW w:w="2948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>
            <w:pPr>
              <w:jc w:val="center"/>
              <w:rPr>
                <w:lang w:val="hr-BA" w:eastAsia="hr-BA"/>
              </w:rPr>
            </w:pPr>
            <w:r>
              <w:rPr>
                <w:lang w:val="hr-BA" w:eastAsia="hr-BA"/>
              </w:rPr>
              <w:t xml:space="preserve">Podatak koji je  povjerljiv</w:t>
            </w:r>
          </w:p>
        </w:tc>
        <w:tc>
          <w:tcPr>
            <w:tcW w:w="2157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>
            <w:pPr>
              <w:jc w:val="center"/>
              <w:rPr>
                <w:lang w:val="hr-BA" w:eastAsia="hr-BA"/>
              </w:rPr>
            </w:pPr>
            <w:r>
              <w:rPr>
                <w:lang w:val="hr-BA" w:eastAsia="hr-BA"/>
              </w:rPr>
              <w:t>Brojevi stranica s tim podacima, u ponudi</w:t>
            </w:r>
          </w:p>
        </w:tc>
        <w:tc>
          <w:tcPr>
            <w:tcW w:w="2167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>
            <w:pPr>
              <w:jc w:val="center"/>
              <w:rPr>
                <w:lang w:val="hr-BA" w:eastAsia="hr-BA"/>
              </w:rPr>
            </w:pPr>
            <w:r>
              <w:rPr>
                <w:lang w:val="hr-BA" w:eastAsia="hr-BA"/>
              </w:rPr>
              <w:t>Razlozi za povjerljivost tih podataka</w:t>
            </w:r>
          </w:p>
        </w:tc>
        <w:tc>
          <w:tcPr>
            <w:tcW w:w="2028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>
            <w:pPr>
              <w:jc w:val="center"/>
              <w:rPr>
                <w:lang w:val="hr-BA" w:eastAsia="hr-BA"/>
              </w:rPr>
            </w:pPr>
            <w:r>
              <w:rPr>
                <w:lang w:val="hr-BA" w:eastAsia="hr-BA"/>
              </w:rPr>
              <w:t>Vremenski period u kojem će ti podaci biti povjerljivi</w:t>
            </w:r>
          </w:p>
        </w:tc>
      </w:tr>
      <w:tr>
        <w:trPr>
          <w:trHeight w:hRule="atLeast" w:val="850"/>
        </w:trPr>
        <w:tc>
          <w:tcPr>
            <w:tcW w:w="2948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jc w:val="both"/>
              <w:rPr>
                <w:lang w:val="hr-BA" w:eastAsia="hr-BA"/>
              </w:rPr>
            </w:pPr>
          </w:p>
        </w:tc>
        <w:tc>
          <w:tcPr>
            <w:tcW w:w="2157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jc w:val="both"/>
              <w:rPr>
                <w:lang w:val="hr-BA" w:eastAsia="hr-BA"/>
              </w:rPr>
            </w:pPr>
          </w:p>
        </w:tc>
        <w:tc>
          <w:tcPr>
            <w:tcW w:w="2167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jc w:val="both"/>
              <w:rPr>
                <w:lang w:val="hr-BA" w:eastAsia="hr-BA"/>
              </w:rPr>
            </w:pPr>
          </w:p>
        </w:tc>
        <w:tc>
          <w:tcPr>
            <w:tcW w:w="2028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jc w:val="both"/>
              <w:rPr>
                <w:lang w:val="hr-BA" w:eastAsia="hr-BA"/>
              </w:rPr>
            </w:pPr>
          </w:p>
        </w:tc>
      </w:tr>
      <w:tr>
        <w:trPr>
          <w:trHeight w:hRule="atLeast" w:val="850"/>
        </w:trPr>
        <w:tc>
          <w:tcPr>
            <w:tcW w:w="2948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jc w:val="both"/>
              <w:rPr>
                <w:lang w:val="hr-BA" w:eastAsia="hr-BA"/>
              </w:rPr>
            </w:pPr>
          </w:p>
        </w:tc>
        <w:tc>
          <w:tcPr>
            <w:tcW w:w="2157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jc w:val="both"/>
              <w:rPr>
                <w:lang w:val="hr-BA" w:eastAsia="hr-BA"/>
              </w:rPr>
            </w:pPr>
          </w:p>
        </w:tc>
        <w:tc>
          <w:tcPr>
            <w:tcW w:w="2167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jc w:val="both"/>
              <w:rPr>
                <w:lang w:val="hr-BA" w:eastAsia="hr-BA"/>
              </w:rPr>
            </w:pPr>
          </w:p>
        </w:tc>
        <w:tc>
          <w:tcPr>
            <w:tcW w:w="2028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jc w:val="both"/>
              <w:rPr>
                <w:lang w:val="hr-BA" w:eastAsia="hr-BA"/>
              </w:rPr>
            </w:pPr>
          </w:p>
        </w:tc>
      </w:tr>
      <w:tr>
        <w:trPr>
          <w:trHeight w:hRule="atLeast" w:val="850"/>
        </w:trPr>
        <w:tc>
          <w:tcPr>
            <w:tcW w:w="2948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jc w:val="both"/>
              <w:rPr>
                <w:lang w:val="hr-BA" w:eastAsia="hr-BA"/>
              </w:rPr>
            </w:pPr>
          </w:p>
        </w:tc>
        <w:tc>
          <w:tcPr>
            <w:tcW w:w="2157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jc w:val="both"/>
              <w:rPr>
                <w:lang w:val="hr-BA" w:eastAsia="hr-BA"/>
              </w:rPr>
            </w:pPr>
          </w:p>
        </w:tc>
        <w:tc>
          <w:tcPr>
            <w:tcW w:w="2167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jc w:val="both"/>
              <w:rPr>
                <w:lang w:val="hr-BA" w:eastAsia="hr-BA"/>
              </w:rPr>
            </w:pPr>
          </w:p>
        </w:tc>
        <w:tc>
          <w:tcPr>
            <w:tcW w:w="2028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jc w:val="both"/>
              <w:rPr>
                <w:lang w:val="hr-BA" w:eastAsia="hr-BA"/>
              </w:rPr>
            </w:pPr>
          </w:p>
        </w:tc>
      </w:tr>
      <w:tr>
        <w:trPr>
          <w:trHeight w:hRule="atLeast" w:val="850"/>
        </w:trPr>
        <w:tc>
          <w:tcPr>
            <w:tcW w:w="2948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jc w:val="both"/>
              <w:rPr>
                <w:lang w:val="hr-BA" w:eastAsia="hr-BA"/>
              </w:rPr>
            </w:pPr>
          </w:p>
        </w:tc>
        <w:tc>
          <w:tcPr>
            <w:tcW w:w="2157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jc w:val="both"/>
              <w:rPr>
                <w:lang w:val="hr-BA" w:eastAsia="hr-BA"/>
              </w:rPr>
            </w:pPr>
          </w:p>
        </w:tc>
        <w:tc>
          <w:tcPr>
            <w:tcW w:w="2167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jc w:val="both"/>
              <w:rPr>
                <w:lang w:val="hr-BA" w:eastAsia="hr-BA"/>
              </w:rPr>
            </w:pPr>
          </w:p>
        </w:tc>
        <w:tc>
          <w:tcPr>
            <w:tcW w:w="2028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jc w:val="both"/>
              <w:rPr>
                <w:lang w:val="hr-BA" w:eastAsia="hr-BA"/>
              </w:rPr>
            </w:pPr>
          </w:p>
        </w:tc>
      </w:tr>
    </w:tbl>
    <w:p>
      <w:pPr>
        <w:rPr>
          <w:lang w:val="hr-BA" w:eastAsia="hr-BA"/>
        </w:rPr>
      </w:pPr>
    </w:p>
    <w:p>
      <w:pPr>
        <w:rPr>
          <w:lang w:val="hr-BA" w:eastAsia="hr-BA"/>
        </w:rPr>
      </w:pPr>
    </w:p>
    <w:tbl>
      <w:tblPr>
        <w:tblStyle w:val="T2"/>
        <w:tblW w:w="8079" w:type="dxa"/>
        <w:tblInd w:w="993" w:type="dxa"/>
        <w:tblLayout w:type="autofit"/>
        <w:tblLook w:val="04A0"/>
      </w:tblPr>
      <w:tblGrid/>
      <w:tr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jc w:val="right"/>
              <w:rPr>
                <w:lang w:val="hr-BA" w:eastAsia="hr-BA"/>
              </w:rPr>
            </w:pPr>
          </w:p>
          <w:p>
            <w:pPr>
              <w:jc w:val="right"/>
              <w:rPr>
                <w:lang w:val="hr-BA" w:eastAsia="hr-BA"/>
              </w:rPr>
            </w:pPr>
          </w:p>
          <w:p>
            <w:pPr>
              <w:jc w:val="right"/>
              <w:rPr>
                <w:lang w:val="hr-BA" w:eastAsia="hr-BA"/>
              </w:rPr>
            </w:pPr>
            <w:r>
              <w:rPr>
                <w:lang w:val="hr-BA" w:eastAsia="hr-BA"/>
              </w:rPr>
              <w:t xml:space="preserve">MP   </w:t>
            </w:r>
          </w:p>
        </w:tc>
        <w:tc>
          <w:tcPr>
            <w:tcW w:w="411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jc w:val="center"/>
              <w:rPr>
                <w:lang w:val="hr-BA" w:eastAsia="hr-BA"/>
              </w:rPr>
            </w:pPr>
            <w:r>
              <w:rPr>
                <w:lang w:val="hr-BA" w:eastAsia="hr-BA"/>
              </w:rPr>
              <w:t>OVLAŠTENA OSOBA PONUDITELJA</w:t>
            </w:r>
          </w:p>
          <w:p>
            <w:pPr>
              <w:jc w:val="center"/>
              <w:rPr>
                <w:lang w:val="hr-BA" w:eastAsia="hr-BA"/>
              </w:rPr>
            </w:pPr>
          </w:p>
          <w:p>
            <w:pPr>
              <w:jc w:val="center"/>
              <w:rPr>
                <w:lang w:val="hr-BA" w:eastAsia="hr-BA"/>
              </w:rPr>
            </w:pPr>
            <w:r>
              <w:rPr>
                <w:lang w:val="hr-BA" w:eastAsia="hr-BA"/>
              </w:rPr>
              <w:t>____________________________</w:t>
            </w:r>
          </w:p>
        </w:tc>
      </w:tr>
    </w:tbl>
    <w:p>
      <w:pPr>
        <w:jc w:val="right"/>
        <w:rPr>
          <w:lang w:val="hr-BA" w:eastAsia="hr-BA"/>
        </w:rPr>
      </w:pPr>
    </w:p>
    <w:p>
      <w:pPr>
        <w:rPr>
          <w:lang w:val="hr-BA" w:eastAsia="hr-BA"/>
        </w:rPr>
      </w:pPr>
    </w:p>
    <w:sectPr>
      <w:type w:val="nextPage"/>
      <w:pgMar w:left="1417" w:right="1417" w:top="1417" w:bottom="1417" w:header="708" w:footer="708" w:gutter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0"/>
  <w:defaultTabStop w:val="720"/>
  <w:autoHyphenation w:val="0"/>
  <w:evenAndOddHeaders w:val="0"/>
  <w:compat>
    <w:compatSetting w:name="compatibilityMode" w:uri="http://schemas.microsoft.com/office/word" w:val="12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hAnsi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pageBreakBefore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bidi w:val="0"/>
        <w:jc w:val="left"/>
      </w:pPr>
    </w:pPrDefault>
  </w:docDefaults>
  <w:style w:type="paragraph" w:styleId="P0" w:default="1">
    <w:name w:val="Normal"/>
    <w:pPr/>
    <w:rPr/>
  </w:style>
  <w:style w:type="character" w:styleId="C0" w:default="1">
    <w:name w:val="Default Paragraph Font"/>
    <w:semiHidden/>
    <w:rPr/>
  </w:style>
  <w:style w:type="character" w:styleId="C1">
    <w:name w:val="Line Number"/>
    <w:basedOn w:val="C0"/>
    <w:semiHidden/>
    <w:rPr/>
  </w:style>
  <w:style w:type="character" w:styleId="C2">
    <w:name w:val="Hyperlink"/>
    <w:rPr>
      <w:color w:val="0000FF"/>
      <w:u w:val="singl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  <w:trPr/>
    <w:tcPr/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bottom w:w="0" w:type="dxa"/>
      </w:tblCellMar>
    </w:tblPr>
    <w:trPr/>
    <w:tcPr/>
  </w:style>
  <w:style w:type="table" w:styleId="T2">
    <w:name w:val="Table Grid"/>
    <w:basedOn w:val="T0"/>
    <w:tblPr>
      <w:tblInd w:w="0" w:type="dxa"/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</w:tblPr>
    <w:trPr/>
    <w:tcPr/>
  </w:style>
</w:styles>
</file>

<file path=word/_rels/document.xml.rels>&#65279;<?xml version="1.0" encoding="utf-8"?><Relationships xmlns="http://schemas.openxmlformats.org/package/2006/relationships"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Relationship Id="RelTheme1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  <a:tileRect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  <a:tileRect/>
        </a:gradFill>
      </a:fillStyleLst>
      <a:lnStyleLst>
        <a:ln w="9525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mpd="sng" algn="ctr">
          <a:solidFill>
            <a:schemeClr val="phClr"/>
          </a:solidFill>
          <a:prstDash val="solid"/>
        </a:ln>
        <a:ln w="38100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  <a:tileRect/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</a:theme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>
  <dc:creator>Zijada Kurbegović</dc:creator>
  <dcterms:created xsi:type="dcterms:W3CDTF">2022-09-29T11:31:11Z</dcterms:created>
  <cp:lastModifiedBy>Zijada Kurbegović</cp:lastModifiedBy>
  <dcterms:modified xsi:type="dcterms:W3CDTF">2022-09-29T11:31:11Z</dcterms:modified>
  <cp:revision>1</cp:revision>
</cp:coreProperties>
</file>