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126AD3">
        <w:rPr>
          <w:rFonts w:ascii="Arial" w:eastAsia="CIDFont+F1" w:hAnsi="Arial" w:cs="Arial"/>
          <w:b/>
          <w:i/>
          <w:color w:val="000000"/>
          <w:sz w:val="24"/>
          <w:szCs w:val="24"/>
        </w:rPr>
        <w:t>KANTONALNO TUŽILAŠTVO BOSANSKO PODRINSJKOG KANTONA GORAŽDE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126AD3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noProof/>
          <w:lang w:val="bs-Latn-BA" w:eastAsia="bs-Latn-BA"/>
        </w:rPr>
        <w:drawing>
          <wp:inline distT="0" distB="0" distL="0" distR="0" wp14:anchorId="3DF4E6F6" wp14:editId="774D455A">
            <wp:extent cx="1581150" cy="1962150"/>
            <wp:effectExtent l="0" t="0" r="0" b="0"/>
            <wp:docPr id="1" name="Picture 1" descr="New Doc 2019-08-22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Doc 2019-08-22 1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5AF" w:rsidRPr="00126AD3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i/>
          <w:color w:val="000000"/>
          <w:sz w:val="24"/>
          <w:szCs w:val="24"/>
        </w:rPr>
        <w:t>Na temelju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6. stav (3) Pravilnika o orijentacionim mjerilima za rad tužilaca u tužilaštvima u Bosni i Hercegovini („Službeni gla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snik BiH“, broj: 64/16, 96/16,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93/17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, 71/18 i 33/19),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6.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 rješavanja starih predmeta u tužilaštvima u BiH, broj: 13-02-3963-1/1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4 od 19.12.2014. godine,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1.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o dopuni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 rješavanja starih predmeta u tužilaštvima u BiH, broj: 13-02-3820-1/201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5 od 24.12.2015. godine,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1.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o izmjenama i dopuni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 rješavanja starih predmeta u tužilaštvima u BiH, broj: 13-02-3-1272-1/201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6 od 18.04.2016. godine, člana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1.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o izmjenama i dopunama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 rješavanja starih predmeta u tužilaštvima u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BiH,broj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: 13-02-3-3492-1/2017 od 10.11.2017. g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odine, v.d. glavnog kantonalnog tužioca Bosansko-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podrinjskog</w:t>
      </w:r>
      <w:proofErr w:type="spellEnd"/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kantona 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Goražde</w:t>
      </w:r>
      <w:proofErr w:type="spellEnd"/>
      <w:r>
        <w:rPr>
          <w:rFonts w:ascii="Arial" w:eastAsia="CIDFont+F1" w:hAnsi="Arial" w:cs="Arial"/>
          <w:i/>
          <w:color w:val="000000"/>
          <w:sz w:val="24"/>
          <w:szCs w:val="24"/>
        </w:rPr>
        <w:t>, donosi sljedeći: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P L A N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RJEŠAVANJA STARIH PREDMETA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ZA 2023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  <w:u w:val="single"/>
        </w:rPr>
        <w:t>. GODINU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4B2941" w:rsidRDefault="004B2941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4B2941" w:rsidRPr="00D72741" w:rsidRDefault="004B2941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1.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(Predmet)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Planom rješavanja starih predmeta Kantonalnog tužil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aštva Bosansko-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podrinjskog</w:t>
      </w:r>
      <w:proofErr w:type="spellEnd"/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kantona 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Goražde</w:t>
      </w:r>
      <w:proofErr w:type="spellEnd"/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za 2023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 godinu (u daljem tekstu: Plan rješavanja starih predmeta) utvrđuje se broj i struktura starih predmeta u Kantonalnom tužilaštvu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Bosansko-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podrinjskog</w:t>
      </w:r>
      <w:proofErr w:type="spellEnd"/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kantona 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Goražde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(u daljem tekstu: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Tužilaštv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o) i određuj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u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mjere, nosioci i rokovi za njihovo rješavanje.</w:t>
      </w:r>
    </w:p>
    <w:p w:rsidR="004B2941" w:rsidRDefault="004B2941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4B2941" w:rsidRDefault="004B2941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4B2941" w:rsidRDefault="004B2941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4B2941" w:rsidRDefault="004B2941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lastRenderedPageBreak/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2.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(Cilj)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012755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 xml:space="preserve">(1) U skladu 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s Planom rada Tužilaštva za 2023</w:t>
      </w:r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 xml:space="preserve">. godinu Planom rješavanja starih predmeta utvrđuje se obaveza </w:t>
      </w:r>
      <w:proofErr w:type="spellStart"/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>postupajućim</w:t>
      </w:r>
      <w:proofErr w:type="spellEnd"/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 xml:space="preserve"> tužiocima da tokom planskog peri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oda završe sve stare predmete (3</w:t>
      </w:r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 xml:space="preserve"> predmeta).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 xml:space="preserve">(2) Izuzetno od stava (1) ukoliko nije moguće završiti stare predmete tužioci su dužni dovesti ih u stanje da se jedino objektivne okolnosti mogu uzeti kao razlog </w:t>
      </w:r>
      <w:proofErr w:type="spellStart"/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>neokončanja</w:t>
      </w:r>
      <w:proofErr w:type="spellEnd"/>
      <w:r w:rsidRPr="00012755">
        <w:rPr>
          <w:rFonts w:ascii="Arial" w:eastAsia="CIDFont+F1" w:hAnsi="Arial" w:cs="Arial"/>
          <w:i/>
          <w:color w:val="000000"/>
          <w:sz w:val="24"/>
          <w:szCs w:val="24"/>
        </w:rPr>
        <w:t xml:space="preserve"> predmeta.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3.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(Stari predmeti)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(1) Plan rješavanja starih predmeta obuhvaća nezavršene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KT i KTA predmete otvorene</w:t>
      </w:r>
      <w:r w:rsidR="00A632A2"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="002E45AE" w:rsidRPr="002E45AE">
        <w:rPr>
          <w:rFonts w:ascii="Arial" w:eastAsia="CIDFont+F1" w:hAnsi="Arial" w:cs="Arial"/>
          <w:color w:val="000000"/>
          <w:sz w:val="24"/>
          <w:szCs w:val="24"/>
        </w:rPr>
        <w:t>2021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godine i ranije u kojima je tokom planskog perioda objektivno moguće donijeti tužilačku odluku.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(2) Suglasno članku 4.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 rješavanja starih predmeta u tužilaštvima u BiH, broj: 13-02-3963-1/2014 od 19.12.2014 godine (u daljem tekstu: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Uputstvo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planova) iz Plana rješavanja starih predmeta isključene su sljedeće vrste predmeta: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a) stari predmeti u kojima su raspisane potjernice;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b) predmeti ratnih zločina, koji se rješavaju u skladu s posebnim planovima i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c) predmeti za krivična djela za koje je propisana kazna zatvora do tri godine, u kojima se ne može izdati potjernica, a osumnjičeni je nedostupan.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(3)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S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a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glasno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Uputstvu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planova, Plan rješavanja starih predmet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a obuhvaća i predmete koje ovo </w:t>
      </w: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U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putstvo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ne predviđa za isključenje, mada njihovo okončanje nije moguće zbog objektivnih razloga, dakle razloga koji ne stoje na strani Tužilaštva.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(4) Predmeti iz stava (2) točke a) i c) i stavka (3) ovog članaka riješit će tokom planskog perioda, ukoliko objektivne okolnosti koje sprječavaju njihovo okončanje prestanu postojati.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(5) Plan rješavanja starih predmeta iskazuje se tabelarnim prikazom ukupnog broja starih KT i KTA predmeta sa njihovim oznakama, zakonskim nazivom krivičnog djela i navođenjem odredbe Krivičnog zakona F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BIH,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postupajućim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tužiocima i ostalim parametrima iz članaka 6.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Uputstva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za izradu planova.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(6) Tabelarni prikaz iz stava (5) ovog članaka automatski se generira u Sistemu za upravljanje predmetima u tužilaštvima (u daljem tekstu: TCMS) i kao takav predstavlja sastavni dio ovog plana.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4.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(Predmeti koji će postati stari)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Zadužuju se tužioci da usporedno s rješavanjem starih predmeta iz članaka 3. stav (6) ovog plana rješavaju i predmete koji će tokom planskog perioda steći status starog predmeta.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5.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(Aktivnosti na rješavanju starih predmeta)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(1) Tužioci su dužni u starim predmetima uspostaviti i održavati odgovarajuću dinamiku kako bi do kraja godine svi oni bili riješeni.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lastRenderedPageBreak/>
        <w:t>(2) Optimalnu dinamiku u predmetima tužioci su dužni održavati redovnim i blagovremenim poduzimanjem tužilačkih radnji i mjera iz svoje nadležnosti, pravilnim određivanjem i praćenjem optimalnih rokova evidencije u spisima i drugim efektivnim mjerama na koje su ovlašteni tako da period neaktivnosti u predmetu (u daljem tekstu: period neaktivnosti) bude sveden na najmanju moguću mjeru.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(3) Period neaktivnosti, koji se računa od dana poduzimanja posljednje tužilačke radnje u spisu, iz objektivnih razloga ne može trajati duže od 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dva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mjeseca.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(4) Ukoliko je period neaktivnosti jednom ili više puta prekoračen tužioci su dužni za svako takvo prekoračenje u službenoj zabilješci navesti detaljne razloge i objašnjenja.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(5) Tužioci su dužni prioritet u rješavanju dati starim predmetima koju su ranije otvoreni, te na kraju izvještajnog perioda (polugodišnjeg i godišnjeg planskog okvira) dati obrazloženje razloga za nerješavanje predmeta, koji su prema starosti inicijalnog akta stariji od onih koji su riješeni u izvještajnom periodu.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6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(Pomoćne evidencije)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U cilju praćenja izvršenja Plana rješavanja starih predmeta Tužilaštvo ć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>e u skladu s Planom rada za 2023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</w:t>
      </w:r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godinu uspostaviti i voditi odgovarajuće evidencije.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t>Član</w:t>
      </w: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 xml:space="preserve"> 7.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(Aktivnosti glavnog tužioca)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(1) Glavni tužilac će vršiti nadzor nad izvršenjem Plana rješavanja starih predmeta uvidom u evidencije o starim predmetima i poduzimanjem drugih mjera iz svoje nadležnosti.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(2) O stupnju izvršenja Plana rješavanja starih predmeta tužioci su dužni izvještavati glavnog tužioca dostavljanjem obavještenja relevantnih za poduzimanje mjera iz njegove nadležnosti.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(3) Glavni tužilac će kontinuirano pratiti realizaciju Plana rješavanja starih predmeta i istekom svaka dva mjeseca putem Kolegija Tužilaštva i na drugi prigodan način upoznavati tužioce o ostvarenim rezultatima, te mjerama koje se u tom pravcu imaju poduzeti.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(4) Nakon pregleda predmeta i razgovora s </w:t>
      </w:r>
      <w:proofErr w:type="spellStart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postupajućim</w:t>
      </w:r>
      <w:proofErr w:type="spellEnd"/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 tužiocima glavni tužilac će odlučiti o eventualnim mjerama prema odgovornim tužiocima, ukoliko ne nađe da su razlozi neizvršavanja njegovih naloga izdanih u cilju rješavanja starih predmeta opravdani.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(5) Glavni tužilac će istekom svakog kvartala planskog perioda izvršiti reviziju Plana rješavanja starih predmeta i evaluaciju ukupno ostvarenih rezultata, te odlučiti o potrebi eventualne korekcije ovog planskog dokumenta.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(6) Glavni tužilac dostavlja polugodišnju i godišnju informaciju o realiziranju Plana rješavanja starih predmeta Visokom sudskom i tužilačkom vijeću Bosne i Hercegovine (u daljem tekstu: Vijeće).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(7) Polugodišnja informacija d</w:t>
      </w:r>
      <w:r w:rsidR="002E45AE">
        <w:rPr>
          <w:rFonts w:ascii="Arial" w:eastAsia="CIDFont+F1" w:hAnsi="Arial" w:cs="Arial"/>
          <w:i/>
          <w:color w:val="000000"/>
          <w:sz w:val="24"/>
          <w:szCs w:val="24"/>
        </w:rPr>
        <w:t>ostavlja se Vijeću do 31.07.2023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</w:t>
      </w:r>
      <w:r w:rsidR="002E45AE">
        <w:rPr>
          <w:rFonts w:ascii="Arial" w:eastAsia="CIDFont+F1" w:hAnsi="Arial" w:cs="Arial"/>
          <w:i/>
          <w:color w:val="000000"/>
          <w:sz w:val="24"/>
          <w:szCs w:val="24"/>
        </w:rPr>
        <w:t>godine, a godišnja do 31.01.2024</w:t>
      </w: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.godine.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b/>
          <w:i/>
          <w:color w:val="000000"/>
          <w:sz w:val="24"/>
          <w:szCs w:val="24"/>
        </w:rPr>
        <w:lastRenderedPageBreak/>
        <w:t>Član 8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b/>
          <w:i/>
          <w:color w:val="000000"/>
          <w:sz w:val="24"/>
          <w:szCs w:val="24"/>
        </w:rPr>
        <w:t>(Stupanje na snagu)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IDFont+F1" w:hAnsi="Arial" w:cs="Arial"/>
          <w:b/>
          <w:i/>
          <w:color w:val="000000"/>
          <w:sz w:val="24"/>
          <w:szCs w:val="24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>Plan rješavanja starih predmeta stupa na snagu danom donošenja i objavljuje se na web stranici Tužilaštva.</w:t>
      </w: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 w:rsidRPr="00D72741">
        <w:rPr>
          <w:rFonts w:ascii="Arial" w:eastAsia="CIDFont+F1" w:hAnsi="Arial" w:cs="Arial"/>
          <w:i/>
          <w:color w:val="000000"/>
          <w:sz w:val="24"/>
          <w:szCs w:val="24"/>
        </w:rPr>
        <w:t xml:space="preserve">Broj: </w:t>
      </w:r>
      <w:r w:rsidR="00A632A2">
        <w:rPr>
          <w:rFonts w:ascii="Arial" w:eastAsia="CIDFont+F1" w:hAnsi="Arial" w:cs="Arial"/>
          <w:i/>
          <w:color w:val="000000"/>
          <w:sz w:val="24"/>
          <w:szCs w:val="24"/>
        </w:rPr>
        <w:t>A-56/23</w:t>
      </w:r>
      <w:bookmarkStart w:id="0" w:name="_GoBack"/>
      <w:bookmarkEnd w:id="0"/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proofErr w:type="spellStart"/>
      <w:r>
        <w:rPr>
          <w:rFonts w:ascii="Arial" w:eastAsia="CIDFont+F1" w:hAnsi="Arial" w:cs="Arial"/>
          <w:i/>
          <w:color w:val="000000"/>
          <w:sz w:val="24"/>
          <w:szCs w:val="24"/>
        </w:rPr>
        <w:t>Goražde</w:t>
      </w:r>
      <w:proofErr w:type="spellEnd"/>
      <w:r>
        <w:rPr>
          <w:rFonts w:ascii="Arial" w:eastAsia="CIDFont+F1" w:hAnsi="Arial" w:cs="Arial"/>
          <w:i/>
          <w:color w:val="000000"/>
          <w:sz w:val="24"/>
          <w:szCs w:val="24"/>
        </w:rPr>
        <w:t xml:space="preserve"> </w:t>
      </w:r>
      <w:r w:rsidR="002E45AE">
        <w:rPr>
          <w:rFonts w:ascii="Arial" w:eastAsia="CIDFont+F1" w:hAnsi="Arial" w:cs="Arial"/>
          <w:i/>
          <w:color w:val="000000"/>
          <w:sz w:val="24"/>
          <w:szCs w:val="24"/>
        </w:rPr>
        <w:t>13.02.2023.godine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</w:r>
      <w:r>
        <w:rPr>
          <w:rFonts w:ascii="Arial" w:eastAsia="CIDFont+F1" w:hAnsi="Arial" w:cs="Arial"/>
          <w:i/>
          <w:color w:val="000000"/>
          <w:sz w:val="24"/>
          <w:szCs w:val="24"/>
        </w:rPr>
        <w:tab/>
        <w:t xml:space="preserve">          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1" w:hAnsi="Arial" w:cs="Arial"/>
          <w:i/>
          <w:color w:val="000000"/>
          <w:sz w:val="24"/>
          <w:szCs w:val="24"/>
        </w:rPr>
      </w:pP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sz w:val="24"/>
          <w:szCs w:val="24"/>
          <w:lang w:val="hr-HR"/>
        </w:rPr>
      </w:pPr>
      <w:r>
        <w:rPr>
          <w:rFonts w:ascii="Arial" w:hAnsi="Arial" w:cs="Arial"/>
          <w:b/>
          <w:i/>
          <w:sz w:val="24"/>
          <w:szCs w:val="24"/>
          <w:lang w:val="hr-HR"/>
        </w:rPr>
        <w:t>V.D.</w:t>
      </w:r>
      <w:r w:rsidRPr="00D72741">
        <w:rPr>
          <w:rFonts w:ascii="Arial" w:hAnsi="Arial" w:cs="Arial"/>
          <w:b/>
          <w:i/>
          <w:sz w:val="24"/>
          <w:szCs w:val="24"/>
          <w:lang w:val="hr-HR"/>
        </w:rPr>
        <w:t xml:space="preserve"> GLAVN</w:t>
      </w:r>
      <w:r>
        <w:rPr>
          <w:rFonts w:ascii="Arial" w:hAnsi="Arial" w:cs="Arial"/>
          <w:b/>
          <w:i/>
          <w:sz w:val="24"/>
          <w:szCs w:val="24"/>
          <w:lang w:val="hr-HR"/>
        </w:rPr>
        <w:t xml:space="preserve">OG KANTONALNOG </w:t>
      </w:r>
      <w:r w:rsidRPr="00D72741">
        <w:rPr>
          <w:rFonts w:ascii="Arial" w:hAnsi="Arial" w:cs="Arial"/>
          <w:b/>
          <w:i/>
          <w:sz w:val="24"/>
          <w:szCs w:val="24"/>
          <w:lang w:val="hr-HR"/>
        </w:rPr>
        <w:t>TUŽI</w:t>
      </w:r>
      <w:r>
        <w:rPr>
          <w:rFonts w:ascii="Arial" w:hAnsi="Arial" w:cs="Arial"/>
          <w:b/>
          <w:i/>
          <w:sz w:val="24"/>
          <w:szCs w:val="24"/>
          <w:lang w:val="hr-HR"/>
        </w:rPr>
        <w:t>O</w:t>
      </w:r>
      <w:r w:rsidRPr="00D72741">
        <w:rPr>
          <w:rFonts w:ascii="Arial" w:hAnsi="Arial" w:cs="Arial"/>
          <w:b/>
          <w:i/>
          <w:sz w:val="24"/>
          <w:szCs w:val="24"/>
          <w:lang w:val="hr-HR"/>
        </w:rPr>
        <w:t>C</w:t>
      </w:r>
      <w:r>
        <w:rPr>
          <w:rFonts w:ascii="Arial" w:hAnsi="Arial" w:cs="Arial"/>
          <w:b/>
          <w:i/>
          <w:sz w:val="24"/>
          <w:szCs w:val="24"/>
          <w:lang w:val="hr-HR"/>
        </w:rPr>
        <w:t>A</w:t>
      </w:r>
    </w:p>
    <w:p w:rsidR="006915AF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hr-HR"/>
        </w:rPr>
      </w:pPr>
    </w:p>
    <w:p w:rsidR="006915AF" w:rsidRPr="00D72741" w:rsidRDefault="006915AF" w:rsidP="006915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hr-HR"/>
        </w:rPr>
      </w:pP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</w:r>
      <w:r>
        <w:rPr>
          <w:rFonts w:ascii="Arial" w:hAnsi="Arial" w:cs="Arial"/>
          <w:b/>
          <w:i/>
          <w:sz w:val="24"/>
          <w:szCs w:val="24"/>
          <w:lang w:val="hr-HR"/>
        </w:rPr>
        <w:tab/>
        <w:t>Predrag Golubović</w:t>
      </w:r>
    </w:p>
    <w:p w:rsidR="006915AF" w:rsidRPr="00D72741" w:rsidRDefault="006915AF" w:rsidP="006915AF">
      <w:pPr>
        <w:spacing w:after="0" w:line="240" w:lineRule="auto"/>
        <w:rPr>
          <w:rFonts w:ascii="Cambria" w:hAnsi="Cambria"/>
          <w:sz w:val="24"/>
          <w:szCs w:val="24"/>
          <w:lang w:val="hr-HR"/>
        </w:rPr>
      </w:pPr>
    </w:p>
    <w:p w:rsidR="006915AF" w:rsidRPr="00F60A17" w:rsidRDefault="006915AF" w:rsidP="006915AF">
      <w:pPr>
        <w:pStyle w:val="NoSpacing"/>
        <w:rPr>
          <w:rFonts w:ascii="Cambria" w:hAnsi="Cambria"/>
          <w:sz w:val="24"/>
          <w:szCs w:val="24"/>
          <w:lang w:val="hr-HR"/>
        </w:rPr>
      </w:pPr>
    </w:p>
    <w:p w:rsidR="006915AF" w:rsidRDefault="006915AF" w:rsidP="006915AF"/>
    <w:p w:rsidR="000930D0" w:rsidRDefault="00A632A2"/>
    <w:sectPr w:rsidR="000930D0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AF"/>
    <w:rsid w:val="002E45AE"/>
    <w:rsid w:val="00383E36"/>
    <w:rsid w:val="004B2941"/>
    <w:rsid w:val="006915AF"/>
    <w:rsid w:val="008B67A5"/>
    <w:rsid w:val="00A6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3DA7E"/>
  <w15:chartTrackingRefBased/>
  <w15:docId w15:val="{49F5F5C7-7411-4694-8239-098A019F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AF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15AF"/>
    <w:pPr>
      <w:spacing w:after="0" w:line="240" w:lineRule="auto"/>
    </w:pPr>
    <w:rPr>
      <w:lang w:val="hr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5AE"/>
    <w:rPr>
      <w:rFonts w:ascii="Segoe UI" w:hAnsi="Segoe UI" w:cs="Segoe UI"/>
      <w:sz w:val="18"/>
      <w:szCs w:val="18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88F9A.AA40AB1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Obuca</dc:creator>
  <cp:keywords/>
  <dc:description/>
  <cp:lastModifiedBy>Aida Obuca</cp:lastModifiedBy>
  <cp:revision>5</cp:revision>
  <cp:lastPrinted>2023-02-09T14:24:00Z</cp:lastPrinted>
  <dcterms:created xsi:type="dcterms:W3CDTF">2023-02-09T13:41:00Z</dcterms:created>
  <dcterms:modified xsi:type="dcterms:W3CDTF">2023-02-09T14:26:00Z</dcterms:modified>
</cp:coreProperties>
</file>